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65F33">
      <w:pPr>
        <w:divId w:val="181434554"/>
        <w:rPr>
          <w:rFonts w:eastAsia="Times New Roman"/>
          <w:vanish/>
        </w:rPr>
      </w:pPr>
      <w:r>
        <w:rPr>
          <w:rFonts w:eastAsia="Times New Roman"/>
          <w:vanish/>
        </w:rPr>
        <w:t>0001275158false1/32022Q1</w:t>
      </w:r>
      <w:r>
        <w:rPr>
          <w:rFonts w:eastAsia="Times New Roman"/>
          <w:vanish/>
        </w:rPr>
        <w:t>http://fasb.org/us-gaap/2021-01-31#PropertyPlantAndEquipmentAndFinanceLeaseRightOfUseAssetAfterAccumulatedDepreciationAndAmortizationhttp://fasb.org/us-gaap/2021-01-31#PropertyPlantAndEquipmentAndFinanceLeaseRightOfUseAssetAfterAccumulatedDepreciationAndAm</w:t>
      </w:r>
      <w:r>
        <w:rPr>
          <w:rFonts w:eastAsia="Times New Roman"/>
          <w:vanish/>
        </w:rPr>
        <w:t>ortizationhttp://fasb.org/us-gaap/2021-01-31#AccruedLiabilitiesCurrenthttp://fasb.org/us-gaap/2021-01-31#AccruedLiabilitiesCurrenthttp://fasb.org/us-gaap/2021-01-31#OtherLiabilitiesNoncurrenthttp://fasb.org/us-gaap/2021-01-31#OtherLiabilitiesNoncurrent0001</w:t>
      </w:r>
      <w:r>
        <w:rPr>
          <w:rFonts w:eastAsia="Times New Roman"/>
          <w:vanish/>
        </w:rPr>
        <w:t>2751582021-12-292022-03-2900012751582022-04-22xbrli:shares00012751582022-03-29iso4217:USD00012751582021-12-28iso4217:USDxbrli:shares0001275158us-gaap:FoodAndBeverageMember2021-12-292022-03-290001275158us-gaap:FoodAndBeverageMember2020-12-302021-03-30000127</w:t>
      </w:r>
      <w:r>
        <w:rPr>
          <w:rFonts w:eastAsia="Times New Roman"/>
          <w:vanish/>
        </w:rPr>
        <w:t>5158us-gaap:FranchiseMember2021-12-292022-03-290001275158us-gaap:FranchiseMember2020-12-302021-03-3000012751582020-12-302021-03-300001275158ndls:LaborMember2021-12-292022-03-290001275158ndls:LaborMember2020-12-302021-03-300001275158ndls:RestaurantOccupancy</w:t>
      </w:r>
      <w:r>
        <w:rPr>
          <w:rFonts w:eastAsia="Times New Roman"/>
          <w:vanish/>
        </w:rPr>
        <w:t>Member2021-12-292022-03-290001275158ndls:RestaurantOccupancyMember2020-12-302021-03-300001275158us-gaap:CommonStockMember2021-12-280001275158us-gaap:TreasuryStockMember2021-12-280001275158us-gaap:AdditionalPaidInCapitalMember2021-12-280001275158us-gaap:Ret</w:t>
      </w:r>
      <w:r>
        <w:rPr>
          <w:rFonts w:eastAsia="Times New Roman"/>
          <w:vanish/>
        </w:rPr>
        <w:t>ainedEarningsMember2021-12-280001275158us-gaap:CommonStockMember2021-12-292022-03-290001275158us-gaap:AdditionalPaidInCapitalMember2021-12-292022-03-290001275158us-gaap:RetainedEarningsMember2021-12-292022-03-290001275158us-gaap:CommonStockMember2022-03-29</w:t>
      </w:r>
      <w:r>
        <w:rPr>
          <w:rFonts w:eastAsia="Times New Roman"/>
          <w:vanish/>
        </w:rPr>
        <w:t>0001275158us-gaap:TreasuryStockMember2022-03-290001275158us-gaap:AdditionalPaidInCapitalMember2022-03-290001275158us-gaap:RetainedEarningsMember2022-03-290001275158us-gaap:CommonStockMember2020-12-290001275158us-gaap:TreasuryStockMember2020-12-290001275158</w:t>
      </w:r>
      <w:r>
        <w:rPr>
          <w:rFonts w:eastAsia="Times New Roman"/>
          <w:vanish/>
        </w:rPr>
        <w:t>us-gaap:AdditionalPaidInCapitalMember2020-12-290001275158us-gaap:RetainedEarningsMember2020-12-2900012751582020-12-290001275158us-gaap:CommonStockMember2020-12-302021-03-300001275158us-gaap:AdditionalPaidInCapitalMember2020-12-302021-03-300001275158us-gaap</w:t>
      </w:r>
      <w:r>
        <w:rPr>
          <w:rFonts w:eastAsia="Times New Roman"/>
          <w:vanish/>
        </w:rPr>
        <w:t>:RetainedEarningsMember2020-12-302021-03-300001275158us-gaap:CommonStockMember2021-03-300001275158us-gaap:TreasuryStockMember2021-03-300001275158us-gaap:AdditionalPaidInCapitalMember2021-03-300001275158us-gaap:RetainedEarningsMember2021-03-3000012751582021</w:t>
      </w:r>
      <w:r>
        <w:rPr>
          <w:rFonts w:eastAsia="Times New Roman"/>
          <w:vanish/>
        </w:rPr>
        <w:t>-03-30ndls:restaurantndls:state0001275158us-gaap:EntityOperatedUnitsMember2022-03-290001275158us-gaap:FranchisedUnitsMember2022-03-29ndls:segment0001275158ndls:DeliveryProgramMember2022-03-290001275158ndls:DeliveryProgramMember2021-12-280001275158ndls:Vend</w:t>
      </w:r>
      <w:r>
        <w:rPr>
          <w:rFonts w:eastAsia="Times New Roman"/>
          <w:vanish/>
        </w:rPr>
        <w:t>orRebateMember2022-03-290001275158ndls:VendorRebateMember2021-12-280001275158ndls:FranchiseReceivableMember2022-03-290001275158ndls:FranchiseReceivableMember2021-12-280001275158ndls:OtherReceivableMember2022-03-290001275158ndls:OtherReceivableMember2021-12</w:t>
      </w:r>
      <w:r>
        <w:rPr>
          <w:rFonts w:eastAsia="Times New Roman"/>
          <w:vanish/>
        </w:rPr>
        <w:t>-2800012751582022-01-012022-01-310001275158us-gaap:LeaseholdImprovementsMember2022-03-290001275158us-gaap:LeaseholdImprovementsMember2021-12-280001275158ndls:FurnitureFixturesAndEquipmentMember2022-03-290001275158ndls:FurnitureFixturesAndEquipmentMember202</w:t>
      </w:r>
      <w:r>
        <w:rPr>
          <w:rFonts w:eastAsia="Times New Roman"/>
          <w:vanish/>
        </w:rPr>
        <w:t>1-12-280001275158us-gaap:ConstructionInProgressMember2022-03-290001275158us-gaap:ConstructionInProgressMember2021-12-280001275158ndls:TwoThousandandEighteenCreditFacilityMemberus-gaap:LoansPayableMember2018-05-090001275158ndls:TwoThousandandEighteenCreditF</w:t>
      </w:r>
      <w:r>
        <w:rPr>
          <w:rFonts w:eastAsia="Times New Roman"/>
          <w:vanish/>
        </w:rPr>
        <w:t>acilityMemberus-gaap:RevolvingCreditFacilityMember2018-05-090001275158us-gaap:LetterOfCreditMemberndls:TwoThousandandEighteenCreditFacilityMember2018-05-090001275158ndls:SwinglineSubfacilityMemberndls:TwoThousandandEighteenCreditFacilityMember2018-05-09000</w:t>
      </w:r>
      <w:r>
        <w:rPr>
          <w:rFonts w:eastAsia="Times New Roman"/>
          <w:vanish/>
        </w:rPr>
        <w:t>1275158ndls:TwoThousandAndEighteenCreditFacilityAmendedMemberus-gaap:RevolvingCreditFacilityMember2019-11-200001275158ndls:TwoThousandAndEighteenCreditFacilityAmendedMember2019-11-200001275158us-gaap:LondonInterbankOfferedRateLIBORMemberndls:TwoThousandAnd</w:t>
      </w:r>
      <w:r>
        <w:rPr>
          <w:rFonts w:eastAsia="Times New Roman"/>
          <w:vanish/>
        </w:rPr>
        <w:t>EighteenCreditFacilityAmendedMembersrt:MinimumMember2019-11-202019-11-20xbrli:pure0001275158us-gaap:LondonInterbankOfferedRateLIBORMembersrt:MaximumMemberndls:TwoThousandAndEighteenCreditFacilityAmendedMember2019-11-202019-11-200001275158us-gaap:BaseRateMe</w:t>
      </w:r>
      <w:r>
        <w:rPr>
          <w:rFonts w:eastAsia="Times New Roman"/>
          <w:vanish/>
        </w:rPr>
        <w:t>mberndls:TwoThousandAndEighteenCreditFacilityAmendedMembersrt:MinimumMember2019-11-202019-11-200001275158us-gaap:BaseRateMembersrt:MaximumMemberndls:TwoThousandAndEighteenCreditFacilityAmendedMember2019-11-202019-11-200001275158ndls:TwoThousandAndEighteenC</w:t>
      </w:r>
      <w:r>
        <w:rPr>
          <w:rFonts w:eastAsia="Times New Roman"/>
          <w:vanish/>
        </w:rPr>
        <w:t>reditFacilityAmendedMemberndls:FederalFundsRateMember2019-11-202019-11-200001275158us-gaap:PrimeRateMemberndls:TwoThousandAndEighteenCreditFacilityAmendedMember2019-11-202019-11-200001275158ndls:TwoThousandAndEighteenCreditFacilityAmendedMembersrt:MinimumM</w:t>
      </w:r>
      <w:r>
        <w:rPr>
          <w:rFonts w:eastAsia="Times New Roman"/>
          <w:vanish/>
        </w:rPr>
        <w:t>emberus-gaap:RevolvingCreditFacilityMember2019-11-202019-11-200001275158srt:MaximumMemberndls:TwoThousandAndEighteenCreditFacilityAmendedMemberus-gaap:RevolvingCreditFacilityMember2019-11-202019-11-200001275158us-gaap:LondonInterbankOfferedRateLIBORMembern</w:t>
      </w:r>
      <w:r>
        <w:rPr>
          <w:rFonts w:eastAsia="Times New Roman"/>
          <w:vanish/>
        </w:rPr>
        <w:t>dls:TwoThousandAndEighteenCreditFacilitySecondAmendmentMember2020-06-162021-09-280001275158us-gaap:LondonInterbankOfferedRateLIBORMemberndls:TwoThousandAndEighteenCreditFacilitySecondAmendmentMembersrt:ScenarioForecastMembersrt:MinimumMember2021-09-292024-</w:t>
      </w:r>
      <w:r>
        <w:rPr>
          <w:rFonts w:eastAsia="Times New Roman"/>
          <w:vanish/>
        </w:rPr>
        <w:t>11-200001275158us-gaap:LondonInterbankOfferedRateLIBORMemberndls:TwoThousandAndEighteenCreditFacilitySecondAmendmentMembersrt:MaximumMembersrt:ScenarioForecastMember2021-09-292024-11-200001275158ndls:TwoThousandAndEighteenCreditFacilitySecondAmendmentMembe</w:t>
      </w:r>
      <w:r>
        <w:rPr>
          <w:rFonts w:eastAsia="Times New Roman"/>
          <w:vanish/>
        </w:rPr>
        <w:t>r2020-06-160001275158srt:ScenarioForecastMemberndls:TwoThousandandEighteenCreditFacilityMemberus-gaap:LoansPayableMember2021-12-292022-09-270001275158srt:ScenarioForecastMemberndls:TwoThousandandEighteenCreditFacilityMemberus-gaap:LoansPayableMember2021-09</w:t>
      </w:r>
      <w:r>
        <w:rPr>
          <w:rFonts w:eastAsia="Times New Roman"/>
          <w:vanish/>
        </w:rPr>
        <w:t>-292022-09-270001275158srt:ScenarioForecastMemberndls:TwoThousandandEighteenCreditFacilityMemberus-gaap:LoansPayableMember2022-09-282023-10-030001275158srt:ScenarioForecastMemberndls:TwoThousandandEighteenCreditFacilityMemberus-gaap:LoansPayableMember2023-</w:t>
      </w:r>
      <w:r>
        <w:rPr>
          <w:rFonts w:eastAsia="Times New Roman"/>
          <w:vanish/>
        </w:rPr>
        <w:t>10-042024-11-200001275158srt:MinimumMember2021-12-292022-03-290001275158srt:MaximumMember2021-12-292022-03-29ndls:lease0001275158ndls:AccruedExpensesandOtherCurrentLiabilitiesMember2022-03-290001275158ndls:AccruedExpensesandOtherCurrentLiabilitiesMember202</w:t>
      </w:r>
      <w:r>
        <w:rPr>
          <w:rFonts w:eastAsia="Times New Roman"/>
          <w:vanish/>
        </w:rPr>
        <w:t>1-12-280001275158ndls:OtherLongtermLiabilitiesMember2022-03-290001275158ndls:OtherLongtermLiabilitiesMember2021-12-28</w:t>
      </w:r>
    </w:p>
    <w:p w:rsidR="00000000" w:rsidRDefault="00D65F33">
      <w:pPr>
        <w:divId w:val="425269202"/>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center"/>
        <w:rPr>
          <w:rFonts w:eastAsia="Times New Roman"/>
        </w:rPr>
      </w:pPr>
      <w:r>
        <w:rPr>
          <w:rFonts w:eastAsia="Times New Roman"/>
          <w:b/>
          <w:bCs/>
          <w:color w:val="000000"/>
          <w:sz w:val="32"/>
          <w:szCs w:val="32"/>
        </w:rPr>
        <w:t>UNITED STATES</w:t>
      </w:r>
    </w:p>
    <w:p w:rsidR="00000000" w:rsidRDefault="00D65F33">
      <w:pPr>
        <w:jc w:val="center"/>
        <w:divId w:val="293683166"/>
        <w:rPr>
          <w:rFonts w:eastAsia="Times New Roman"/>
        </w:rPr>
      </w:pPr>
      <w:r>
        <w:rPr>
          <w:rFonts w:eastAsia="Times New Roman"/>
          <w:b/>
          <w:bCs/>
          <w:color w:val="000000"/>
          <w:sz w:val="32"/>
          <w:szCs w:val="32"/>
        </w:rPr>
        <w:t>SECURITIES AND EXCHANGE COMMISSION</w:t>
      </w:r>
    </w:p>
    <w:p w:rsidR="00000000" w:rsidRDefault="00D65F33">
      <w:pPr>
        <w:jc w:val="center"/>
        <w:rPr>
          <w:rFonts w:eastAsia="Times New Roman"/>
        </w:rPr>
      </w:pPr>
      <w:r>
        <w:rPr>
          <w:rFonts w:eastAsia="Times New Roman"/>
          <w:b/>
          <w:bCs/>
          <w:color w:val="000000"/>
          <w:sz w:val="16"/>
          <w:szCs w:val="16"/>
        </w:rPr>
        <w:t xml:space="preserve">WASHINGTON, </w:t>
      </w:r>
      <w:r>
        <w:rPr>
          <w:rFonts w:eastAsia="Times New Roman"/>
          <w:b/>
          <w:bCs/>
          <w:color w:val="000000"/>
          <w:sz w:val="16"/>
          <w:szCs w:val="16"/>
        </w:rPr>
        <w:t>DC 20549</w:t>
      </w:r>
    </w:p>
    <w:p w:rsidR="00000000" w:rsidRDefault="00D65F33">
      <w:pPr>
        <w:jc w:val="center"/>
        <w:divId w:val="812797842"/>
        <w:rPr>
          <w:rFonts w:eastAsia="Times New Roman"/>
        </w:rPr>
      </w:pPr>
      <w:r>
        <w:rPr>
          <w:rFonts w:eastAsia="Times New Roman"/>
          <w:color w:val="000000"/>
          <w:sz w:val="16"/>
          <w:szCs w:val="16"/>
        </w:rPr>
        <w:t>_____________________________________________________________</w:t>
      </w:r>
    </w:p>
    <w:p w:rsidR="00000000" w:rsidRDefault="00D65F33">
      <w:pPr>
        <w:jc w:val="center"/>
        <w:rPr>
          <w:rFonts w:eastAsia="Times New Roman"/>
        </w:rPr>
      </w:pPr>
      <w:r>
        <w:rPr>
          <w:rFonts w:eastAsia="Times New Roman"/>
          <w:b/>
          <w:bCs/>
          <w:color w:val="000000"/>
          <w:sz w:val="32"/>
          <w:szCs w:val="32"/>
        </w:rPr>
        <w:t xml:space="preserve">FORM 10-Q </w:t>
      </w:r>
    </w:p>
    <w:p w:rsidR="00000000" w:rsidRDefault="00D65F33">
      <w:pPr>
        <w:jc w:val="center"/>
        <w:rPr>
          <w:rFonts w:eastAsia="Times New Roman"/>
        </w:rPr>
      </w:pPr>
      <w:r>
        <w:rPr>
          <w:rFonts w:eastAsia="Times New Roman"/>
          <w:color w:val="000000"/>
          <w:sz w:val="16"/>
          <w:szCs w:val="16"/>
        </w:rPr>
        <w:t>_____________________________________________________________</w:t>
      </w:r>
    </w:p>
    <w:p w:rsidR="00000000" w:rsidRDefault="00D65F33">
      <w:pPr>
        <w:ind w:hanging="360"/>
        <w:jc w:val="center"/>
        <w:rPr>
          <w:rFonts w:eastAsia="Times New Roman"/>
        </w:rPr>
      </w:pPr>
    </w:p>
    <w:p w:rsidR="00000000" w:rsidRDefault="00D65F33">
      <w:pPr>
        <w:divId w:val="593518488"/>
        <w:rPr>
          <w:rFonts w:eastAsia="Times New Roman"/>
        </w:rPr>
      </w:pPr>
    </w:p>
    <w:p w:rsidR="00000000" w:rsidRDefault="00D65F33">
      <w:pPr>
        <w:jc w:val="center"/>
        <w:rPr>
          <w:rFonts w:eastAsia="Times New Roman"/>
        </w:rPr>
      </w:pPr>
      <w:r>
        <w:rPr>
          <w:rFonts w:eastAsia="Times New Roman"/>
          <w:b/>
          <w:bCs/>
          <w:color w:val="000000"/>
          <w:sz w:val="6"/>
          <w:szCs w:val="6"/>
        </w:rPr>
        <w:t>    </w:t>
      </w:r>
      <w:r>
        <w:rPr>
          <w:rFonts w:ascii="Segoe UI Symbol" w:eastAsia="Times New Roman" w:hAnsi="Segoe UI Symbol" w:cs="Segoe UI Symbol"/>
          <w:color w:val="000000"/>
        </w:rPr>
        <w:t>☒</w:t>
      </w:r>
      <w:r>
        <w:rPr>
          <w:rFonts w:eastAsia="Times New Roman"/>
          <w:b/>
          <w:bCs/>
          <w:color w:val="000000"/>
          <w:sz w:val="6"/>
          <w:szCs w:val="6"/>
        </w:rPr>
        <w:t>   </w:t>
      </w:r>
      <w:r>
        <w:rPr>
          <w:rFonts w:eastAsia="Times New Roman"/>
          <w:b/>
          <w:bCs/>
          <w:color w:val="000000"/>
        </w:rPr>
        <w:t xml:space="preserve"> </w:t>
      </w:r>
      <w:r>
        <w:rPr>
          <w:rFonts w:eastAsia="Times New Roman"/>
          <w:b/>
          <w:bCs/>
          <w:color w:val="000000"/>
          <w:sz w:val="20"/>
          <w:szCs w:val="20"/>
        </w:rPr>
        <w:t>QUARTERLY REPORT PURSUANT TO SECTION 13 OR 15(d) OF THE SECURITIES EXCHANGE ACT OF 1934</w:t>
      </w:r>
      <w:r>
        <w:rPr>
          <w:rFonts w:eastAsia="Times New Roman"/>
          <w:color w:val="000000"/>
          <w:sz w:val="20"/>
          <w:szCs w:val="20"/>
        </w:rPr>
        <w:t> </w:t>
      </w:r>
    </w:p>
    <w:p w:rsidR="00000000" w:rsidRDefault="00D65F33">
      <w:pPr>
        <w:jc w:val="center"/>
        <w:divId w:val="1910115528"/>
        <w:rPr>
          <w:rFonts w:eastAsia="Times New Roman"/>
        </w:rPr>
      </w:pPr>
      <w:r>
        <w:rPr>
          <w:rFonts w:eastAsia="Times New Roman"/>
          <w:b/>
          <w:bCs/>
          <w:color w:val="000000"/>
          <w:sz w:val="20"/>
          <w:szCs w:val="20"/>
        </w:rPr>
        <w:t>For the qu</w:t>
      </w:r>
      <w:r>
        <w:rPr>
          <w:rFonts w:eastAsia="Times New Roman"/>
          <w:b/>
          <w:bCs/>
          <w:color w:val="000000"/>
          <w:sz w:val="20"/>
          <w:szCs w:val="20"/>
        </w:rPr>
        <w:t xml:space="preserve">arterly period ended March 29, 2022 </w:t>
      </w:r>
    </w:p>
    <w:p w:rsidR="00000000" w:rsidRDefault="00D65F33">
      <w:pPr>
        <w:jc w:val="center"/>
        <w:divId w:val="1692875169"/>
        <w:rPr>
          <w:rFonts w:eastAsia="Times New Roman"/>
        </w:rPr>
      </w:pPr>
      <w:r>
        <w:rPr>
          <w:rFonts w:eastAsia="Times New Roman"/>
          <w:b/>
          <w:bCs/>
          <w:color w:val="000000"/>
          <w:sz w:val="20"/>
          <w:szCs w:val="20"/>
        </w:rPr>
        <w:t>or</w:t>
      </w:r>
    </w:p>
    <w:p w:rsidR="00000000" w:rsidRDefault="00D65F33">
      <w:pPr>
        <w:jc w:val="center"/>
        <w:divId w:val="1538354827"/>
        <w:rPr>
          <w:rFonts w:eastAsia="Times New Roman"/>
        </w:rPr>
      </w:pPr>
      <w:r>
        <w:rPr>
          <w:rFonts w:eastAsia="Times New Roman"/>
          <w:color w:val="000000"/>
          <w:sz w:val="6"/>
          <w:szCs w:val="6"/>
        </w:rPr>
        <w:t>    </w:t>
      </w:r>
      <w:r>
        <w:rPr>
          <w:rFonts w:ascii="Segoe UI Symbol" w:eastAsia="Times New Roman" w:hAnsi="Segoe UI Symbol" w:cs="Segoe UI Symbol"/>
          <w:color w:val="000000"/>
        </w:rPr>
        <w:t>☐</w:t>
      </w:r>
      <w:r>
        <w:rPr>
          <w:rFonts w:ascii="Wingdings" w:eastAsia="Times New Roman" w:hAnsi="Wingdings"/>
          <w:b/>
          <w:bCs/>
          <w:color w:val="000000"/>
        </w:rPr>
        <w:t xml:space="preserve"> </w:t>
      </w:r>
      <w:r>
        <w:rPr>
          <w:rFonts w:eastAsia="Times New Roman"/>
          <w:b/>
          <w:bCs/>
          <w:color w:val="000000"/>
          <w:sz w:val="20"/>
          <w:szCs w:val="20"/>
        </w:rPr>
        <w:t>TRANSITION REPORT PURSUANT TO SECTION 13 OR 15(d) OF THE SECURITIES EXCHANGE ACT OF 1934</w:t>
      </w:r>
    </w:p>
    <w:p w:rsidR="00000000" w:rsidRDefault="00D65F33">
      <w:pPr>
        <w:jc w:val="center"/>
        <w:divId w:val="1672638118"/>
        <w:rPr>
          <w:rFonts w:eastAsia="Times New Roman"/>
        </w:rPr>
      </w:pPr>
      <w:r>
        <w:rPr>
          <w:rFonts w:eastAsia="Times New Roman"/>
          <w:b/>
          <w:bCs/>
          <w:color w:val="000000"/>
          <w:sz w:val="20"/>
          <w:szCs w:val="20"/>
        </w:rPr>
        <w:t>For the transition period from             to            </w:t>
      </w:r>
    </w:p>
    <w:p w:rsidR="00000000" w:rsidRDefault="00D65F33">
      <w:pPr>
        <w:jc w:val="center"/>
        <w:divId w:val="287392622"/>
        <w:rPr>
          <w:rFonts w:eastAsia="Times New Roman"/>
        </w:rPr>
      </w:pPr>
      <w:r>
        <w:rPr>
          <w:rFonts w:eastAsia="Times New Roman"/>
          <w:b/>
          <w:bCs/>
          <w:color w:val="000000"/>
          <w:sz w:val="20"/>
          <w:szCs w:val="20"/>
        </w:rPr>
        <w:t xml:space="preserve">Commission File Number: 001-35987 </w:t>
      </w:r>
    </w:p>
    <w:p w:rsidR="00000000" w:rsidRDefault="00D65F33">
      <w:pPr>
        <w:jc w:val="center"/>
        <w:rPr>
          <w:rFonts w:eastAsia="Times New Roman"/>
        </w:rPr>
      </w:pPr>
      <w:r>
        <w:rPr>
          <w:rFonts w:eastAsia="Times New Roman"/>
          <w:color w:val="000000"/>
          <w:sz w:val="16"/>
          <w:szCs w:val="16"/>
        </w:rPr>
        <w:t>___________________________________________________________</w:t>
      </w:r>
    </w:p>
    <w:p w:rsidR="00000000" w:rsidRDefault="00D65F33">
      <w:pPr>
        <w:jc w:val="center"/>
        <w:divId w:val="2051221521"/>
        <w:rPr>
          <w:rFonts w:eastAsia="Times New Roman"/>
        </w:rPr>
      </w:pPr>
      <w:r>
        <w:rPr>
          <w:rFonts w:eastAsia="Times New Roman"/>
          <w:b/>
          <w:bCs/>
          <w:color w:val="000000"/>
          <w:sz w:val="32"/>
          <w:szCs w:val="32"/>
        </w:rPr>
        <w:t xml:space="preserve">NOODLES &amp; COMPANY </w:t>
      </w:r>
    </w:p>
    <w:p w:rsidR="00000000" w:rsidRDefault="00D65F33">
      <w:pPr>
        <w:jc w:val="center"/>
        <w:divId w:val="680738552"/>
        <w:rPr>
          <w:rFonts w:eastAsia="Times New Roman"/>
        </w:rPr>
      </w:pPr>
      <w:r>
        <w:rPr>
          <w:rFonts w:eastAsia="Times New Roman"/>
          <w:color w:val="000000"/>
          <w:sz w:val="16"/>
          <w:szCs w:val="16"/>
        </w:rPr>
        <w:t>(Exact name of registrant as specified in its charter)</w:t>
      </w:r>
    </w:p>
    <w:p w:rsidR="00000000" w:rsidRDefault="00D65F33">
      <w:pPr>
        <w:jc w:val="center"/>
        <w:rPr>
          <w:rFonts w:eastAsia="Times New Roman"/>
        </w:rPr>
      </w:pPr>
      <w:r>
        <w:rPr>
          <w:rFonts w:eastAsia="Times New Roman"/>
          <w:color w:val="000000"/>
          <w:sz w:val="16"/>
          <w:szCs w:val="16"/>
        </w:rPr>
        <w:t>_____________________________________________________________</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6"/>
        <w:gridCol w:w="36"/>
        <w:gridCol w:w="179"/>
        <w:gridCol w:w="36"/>
        <w:gridCol w:w="61"/>
        <w:gridCol w:w="3931"/>
        <w:gridCol w:w="36"/>
      </w:tblGrid>
      <w:tr w:rsidR="00000000">
        <w:trPr>
          <w:divId w:val="1155415785"/>
          <w:jc w:val="center"/>
        </w:trPr>
        <w:tc>
          <w:tcPr>
            <w:tcW w:w="50" w:type="pct"/>
            <w:vAlign w:val="center"/>
            <w:hideMark/>
          </w:tcPr>
          <w:p w:rsidR="00000000" w:rsidRDefault="00D65F33">
            <w:pPr>
              <w:jc w:val="center"/>
              <w:rPr>
                <w:rFonts w:eastAsia="Times New Roman"/>
              </w:rPr>
            </w:pPr>
          </w:p>
        </w:tc>
        <w:tc>
          <w:tcPr>
            <w:tcW w:w="237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12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237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divId w:val="1155415785"/>
          <w:jc w:val="center"/>
        </w:trPr>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20"/>
                <w:szCs w:val="20"/>
              </w:rPr>
              <w:t>84-1303469</w:t>
            </w:r>
          </w:p>
        </w:tc>
      </w:tr>
      <w:tr w:rsidR="00000000">
        <w:trPr>
          <w:divId w:val="1155415785"/>
          <w:jc w:val="center"/>
        </w:trPr>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20"/>
                <w:szCs w:val="20"/>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
                <w:szCs w:val="2"/>
              </w:rPr>
              <w:t> </w:t>
            </w: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20"/>
                <w:szCs w:val="20"/>
              </w:rPr>
              <w:t>(I.R.S. Employer Identification No.)</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30"/>
        <w:gridCol w:w="37"/>
        <w:gridCol w:w="36"/>
        <w:gridCol w:w="179"/>
        <w:gridCol w:w="36"/>
        <w:gridCol w:w="61"/>
        <w:gridCol w:w="3930"/>
        <w:gridCol w:w="36"/>
      </w:tblGrid>
      <w:tr w:rsidR="00000000">
        <w:trPr>
          <w:jc w:val="center"/>
        </w:trPr>
        <w:tc>
          <w:tcPr>
            <w:tcW w:w="50" w:type="pct"/>
            <w:vAlign w:val="center"/>
            <w:hideMark/>
          </w:tcPr>
          <w:p w:rsidR="00000000" w:rsidRDefault="00D65F33">
            <w:pPr>
              <w:jc w:val="center"/>
              <w:rPr>
                <w:rFonts w:eastAsia="Times New Roman"/>
              </w:rPr>
            </w:pPr>
          </w:p>
        </w:tc>
        <w:tc>
          <w:tcPr>
            <w:tcW w:w="237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12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237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20"/>
                <w:szCs w:val="20"/>
              </w:rPr>
              <w:t>520 Zang Street, Suite D</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2"/>
                <w:szCs w:val="2"/>
              </w:rPr>
              <w:t> </w:t>
            </w:r>
          </w:p>
        </w:tc>
      </w:tr>
      <w:tr w:rsidR="00000000">
        <w:trPr>
          <w:jc w:val="center"/>
        </w:trPr>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20"/>
                <w:szCs w:val="20"/>
              </w:rPr>
              <w:t>Broomfield, CO</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20"/>
                <w:szCs w:val="20"/>
              </w:rPr>
              <w:t>80021</w:t>
            </w:r>
          </w:p>
        </w:tc>
      </w:tr>
      <w:tr w:rsidR="00000000">
        <w:trPr>
          <w:jc w:val="center"/>
        </w:trPr>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20"/>
                <w:szCs w:val="20"/>
              </w:rPr>
              <w:t>(Address of principal executive offices)</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20"/>
                <w:szCs w:val="20"/>
              </w:rPr>
              <w:t>(Zip Code)</w:t>
            </w:r>
          </w:p>
        </w:tc>
      </w:tr>
    </w:tbl>
    <w:p w:rsidR="00000000" w:rsidRDefault="00D65F33">
      <w:pPr>
        <w:jc w:val="center"/>
        <w:rPr>
          <w:rFonts w:eastAsia="Times New Roman"/>
        </w:rPr>
      </w:pPr>
    </w:p>
    <w:p w:rsidR="00000000" w:rsidRDefault="00D65F33">
      <w:pPr>
        <w:jc w:val="center"/>
        <w:rPr>
          <w:rFonts w:eastAsia="Times New Roman"/>
        </w:rPr>
      </w:pPr>
      <w:r>
        <w:rPr>
          <w:rFonts w:eastAsia="Times New Roman"/>
          <w:b/>
          <w:bCs/>
          <w:color w:val="000000"/>
          <w:sz w:val="20"/>
          <w:szCs w:val="20"/>
        </w:rPr>
        <w:t>(720) 214-1900</w:t>
      </w:r>
    </w:p>
    <w:p w:rsidR="00000000" w:rsidRDefault="00D65F33">
      <w:pPr>
        <w:jc w:val="center"/>
        <w:rPr>
          <w:rFonts w:eastAsia="Times New Roman"/>
        </w:rPr>
      </w:pPr>
      <w:r>
        <w:rPr>
          <w:rFonts w:eastAsia="Times New Roman"/>
          <w:color w:val="000000"/>
          <w:sz w:val="16"/>
          <w:szCs w:val="16"/>
        </w:rPr>
        <w:t>(Registrant’s telephone number, including area code)</w:t>
      </w:r>
    </w:p>
    <w:p w:rsidR="00000000" w:rsidRDefault="00D65F33">
      <w:pPr>
        <w:jc w:val="center"/>
        <w:rPr>
          <w:rFonts w:eastAsia="Times New Roman"/>
        </w:rPr>
      </w:pPr>
      <w:r>
        <w:rPr>
          <w:rFonts w:eastAsia="Times New Roman"/>
          <w:color w:val="000000"/>
          <w:sz w:val="16"/>
          <w:szCs w:val="16"/>
        </w:rPr>
        <w:t>(Former name, former address and former fiscal year, if changed since last report)</w:t>
      </w:r>
    </w:p>
    <w:p w:rsidR="00000000" w:rsidRDefault="00D65F33">
      <w:pPr>
        <w:jc w:val="center"/>
        <w:rPr>
          <w:rFonts w:eastAsia="Times New Roman"/>
        </w:rPr>
      </w:pPr>
    </w:p>
    <w:p w:rsidR="00000000" w:rsidRDefault="00D65F33">
      <w:pPr>
        <w:jc w:val="center"/>
        <w:rPr>
          <w:rFonts w:eastAsia="Times New Roman"/>
        </w:rPr>
      </w:pPr>
      <w:r>
        <w:rPr>
          <w:rFonts w:eastAsia="Times New Roman"/>
          <w:color w:val="000000"/>
          <w:sz w:val="16"/>
          <w:szCs w:val="16"/>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015"/>
        <w:gridCol w:w="37"/>
        <w:gridCol w:w="69"/>
        <w:gridCol w:w="1606"/>
        <w:gridCol w:w="36"/>
        <w:gridCol w:w="69"/>
        <w:gridCol w:w="3356"/>
        <w:gridCol w:w="36"/>
      </w:tblGrid>
      <w:tr w:rsidR="00000000">
        <w:trPr>
          <w:jc w:val="center"/>
        </w:trPr>
        <w:tc>
          <w:tcPr>
            <w:tcW w:w="50" w:type="pct"/>
            <w:vAlign w:val="center"/>
            <w:hideMark/>
          </w:tcPr>
          <w:p w:rsidR="00000000" w:rsidRDefault="00D65F33">
            <w:pPr>
              <w:jc w:val="center"/>
              <w:rPr>
                <w:rFonts w:eastAsia="Times New Roman"/>
              </w:rPr>
            </w:pPr>
          </w:p>
        </w:tc>
        <w:tc>
          <w:tcPr>
            <w:tcW w:w="18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977"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203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jc w:val="center"/>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Trading Symbol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Name of each exchange on which registered</w:t>
            </w:r>
          </w:p>
        </w:tc>
      </w:tr>
      <w:tr w:rsidR="00000000">
        <w:trPr>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Class A Common Stock, $0.01 par value per share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NDLS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Nasdaq Global Select Market</w:t>
            </w:r>
          </w:p>
        </w:tc>
      </w:tr>
    </w:tbl>
    <w:p w:rsidR="00000000" w:rsidRDefault="00D65F33">
      <w:pPr>
        <w:jc w:val="center"/>
        <w:rPr>
          <w:rFonts w:eastAsia="Times New Roman"/>
        </w:rPr>
      </w:pPr>
      <w:r>
        <w:rPr>
          <w:rFonts w:eastAsia="Times New Roman"/>
          <w:color w:val="000000"/>
          <w:sz w:val="16"/>
          <w:szCs w:val="16"/>
        </w:rPr>
        <w:t> </w:t>
      </w:r>
    </w:p>
    <w:p w:rsidR="00000000" w:rsidRDefault="00D65F33">
      <w:pPr>
        <w:ind w:firstLine="270"/>
        <w:divId w:val="1266570671"/>
        <w:rPr>
          <w:rFonts w:eastAsia="Times New Roman"/>
        </w:rPr>
      </w:pPr>
      <w:r>
        <w:rPr>
          <w:rFonts w:eastAsia="Times New Roman"/>
          <w:color w:val="000000"/>
          <w:sz w:val="16"/>
          <w:szCs w:val="16"/>
        </w:rPr>
        <w:t>Indicate by check mark whether the registrant (1) </w:t>
      </w:r>
      <w:r>
        <w:rPr>
          <w:rFonts w:eastAsia="Times New Roman"/>
          <w:color w:val="000000"/>
          <w:sz w:val="16"/>
          <w:szCs w:val="16"/>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6"/>
          <w:szCs w:val="16"/>
        </w:rPr>
        <w:t>ing requirements for the past 90 days.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p>
    <w:p w:rsidR="00000000" w:rsidRDefault="00D65F33">
      <w:pPr>
        <w:ind w:firstLine="270"/>
        <w:divId w:val="740715854"/>
        <w:rPr>
          <w:rFonts w:eastAsia="Times New Roman"/>
        </w:rPr>
      </w:pPr>
      <w:r>
        <w:rPr>
          <w:rFonts w:eastAsia="Times New Roman"/>
          <w:color w:val="000000"/>
          <w:sz w:val="16"/>
          <w:szCs w:val="16"/>
        </w:rPr>
        <w:t> </w:t>
      </w:r>
    </w:p>
    <w:p w:rsidR="00000000" w:rsidRDefault="00D65F33">
      <w:pPr>
        <w:ind w:firstLine="270"/>
        <w:divId w:val="1595746791"/>
        <w:rPr>
          <w:rFonts w:eastAsia="Times New Roman"/>
        </w:rPr>
      </w:pPr>
      <w:r>
        <w:rPr>
          <w:rFonts w:eastAsia="Times New Roman"/>
          <w:color w:val="000000"/>
          <w:sz w:val="16"/>
          <w:szCs w:val="16"/>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16"/>
          <w:szCs w:val="16"/>
        </w:rPr>
        <w:t>t the registrant was required to submit such files).  </w:t>
      </w:r>
    </w:p>
    <w:p w:rsidR="00000000" w:rsidRDefault="00D65F33">
      <w:pPr>
        <w:ind w:firstLine="270"/>
        <w:divId w:val="356548012"/>
        <w:rPr>
          <w:rFonts w:eastAsia="Times New Roman"/>
        </w:rPr>
      </w:pPr>
      <w:r>
        <w:rPr>
          <w:rFonts w:eastAsia="Times New Roman"/>
          <w:color w:val="000000"/>
          <w:sz w:val="16"/>
          <w:szCs w:val="16"/>
        </w:rPr>
        <w:t>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ascii="Wingdings" w:eastAsia="Times New Roman" w:hAnsi="Wingdings"/>
          <w:color w:val="000000"/>
          <w:sz w:val="16"/>
          <w:szCs w:val="16"/>
        </w:rPr>
        <w:t xml:space="preserve"> </w:t>
      </w:r>
      <w:r>
        <w:rPr>
          <w:rFonts w:eastAsia="Times New Roman"/>
          <w:color w:val="000000"/>
          <w:sz w:val="16"/>
          <w:szCs w:val="16"/>
        </w:rPr>
        <w:t>No </w:t>
      </w:r>
      <w:r>
        <w:rPr>
          <w:rFonts w:ascii="Segoe UI Symbol" w:eastAsia="Times New Roman" w:hAnsi="Segoe UI Symbol" w:cs="Segoe UI Symbol"/>
          <w:color w:val="000000"/>
          <w:sz w:val="16"/>
          <w:szCs w:val="16"/>
        </w:rPr>
        <w:t>☐</w:t>
      </w:r>
    </w:p>
    <w:p w:rsidR="00000000" w:rsidRDefault="00D65F33">
      <w:pPr>
        <w:ind w:firstLine="270"/>
        <w:divId w:val="1413316316"/>
        <w:rPr>
          <w:rFonts w:eastAsia="Times New Roman"/>
        </w:rPr>
      </w:pPr>
    </w:p>
    <w:p w:rsidR="00000000" w:rsidRDefault="00D65F33">
      <w:pPr>
        <w:ind w:firstLine="270"/>
        <w:divId w:val="1770613524"/>
        <w:rPr>
          <w:rFonts w:eastAsia="Times New Roman"/>
        </w:rPr>
      </w:pPr>
      <w:r>
        <w:rPr>
          <w:rFonts w:eastAsia="Times New Roman"/>
          <w:color w:val="000000"/>
          <w:sz w:val="16"/>
          <w:szCs w:val="16"/>
        </w:rPr>
        <w:lastRenderedPageBreak/>
        <w:t>Indicate by check mark whether the registrant is a large accelerated filer, an accelerated filer, a non-accelerated filer, or a smaller reporting company.  See the definitions of “large a</w:t>
      </w:r>
      <w:r>
        <w:rPr>
          <w:rFonts w:eastAsia="Times New Roman"/>
          <w:color w:val="000000"/>
          <w:sz w:val="16"/>
          <w:szCs w:val="16"/>
        </w:rPr>
        <w:t>ccelerated filer,” “accelerated filer,” “smaller reporting company,” and “emerging growth company” in Rule 12b-2 of the Exchange Act.</w:t>
      </w:r>
    </w:p>
    <w:tbl>
      <w:tblPr>
        <w:tblW w:w="10275" w:type="dxa"/>
        <w:jc w:val="center"/>
        <w:tblCellMar>
          <w:top w:w="15" w:type="dxa"/>
          <w:left w:w="15" w:type="dxa"/>
          <w:bottom w:w="15" w:type="dxa"/>
          <w:right w:w="15" w:type="dxa"/>
        </w:tblCellMar>
        <w:tblLook w:val="04A0" w:firstRow="1" w:lastRow="0" w:firstColumn="1" w:lastColumn="0" w:noHBand="0" w:noVBand="1"/>
      </w:tblPr>
      <w:tblGrid>
        <w:gridCol w:w="36"/>
        <w:gridCol w:w="4079"/>
        <w:gridCol w:w="36"/>
        <w:gridCol w:w="36"/>
        <w:gridCol w:w="243"/>
        <w:gridCol w:w="36"/>
        <w:gridCol w:w="36"/>
        <w:gridCol w:w="1271"/>
        <w:gridCol w:w="36"/>
        <w:gridCol w:w="36"/>
        <w:gridCol w:w="4079"/>
        <w:gridCol w:w="36"/>
        <w:gridCol w:w="36"/>
        <w:gridCol w:w="243"/>
        <w:gridCol w:w="36"/>
      </w:tblGrid>
      <w:tr w:rsidR="00000000">
        <w:trPr>
          <w:divId w:val="227964796"/>
          <w:jc w:val="center"/>
        </w:trPr>
        <w:tc>
          <w:tcPr>
            <w:tcW w:w="20" w:type="dxa"/>
            <w:vAlign w:val="center"/>
            <w:hideMark/>
          </w:tcPr>
          <w:p w:rsidR="00000000" w:rsidRDefault="00D65F33">
            <w:pPr>
              <w:ind w:firstLine="270"/>
              <w:rPr>
                <w:rFonts w:eastAsia="Times New Roman"/>
              </w:rPr>
            </w:pPr>
          </w:p>
        </w:tc>
        <w:tc>
          <w:tcPr>
            <w:tcW w:w="4145" w:type="dxa"/>
            <w:vAlign w:val="center"/>
            <w:hideMark/>
          </w:tcPr>
          <w:p w:rsidR="00000000" w:rsidRDefault="00D65F33">
            <w:pPr>
              <w:spacing w:after="100"/>
              <w:rPr>
                <w:rFonts w:eastAsia="Times New Roman"/>
                <w:sz w:val="20"/>
                <w:szCs w:val="20"/>
              </w:rPr>
            </w:pPr>
          </w:p>
        </w:tc>
        <w:tc>
          <w:tcPr>
            <w:tcW w:w="20" w:type="dxa"/>
            <w:vAlign w:val="center"/>
            <w:hideMark/>
          </w:tcPr>
          <w:p w:rsidR="00000000" w:rsidRDefault="00D65F33">
            <w:pPr>
              <w:spacing w:after="100"/>
              <w:rPr>
                <w:rFonts w:eastAsia="Times New Roman"/>
                <w:sz w:val="20"/>
                <w:szCs w:val="20"/>
              </w:rPr>
            </w:pPr>
          </w:p>
        </w:tc>
        <w:tc>
          <w:tcPr>
            <w:tcW w:w="20" w:type="dxa"/>
            <w:vAlign w:val="center"/>
            <w:hideMark/>
          </w:tcPr>
          <w:p w:rsidR="00000000" w:rsidRDefault="00D65F33">
            <w:pPr>
              <w:spacing w:after="100"/>
              <w:rPr>
                <w:rFonts w:eastAsia="Times New Roman"/>
                <w:sz w:val="20"/>
                <w:szCs w:val="20"/>
              </w:rPr>
            </w:pPr>
          </w:p>
        </w:tc>
        <w:tc>
          <w:tcPr>
            <w:tcW w:w="245" w:type="dxa"/>
            <w:vAlign w:val="center"/>
            <w:hideMark/>
          </w:tcPr>
          <w:p w:rsidR="00000000" w:rsidRDefault="00D65F33">
            <w:pPr>
              <w:spacing w:after="100"/>
              <w:rPr>
                <w:rFonts w:eastAsia="Times New Roman"/>
                <w:sz w:val="20"/>
                <w:szCs w:val="20"/>
              </w:rPr>
            </w:pPr>
          </w:p>
        </w:tc>
        <w:tc>
          <w:tcPr>
            <w:tcW w:w="20" w:type="dxa"/>
            <w:vAlign w:val="center"/>
            <w:hideMark/>
          </w:tcPr>
          <w:p w:rsidR="00000000" w:rsidRDefault="00D65F33">
            <w:pPr>
              <w:spacing w:after="100"/>
              <w:rPr>
                <w:rFonts w:eastAsia="Times New Roman"/>
                <w:sz w:val="20"/>
                <w:szCs w:val="20"/>
              </w:rPr>
            </w:pPr>
          </w:p>
        </w:tc>
        <w:tc>
          <w:tcPr>
            <w:tcW w:w="20" w:type="dxa"/>
            <w:vAlign w:val="center"/>
            <w:hideMark/>
          </w:tcPr>
          <w:p w:rsidR="00000000" w:rsidRDefault="00D65F33">
            <w:pPr>
              <w:spacing w:after="100"/>
              <w:rPr>
                <w:rFonts w:eastAsia="Times New Roman"/>
                <w:sz w:val="20"/>
                <w:szCs w:val="20"/>
              </w:rPr>
            </w:pPr>
          </w:p>
        </w:tc>
        <w:tc>
          <w:tcPr>
            <w:tcW w:w="1295" w:type="dxa"/>
            <w:vAlign w:val="center"/>
            <w:hideMark/>
          </w:tcPr>
          <w:p w:rsidR="00000000" w:rsidRDefault="00D65F33">
            <w:pPr>
              <w:spacing w:after="100"/>
              <w:rPr>
                <w:rFonts w:eastAsia="Times New Roman"/>
                <w:sz w:val="20"/>
                <w:szCs w:val="20"/>
              </w:rPr>
            </w:pPr>
          </w:p>
        </w:tc>
        <w:tc>
          <w:tcPr>
            <w:tcW w:w="20" w:type="dxa"/>
            <w:vAlign w:val="center"/>
            <w:hideMark/>
          </w:tcPr>
          <w:p w:rsidR="00000000" w:rsidRDefault="00D65F33">
            <w:pPr>
              <w:spacing w:after="100"/>
              <w:rPr>
                <w:rFonts w:eastAsia="Times New Roman"/>
                <w:sz w:val="20"/>
                <w:szCs w:val="20"/>
              </w:rPr>
            </w:pPr>
          </w:p>
        </w:tc>
        <w:tc>
          <w:tcPr>
            <w:tcW w:w="20" w:type="dxa"/>
            <w:vAlign w:val="center"/>
            <w:hideMark/>
          </w:tcPr>
          <w:p w:rsidR="00000000" w:rsidRDefault="00D65F33">
            <w:pPr>
              <w:spacing w:after="100"/>
              <w:rPr>
                <w:rFonts w:eastAsia="Times New Roman"/>
                <w:sz w:val="20"/>
                <w:szCs w:val="20"/>
              </w:rPr>
            </w:pPr>
          </w:p>
        </w:tc>
        <w:tc>
          <w:tcPr>
            <w:tcW w:w="4145" w:type="dxa"/>
            <w:vAlign w:val="center"/>
            <w:hideMark/>
          </w:tcPr>
          <w:p w:rsidR="00000000" w:rsidRDefault="00D65F33">
            <w:pPr>
              <w:spacing w:after="100"/>
              <w:rPr>
                <w:rFonts w:eastAsia="Times New Roman"/>
                <w:sz w:val="20"/>
                <w:szCs w:val="20"/>
              </w:rPr>
            </w:pPr>
          </w:p>
        </w:tc>
        <w:tc>
          <w:tcPr>
            <w:tcW w:w="20" w:type="dxa"/>
            <w:vAlign w:val="center"/>
            <w:hideMark/>
          </w:tcPr>
          <w:p w:rsidR="00000000" w:rsidRDefault="00D65F33">
            <w:pPr>
              <w:spacing w:after="100"/>
              <w:rPr>
                <w:rFonts w:eastAsia="Times New Roman"/>
                <w:sz w:val="20"/>
                <w:szCs w:val="20"/>
              </w:rPr>
            </w:pPr>
          </w:p>
        </w:tc>
        <w:tc>
          <w:tcPr>
            <w:tcW w:w="20" w:type="dxa"/>
            <w:vAlign w:val="center"/>
            <w:hideMark/>
          </w:tcPr>
          <w:p w:rsidR="00000000" w:rsidRDefault="00D65F33">
            <w:pPr>
              <w:spacing w:after="100"/>
              <w:rPr>
                <w:rFonts w:eastAsia="Times New Roman"/>
                <w:sz w:val="20"/>
                <w:szCs w:val="20"/>
              </w:rPr>
            </w:pPr>
          </w:p>
        </w:tc>
        <w:tc>
          <w:tcPr>
            <w:tcW w:w="245" w:type="dxa"/>
            <w:vAlign w:val="center"/>
            <w:hideMark/>
          </w:tcPr>
          <w:p w:rsidR="00000000" w:rsidRDefault="00D65F33">
            <w:pPr>
              <w:spacing w:after="100"/>
              <w:rPr>
                <w:rFonts w:eastAsia="Times New Roman"/>
                <w:sz w:val="20"/>
                <w:szCs w:val="20"/>
              </w:rPr>
            </w:pPr>
          </w:p>
        </w:tc>
        <w:tc>
          <w:tcPr>
            <w:tcW w:w="20" w:type="dxa"/>
            <w:vAlign w:val="center"/>
            <w:hideMark/>
          </w:tcPr>
          <w:p w:rsidR="00000000" w:rsidRDefault="00D65F33">
            <w:pPr>
              <w:spacing w:after="100"/>
              <w:rPr>
                <w:rFonts w:eastAsia="Times New Roman"/>
                <w:sz w:val="20"/>
                <w:szCs w:val="20"/>
              </w:rPr>
            </w:pPr>
          </w:p>
        </w:tc>
      </w:tr>
      <w:tr w:rsidR="00000000">
        <w:trPr>
          <w:divId w:val="227964796"/>
          <w:trHeight w:val="280"/>
          <w:jc w:val="center"/>
        </w:trPr>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Large accelerated filer</w:t>
            </w: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ascii="Segoe UI Symbol" w:eastAsia="Times New Roman" w:hAnsi="Segoe UI Symbol" w:cs="Segoe UI Symbol"/>
                <w:color w:val="000000"/>
                <w:sz w:val="20"/>
                <w:szCs w:val="20"/>
              </w:rPr>
              <w:t>☒</w:t>
            </w:r>
          </w:p>
        </w:tc>
      </w:tr>
      <w:tr w:rsidR="00000000">
        <w:trPr>
          <w:divId w:val="227964796"/>
          <w:trHeight w:val="60"/>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r>
      <w:tr w:rsidR="00000000">
        <w:trPr>
          <w:divId w:val="227964796"/>
          <w:trHeight w:val="240"/>
          <w:jc w:val="center"/>
        </w:trPr>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Non-accelerated filer </w:t>
            </w: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ascii="Segoe UI Symbol" w:eastAsia="Times New Roman" w:hAnsi="Segoe UI Symbol" w:cs="Segoe UI Symbol"/>
                <w:color w:val="000000"/>
                <w:sz w:val="20"/>
                <w:szCs w:val="20"/>
              </w:rPr>
              <w:t>☐</w:t>
            </w:r>
          </w:p>
        </w:tc>
      </w:tr>
      <w:tr w:rsidR="00000000">
        <w:trPr>
          <w:divId w:val="227964796"/>
          <w:trHeight w:val="280"/>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ascii="Segoe UI Symbol" w:eastAsia="Times New Roman" w:hAnsi="Segoe UI Symbol" w:cs="Segoe UI Symbol"/>
                <w:color w:val="000000"/>
                <w:sz w:val="20"/>
                <w:szCs w:val="20"/>
              </w:rPr>
              <w:t>☐</w:t>
            </w:r>
          </w:p>
        </w:tc>
      </w:tr>
    </w:tbl>
    <w:p w:rsidR="00000000" w:rsidRDefault="00D65F33">
      <w:pPr>
        <w:divId w:val="1779324879"/>
        <w:rPr>
          <w:rFonts w:eastAsia="Times New Roman"/>
        </w:rPr>
      </w:pPr>
      <w:r>
        <w:rPr>
          <w:rFonts w:eastAsia="Times New Roman"/>
          <w:color w:val="000000"/>
          <w:sz w:val="16"/>
          <w:szCs w:val="16"/>
        </w:rPr>
        <w:t> </w:t>
      </w:r>
    </w:p>
    <w:p w:rsidR="00000000" w:rsidRDefault="00D65F33">
      <w:pPr>
        <w:ind w:firstLine="270"/>
        <w:divId w:val="1276518605"/>
        <w:rPr>
          <w:rFonts w:eastAsia="Times New Roman"/>
        </w:rPr>
      </w:pPr>
      <w:r>
        <w:rPr>
          <w:rFonts w:eastAsia="Times New Roman"/>
          <w:color w:val="000000"/>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6"/>
          <w:szCs w:val="16"/>
        </w:rPr>
        <w:t>☐</w:t>
      </w:r>
    </w:p>
    <w:p w:rsidR="00000000" w:rsidRDefault="00D65F33">
      <w:pPr>
        <w:ind w:firstLine="270"/>
        <w:divId w:val="1847548840"/>
        <w:rPr>
          <w:rFonts w:eastAsia="Times New Roman"/>
        </w:rPr>
      </w:pPr>
    </w:p>
    <w:p w:rsidR="00000000" w:rsidRDefault="00D65F33">
      <w:pPr>
        <w:ind w:firstLine="270"/>
        <w:divId w:val="1692142718"/>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 xml:space="preserve"> </w:t>
      </w:r>
      <w:r>
        <w:rPr>
          <w:rFonts w:ascii="Segoe UI Symbol" w:eastAsia="Times New Roman" w:hAnsi="Segoe UI Symbol" w:cs="Segoe UI Symbol"/>
          <w:color w:val="000000"/>
          <w:sz w:val="16"/>
          <w:szCs w:val="16"/>
        </w:rPr>
        <w:t>☒</w:t>
      </w:r>
    </w:p>
    <w:p w:rsidR="00000000" w:rsidRDefault="00D65F33">
      <w:pPr>
        <w:ind w:firstLine="270"/>
        <w:divId w:val="1065032320"/>
        <w:rPr>
          <w:rFonts w:eastAsia="Times New Roman"/>
        </w:rPr>
      </w:pPr>
      <w:r>
        <w:rPr>
          <w:rFonts w:eastAsia="Times New Roman"/>
          <w:color w:val="000000"/>
          <w:sz w:val="16"/>
          <w:szCs w:val="16"/>
        </w:rPr>
        <w:t> </w:t>
      </w:r>
    </w:p>
    <w:p w:rsidR="00000000" w:rsidRDefault="00D65F33">
      <w:pPr>
        <w:ind w:firstLine="270"/>
        <w:divId w:val="716857946"/>
        <w:rPr>
          <w:rFonts w:eastAsia="Times New Roman"/>
        </w:rPr>
      </w:pPr>
      <w:r>
        <w:rPr>
          <w:rFonts w:eastAsia="Times New Roman"/>
          <w:color w:val="000000"/>
          <w:sz w:val="16"/>
          <w:szCs w:val="16"/>
        </w:rPr>
        <w:t>Indicate the number of shares outstanding of each of the issuer’s classes of common stock, as of the latest practicable date</w:t>
      </w:r>
      <w:r>
        <w:rPr>
          <w:rFonts w:eastAsia="Times New Roman"/>
          <w:color w:val="000000"/>
          <w:sz w:val="16"/>
          <w:szCs w:val="16"/>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1"/>
        <w:gridCol w:w="3967"/>
        <w:gridCol w:w="36"/>
        <w:gridCol w:w="36"/>
        <w:gridCol w:w="119"/>
        <w:gridCol w:w="36"/>
        <w:gridCol w:w="61"/>
        <w:gridCol w:w="3954"/>
        <w:gridCol w:w="36"/>
      </w:tblGrid>
      <w:tr w:rsidR="00000000">
        <w:trPr>
          <w:divId w:val="20519262"/>
          <w:jc w:val="center"/>
        </w:trPr>
        <w:tc>
          <w:tcPr>
            <w:tcW w:w="50" w:type="pct"/>
            <w:vAlign w:val="center"/>
            <w:hideMark/>
          </w:tcPr>
          <w:p w:rsidR="00000000" w:rsidRDefault="00D65F33">
            <w:pPr>
              <w:ind w:firstLine="270"/>
              <w:rPr>
                <w:rFonts w:eastAsia="Times New Roman"/>
              </w:rPr>
            </w:pPr>
          </w:p>
        </w:tc>
        <w:tc>
          <w:tcPr>
            <w:tcW w:w="240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8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2393"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divId w:val="20519262"/>
          <w:jc w:val="center"/>
        </w:trPr>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Class</w:t>
            </w: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Outstanding at April 22, 2022</w:t>
            </w:r>
          </w:p>
        </w:tc>
      </w:tr>
      <w:tr w:rsidR="00000000">
        <w:trPr>
          <w:divId w:val="20519262"/>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Class A Common Stock, $0.01 par value per share</w:t>
            </w: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color w:val="000000"/>
                <w:sz w:val="16"/>
                <w:szCs w:val="16"/>
              </w:rPr>
              <w:t>45,834,723 shares</w:t>
            </w:r>
          </w:p>
        </w:tc>
      </w:tr>
    </w:tbl>
    <w:p w:rsidR="00000000" w:rsidRDefault="00D65F33">
      <w:pPr>
        <w:jc w:val="center"/>
        <w:divId w:val="1000616408"/>
        <w:rPr>
          <w:rFonts w:eastAsia="Times New Roman"/>
        </w:rPr>
      </w:pPr>
    </w:p>
    <w:p w:rsidR="00000000" w:rsidRDefault="00D65F33">
      <w:pPr>
        <w:rPr>
          <w:rFonts w:eastAsia="Times New Roman"/>
        </w:rPr>
      </w:pPr>
      <w:r>
        <w:rPr>
          <w:rFonts w:eastAsia="Times New Roman"/>
        </w:rPr>
        <w:pict>
          <v:rect id="_x0000_i1025" style="width:0;height:1.5pt" o:hralign="center" o:hrstd="t" o:hr="t" fillcolor="#a0a0a0" stroked="f"/>
        </w:pict>
      </w:r>
    </w:p>
    <w:p w:rsidR="00000000" w:rsidRDefault="00D65F33">
      <w:pPr>
        <w:divId w:val="1581868184"/>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center"/>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70"/>
        <w:gridCol w:w="657"/>
        <w:gridCol w:w="37"/>
        <w:gridCol w:w="70"/>
        <w:gridCol w:w="669"/>
        <w:gridCol w:w="37"/>
        <w:gridCol w:w="69"/>
        <w:gridCol w:w="6113"/>
        <w:gridCol w:w="38"/>
        <w:gridCol w:w="69"/>
        <w:gridCol w:w="441"/>
        <w:gridCol w:w="36"/>
      </w:tblGrid>
      <w:tr w:rsidR="00000000">
        <w:trPr>
          <w:jc w:val="center"/>
        </w:trPr>
        <w:tc>
          <w:tcPr>
            <w:tcW w:w="50" w:type="pct"/>
            <w:vAlign w:val="center"/>
            <w:hideMark/>
          </w:tcPr>
          <w:p w:rsidR="00000000" w:rsidRDefault="00D65F33">
            <w:pPr>
              <w:jc w:val="center"/>
              <w:rPr>
                <w:rFonts w:eastAsia="Times New Roman"/>
              </w:rPr>
            </w:pPr>
          </w:p>
        </w:tc>
        <w:tc>
          <w:tcPr>
            <w:tcW w:w="40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412"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3687"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274"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20"/>
                <w:szCs w:val="20"/>
              </w:rPr>
              <w:t>Page</w:t>
            </w:r>
          </w:p>
        </w:tc>
      </w:tr>
      <w:tr w:rsidR="00000000">
        <w:trPr>
          <w:jc w:val="center"/>
        </w:trPr>
        <w:tc>
          <w:tcPr>
            <w:tcW w:w="0" w:type="auto"/>
            <w:gridSpan w:val="3"/>
            <w:tcMar>
              <w:top w:w="30" w:type="dxa"/>
              <w:left w:w="20" w:type="dxa"/>
              <w:bottom w:w="30" w:type="dxa"/>
              <w:right w:w="20" w:type="dxa"/>
            </w:tcMar>
            <w:vAlign w:val="bottom"/>
            <w:hideMark/>
          </w:tcPr>
          <w:p w:rsidR="00000000" w:rsidRDefault="00D65F33">
            <w:pPr>
              <w:spacing w:after="100"/>
              <w:divId w:val="1785614298"/>
              <w:rPr>
                <w:rFonts w:eastAsia="Times New Roman"/>
              </w:rPr>
            </w:pPr>
            <w:hyperlink w:anchor="i3d7bb63af67c4f529089ca6fd197305b_13" w:history="1">
              <w:r>
                <w:rPr>
                  <w:rStyle w:val="a3"/>
                  <w:rFonts w:eastAsia="Times New Roman"/>
                  <w:sz w:val="20"/>
                  <w:szCs w:val="20"/>
                </w:rPr>
                <w:t>PART I</w:t>
              </w:r>
            </w:hyperlink>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5F33">
            <w:pPr>
              <w:spacing w:after="100"/>
              <w:divId w:val="1812600891"/>
              <w:rPr>
                <w:rFonts w:eastAsia="Times New Roman"/>
              </w:rPr>
            </w:pPr>
            <w:hyperlink w:anchor="i3d7bb63af67c4f529089ca6fd197305b_16" w:history="1">
              <w:r>
                <w:rPr>
                  <w:rStyle w:val="a3"/>
                  <w:rFonts w:eastAsia="Times New Roman"/>
                  <w:sz w:val="20"/>
                  <w:szCs w:val="20"/>
                </w:rPr>
                <w:t xml:space="preserve">Item 1. </w:t>
              </w:r>
            </w:hyperlink>
          </w:p>
        </w:tc>
        <w:tc>
          <w:tcPr>
            <w:tcW w:w="0" w:type="auto"/>
            <w:gridSpan w:val="3"/>
            <w:tcMar>
              <w:top w:w="30" w:type="dxa"/>
              <w:left w:w="20" w:type="dxa"/>
              <w:bottom w:w="30" w:type="dxa"/>
              <w:right w:w="20" w:type="dxa"/>
            </w:tcMar>
            <w:vAlign w:val="bottom"/>
            <w:hideMark/>
          </w:tcPr>
          <w:p w:rsidR="00000000" w:rsidRDefault="00D65F33">
            <w:pPr>
              <w:spacing w:after="100"/>
              <w:divId w:val="474028503"/>
              <w:rPr>
                <w:rFonts w:eastAsia="Times New Roman"/>
              </w:rPr>
            </w:pPr>
            <w:hyperlink w:anchor="i3d7bb63af67c4f529089ca6fd197305b_16"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16" w:history="1">
              <w:r>
                <w:rPr>
                  <w:rStyle w:val="a3"/>
                  <w:rFonts w:eastAsia="Times New Roman"/>
                  <w:sz w:val="20"/>
                  <w:szCs w:val="20"/>
                </w:rPr>
                <w:t>2</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D65F33">
            <w:pPr>
              <w:spacing w:after="100"/>
              <w:divId w:val="1400597527"/>
              <w:rPr>
                <w:rFonts w:eastAsia="Times New Roman"/>
              </w:rPr>
            </w:pPr>
            <w:hyperlink w:anchor="i3d7bb63af67c4f529089ca6fd197305b_19"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19" w:history="1">
              <w:r>
                <w:rPr>
                  <w:rStyle w:val="a3"/>
                  <w:rFonts w:eastAsia="Times New Roman"/>
                  <w:sz w:val="20"/>
                  <w:szCs w:val="20"/>
                </w:rPr>
                <w:t>2</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D65F33">
            <w:pPr>
              <w:spacing w:after="100"/>
              <w:divId w:val="1479684303"/>
              <w:rPr>
                <w:rFonts w:eastAsia="Times New Roman"/>
              </w:rPr>
            </w:pPr>
            <w:hyperlink w:anchor="i3d7bb63af67c4f529089ca6fd197305b_22" w:history="1">
              <w:r>
                <w:rPr>
                  <w:rStyle w:val="a3"/>
                  <w:rFonts w:eastAsia="Times New Roman"/>
                  <w:sz w:val="20"/>
                  <w:szCs w:val="20"/>
                </w:rPr>
                <w:t>Condensed Consolidated Statements of Operations</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22" w:history="1">
              <w:r>
                <w:rPr>
                  <w:rStyle w:val="a3"/>
                  <w:rFonts w:eastAsia="Times New Roman"/>
                  <w:sz w:val="20"/>
                  <w:szCs w:val="20"/>
                </w:rPr>
                <w:t>3</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D65F33">
            <w:pPr>
              <w:spacing w:after="100"/>
              <w:divId w:val="319891104"/>
              <w:rPr>
                <w:rFonts w:eastAsia="Times New Roman"/>
              </w:rPr>
            </w:pPr>
            <w:hyperlink w:anchor="i3d7bb63af67c4f529089ca6fd197305b_25"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25" w:history="1">
              <w:r>
                <w:rPr>
                  <w:rStyle w:val="a3"/>
                  <w:rFonts w:eastAsia="Times New Roman"/>
                  <w:sz w:val="20"/>
                  <w:szCs w:val="20"/>
                </w:rPr>
                <w:t>4</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D65F33">
            <w:pPr>
              <w:spacing w:after="100"/>
              <w:divId w:val="1469204904"/>
              <w:rPr>
                <w:rFonts w:eastAsia="Times New Roman"/>
              </w:rPr>
            </w:pPr>
            <w:hyperlink w:anchor="i3d7bb63af67c4f529089ca6fd197305b_28"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28" w:history="1">
              <w:r>
                <w:rPr>
                  <w:rStyle w:val="a3"/>
                  <w:rFonts w:eastAsia="Times New Roman"/>
                  <w:sz w:val="20"/>
                  <w:szCs w:val="20"/>
                </w:rPr>
                <w:t>5</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D65F33">
            <w:pPr>
              <w:spacing w:after="100"/>
              <w:divId w:val="1064716389"/>
              <w:rPr>
                <w:rFonts w:eastAsia="Times New Roman"/>
              </w:rPr>
            </w:pPr>
            <w:hyperlink w:anchor="i3d7bb63af67c4f529089ca6fd197305b_31"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31" w:history="1">
              <w:r>
                <w:rPr>
                  <w:rStyle w:val="a3"/>
                  <w:rFonts w:eastAsia="Times New Roman"/>
                  <w:sz w:val="20"/>
                  <w:szCs w:val="20"/>
                </w:rPr>
                <w:t>6</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divId w:val="1737390333"/>
              <w:rPr>
                <w:rFonts w:eastAsia="Times New Roman"/>
              </w:rPr>
            </w:pPr>
            <w:hyperlink w:anchor="i3d7bb63af67c4f529089ca6fd197305b_76"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rsidR="00000000" w:rsidRDefault="00D65F33">
            <w:pPr>
              <w:spacing w:after="100"/>
              <w:divId w:val="920606691"/>
              <w:rPr>
                <w:rFonts w:eastAsia="Times New Roman"/>
              </w:rPr>
            </w:pPr>
            <w:hyperlink w:anchor="i3d7bb63af67c4f529089ca6fd197305b_76"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76" w:history="1">
              <w:r>
                <w:rPr>
                  <w:rStyle w:val="a3"/>
                  <w:rFonts w:eastAsia="Times New Roman"/>
                  <w:sz w:val="20"/>
                  <w:szCs w:val="20"/>
                </w:rPr>
                <w:t>14</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divId w:val="1226180104"/>
              <w:rPr>
                <w:rFonts w:eastAsia="Times New Roman"/>
              </w:rPr>
            </w:pPr>
            <w:hyperlink w:anchor="i3d7bb63af67c4f529089ca6fd197305b_97"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rsidR="00000000" w:rsidRDefault="00D65F33">
            <w:pPr>
              <w:spacing w:after="100"/>
              <w:divId w:val="1826123494"/>
              <w:rPr>
                <w:rFonts w:eastAsia="Times New Roman"/>
              </w:rPr>
            </w:pPr>
            <w:hyperlink w:anchor="i3d7bb63af67c4f529089ca6fd197305b_97"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97" w:history="1">
              <w:r>
                <w:rPr>
                  <w:rStyle w:val="a3"/>
                  <w:rFonts w:eastAsia="Times New Roman"/>
                  <w:sz w:val="20"/>
                  <w:szCs w:val="20"/>
                </w:rPr>
                <w:t>24</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divId w:val="647712320"/>
              <w:rPr>
                <w:rFonts w:eastAsia="Times New Roman"/>
              </w:rPr>
            </w:pPr>
            <w:hyperlink w:anchor="i3d7bb63af67c4f529089ca6fd197305b_100"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bottom"/>
            <w:hideMark/>
          </w:tcPr>
          <w:p w:rsidR="00000000" w:rsidRDefault="00D65F33">
            <w:pPr>
              <w:spacing w:after="100"/>
              <w:divId w:val="486433035"/>
              <w:rPr>
                <w:rFonts w:eastAsia="Times New Roman"/>
              </w:rPr>
            </w:pPr>
            <w:hyperlink w:anchor="i3d7bb63af67c4f529089ca6fd197305b_100"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100" w:history="1">
              <w:r>
                <w:rPr>
                  <w:rStyle w:val="a3"/>
                  <w:rFonts w:eastAsia="Times New Roman"/>
                  <w:sz w:val="20"/>
                  <w:szCs w:val="20"/>
                </w:rPr>
                <w:t>24</w:t>
              </w:r>
            </w:hyperlink>
          </w:p>
        </w:tc>
      </w:tr>
      <w:tr w:rsidR="00000000">
        <w:trPr>
          <w:jc w:val="center"/>
        </w:trPr>
        <w:tc>
          <w:tcPr>
            <w:tcW w:w="0" w:type="auto"/>
            <w:gridSpan w:val="3"/>
            <w:tcMar>
              <w:top w:w="30" w:type="dxa"/>
              <w:left w:w="20" w:type="dxa"/>
              <w:bottom w:w="30" w:type="dxa"/>
              <w:right w:w="20" w:type="dxa"/>
            </w:tcMar>
            <w:vAlign w:val="bottom"/>
            <w:hideMark/>
          </w:tcPr>
          <w:p w:rsidR="00000000" w:rsidRDefault="00D65F33">
            <w:pPr>
              <w:spacing w:after="100"/>
              <w:divId w:val="98110745"/>
              <w:rPr>
                <w:rFonts w:eastAsia="Times New Roman"/>
              </w:rPr>
            </w:pPr>
            <w:hyperlink w:anchor="i3d7bb63af67c4f529089ca6fd197305b_103" w:history="1">
              <w:r>
                <w:rPr>
                  <w:rStyle w:val="a3"/>
                  <w:rFonts w:eastAsia="Times New Roman"/>
                  <w:sz w:val="20"/>
                  <w:szCs w:val="20"/>
                </w:rPr>
                <w:t>PART II</w:t>
              </w:r>
            </w:hyperlink>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5F33">
            <w:pPr>
              <w:spacing w:after="100"/>
              <w:divId w:val="260377637"/>
              <w:rPr>
                <w:rFonts w:eastAsia="Times New Roman"/>
              </w:rPr>
            </w:pPr>
            <w:hyperlink w:anchor="i3d7bb63af67c4f529089ca6fd197305b_106"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bottom"/>
            <w:hideMark/>
          </w:tcPr>
          <w:p w:rsidR="00000000" w:rsidRDefault="00D65F33">
            <w:pPr>
              <w:spacing w:after="100"/>
              <w:divId w:val="1914926533"/>
              <w:rPr>
                <w:rFonts w:eastAsia="Times New Roman"/>
              </w:rPr>
            </w:pPr>
            <w:hyperlink w:anchor="i3d7bb63af67c4f529089ca6fd197305b_106"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106" w:history="1">
              <w:r>
                <w:rPr>
                  <w:rStyle w:val="a3"/>
                  <w:rFonts w:eastAsia="Times New Roman"/>
                  <w:sz w:val="20"/>
                  <w:szCs w:val="20"/>
                </w:rPr>
                <w:t>25</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divId w:val="551431423"/>
              <w:rPr>
                <w:rFonts w:eastAsia="Times New Roman"/>
              </w:rPr>
            </w:pPr>
            <w:hyperlink w:anchor="i3d7bb63af67c4f529089ca6fd197305b_109"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bottom"/>
            <w:hideMark/>
          </w:tcPr>
          <w:p w:rsidR="00000000" w:rsidRDefault="00D65F33">
            <w:pPr>
              <w:spacing w:after="100"/>
              <w:divId w:val="959918146"/>
              <w:rPr>
                <w:rFonts w:eastAsia="Times New Roman"/>
              </w:rPr>
            </w:pPr>
            <w:hyperlink w:anchor="i3d7bb63af67c4f529089ca6fd197305b_109"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109" w:history="1">
              <w:r>
                <w:rPr>
                  <w:rStyle w:val="a3"/>
                  <w:rFonts w:eastAsia="Times New Roman"/>
                  <w:sz w:val="20"/>
                  <w:szCs w:val="20"/>
                </w:rPr>
                <w:t>25</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divId w:val="1630696818"/>
              <w:rPr>
                <w:rFonts w:eastAsia="Times New Roman"/>
              </w:rPr>
            </w:pPr>
            <w:hyperlink w:anchor="i3d7bb63af67c4f529089ca6fd197305b_112"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bottom"/>
            <w:hideMark/>
          </w:tcPr>
          <w:p w:rsidR="00000000" w:rsidRDefault="00D65F33">
            <w:pPr>
              <w:spacing w:after="100"/>
              <w:divId w:val="1043601983"/>
              <w:rPr>
                <w:rFonts w:eastAsia="Times New Roman"/>
              </w:rPr>
            </w:pPr>
            <w:hyperlink w:anchor="i3d7bb63af67c4f529089ca6fd197305b_112"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112" w:history="1">
              <w:r>
                <w:rPr>
                  <w:rStyle w:val="a3"/>
                  <w:rFonts w:eastAsia="Times New Roman"/>
                  <w:sz w:val="20"/>
                  <w:szCs w:val="20"/>
                </w:rPr>
                <w:t>25</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divId w:val="84110443"/>
              <w:rPr>
                <w:rFonts w:eastAsia="Times New Roman"/>
              </w:rPr>
            </w:pPr>
            <w:hyperlink w:anchor="i3d7bb63af67c4f529089ca6fd197305b_115"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bottom"/>
            <w:hideMark/>
          </w:tcPr>
          <w:p w:rsidR="00000000" w:rsidRDefault="00D65F33">
            <w:pPr>
              <w:spacing w:after="100"/>
              <w:divId w:val="1521117930"/>
              <w:rPr>
                <w:rFonts w:eastAsia="Times New Roman"/>
              </w:rPr>
            </w:pPr>
            <w:hyperlink w:anchor="i3d7bb63af67c4f529089ca6fd197305b_115"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115" w:history="1">
              <w:r>
                <w:rPr>
                  <w:rStyle w:val="a3"/>
                  <w:rFonts w:eastAsia="Times New Roman"/>
                  <w:sz w:val="20"/>
                  <w:szCs w:val="20"/>
                </w:rPr>
                <w:t>25</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divId w:val="1128664459"/>
              <w:rPr>
                <w:rFonts w:eastAsia="Times New Roman"/>
              </w:rPr>
            </w:pPr>
            <w:hyperlink w:anchor="i3d7bb63af67c4f529089ca6fd197305b_118"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bottom"/>
            <w:hideMark/>
          </w:tcPr>
          <w:p w:rsidR="00000000" w:rsidRDefault="00D65F33">
            <w:pPr>
              <w:spacing w:after="100"/>
              <w:divId w:val="361974624"/>
              <w:rPr>
                <w:rFonts w:eastAsia="Times New Roman"/>
              </w:rPr>
            </w:pPr>
            <w:hyperlink w:anchor="i3d7bb63af67c4f529089ca6fd197305b_11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118" w:history="1">
              <w:r>
                <w:rPr>
                  <w:rStyle w:val="a3"/>
                  <w:rFonts w:eastAsia="Times New Roman"/>
                  <w:sz w:val="20"/>
                  <w:szCs w:val="20"/>
                </w:rPr>
                <w:t>25</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divId w:val="1048337271"/>
              <w:rPr>
                <w:rFonts w:eastAsia="Times New Roman"/>
              </w:rPr>
            </w:pPr>
            <w:hyperlink w:anchor="i3d7bb63af67c4f529089ca6fd197305b_121"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bottom"/>
            <w:hideMark/>
          </w:tcPr>
          <w:p w:rsidR="00000000" w:rsidRDefault="00D65F33">
            <w:pPr>
              <w:spacing w:after="100"/>
              <w:divId w:val="396250992"/>
              <w:rPr>
                <w:rFonts w:eastAsia="Times New Roman"/>
              </w:rPr>
            </w:pPr>
            <w:hyperlink w:anchor="i3d7bb63af67c4f529089ca6fd197305b_121"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121" w:history="1">
              <w:r>
                <w:rPr>
                  <w:rStyle w:val="a3"/>
                  <w:rFonts w:eastAsia="Times New Roman"/>
                  <w:sz w:val="20"/>
                  <w:szCs w:val="20"/>
                </w:rPr>
                <w:t>25</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divId w:val="257910721"/>
              <w:rPr>
                <w:rFonts w:eastAsia="Times New Roman"/>
              </w:rPr>
            </w:pPr>
            <w:hyperlink w:anchor="i3d7bb63af67c4f529089ca6fd197305b_124"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bottom"/>
            <w:hideMark/>
          </w:tcPr>
          <w:p w:rsidR="00000000" w:rsidRDefault="00D65F33">
            <w:pPr>
              <w:spacing w:after="100"/>
              <w:divId w:val="26373746"/>
              <w:rPr>
                <w:rFonts w:eastAsia="Times New Roman"/>
              </w:rPr>
            </w:pPr>
            <w:hyperlink w:anchor="i3d7bb63af67c4f529089ca6fd197305b_124"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124" w:history="1">
              <w:r>
                <w:rPr>
                  <w:rStyle w:val="a3"/>
                  <w:rFonts w:eastAsia="Times New Roman"/>
                  <w:sz w:val="20"/>
                  <w:szCs w:val="20"/>
                </w:rPr>
                <w:t>26</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D65F33">
            <w:pPr>
              <w:spacing w:after="100"/>
              <w:divId w:val="614169051"/>
              <w:rPr>
                <w:rFonts w:eastAsia="Times New Roman"/>
              </w:rPr>
            </w:pPr>
            <w:hyperlink w:anchor="i3d7bb63af67c4f529089ca6fd197305b_127"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right"/>
              <w:rPr>
                <w:rFonts w:eastAsia="Times New Roman"/>
              </w:rPr>
            </w:pPr>
            <w:hyperlink w:anchor="i3d7bb63af67c4f529089ca6fd197305b_127" w:history="1">
              <w:r>
                <w:rPr>
                  <w:rStyle w:val="a3"/>
                  <w:rFonts w:eastAsia="Times New Roman"/>
                  <w:sz w:val="20"/>
                  <w:szCs w:val="20"/>
                </w:rPr>
                <w:t>27</w:t>
              </w:r>
            </w:hyperlink>
          </w:p>
        </w:tc>
      </w:tr>
    </w:tbl>
    <w:p w:rsidR="00000000" w:rsidRDefault="00D65F33">
      <w:pPr>
        <w:divId w:val="1069112933"/>
        <w:rPr>
          <w:rFonts w:eastAsia="Times New Roman"/>
        </w:rPr>
      </w:pPr>
    </w:p>
    <w:p w:rsidR="00000000" w:rsidRDefault="00D65F33">
      <w:pPr>
        <w:divId w:val="1849055584"/>
        <w:rPr>
          <w:rFonts w:eastAsia="Times New Roman"/>
        </w:rPr>
      </w:pPr>
    </w:p>
    <w:p w:rsidR="00000000" w:rsidRDefault="00D65F33">
      <w:pPr>
        <w:jc w:val="center"/>
        <w:divId w:val="1232931467"/>
        <w:rPr>
          <w:rFonts w:eastAsia="Times New Roman"/>
        </w:rPr>
      </w:pPr>
      <w:r>
        <w:rPr>
          <w:rFonts w:eastAsia="Times New Roman"/>
          <w:color w:val="000000"/>
          <w:sz w:val="20"/>
          <w:szCs w:val="20"/>
        </w:rPr>
        <w:t>1</w:t>
      </w:r>
    </w:p>
    <w:p w:rsidR="00000000" w:rsidRDefault="00D65F33">
      <w:pPr>
        <w:rPr>
          <w:rFonts w:eastAsia="Times New Roman"/>
        </w:rPr>
      </w:pPr>
      <w:r>
        <w:rPr>
          <w:rFonts w:eastAsia="Times New Roman"/>
        </w:rPr>
        <w:pict>
          <v:rect id="_x0000_i1026" style="width:0;height:1.5pt" o:hralign="center" o:hrstd="t" o:hr="t" fillcolor="#a0a0a0" stroked="f"/>
        </w:pict>
      </w:r>
    </w:p>
    <w:p w:rsidR="00000000" w:rsidRDefault="00D65F33">
      <w:pPr>
        <w:divId w:val="522288164"/>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center"/>
        <w:rPr>
          <w:rFonts w:eastAsia="Times New Roman"/>
        </w:rPr>
      </w:pPr>
      <w:r>
        <w:rPr>
          <w:rFonts w:eastAsia="Times New Roman"/>
          <w:b/>
          <w:bCs/>
          <w:color w:val="000000"/>
          <w:sz w:val="20"/>
          <w:szCs w:val="20"/>
        </w:rPr>
        <w:t>PART I</w:t>
      </w:r>
    </w:p>
    <w:p w:rsidR="00000000" w:rsidRDefault="00D65F33">
      <w:pPr>
        <w:jc w:val="center"/>
        <w:rPr>
          <w:rFonts w:eastAsia="Times New Roman"/>
        </w:rPr>
      </w:pPr>
    </w:p>
    <w:p w:rsidR="00000000" w:rsidRDefault="00D65F33">
      <w:pPr>
        <w:divId w:val="1825848981"/>
        <w:rPr>
          <w:rFonts w:eastAsia="Times New Roman"/>
        </w:rPr>
      </w:pPr>
      <w:r>
        <w:rPr>
          <w:rFonts w:eastAsia="Times New Roman"/>
          <w:b/>
          <w:bCs/>
          <w:color w:val="000000"/>
          <w:sz w:val="20"/>
          <w:szCs w:val="20"/>
        </w:rPr>
        <w:t>Item 1. Financial Statements</w:t>
      </w:r>
    </w:p>
    <w:p w:rsidR="00000000" w:rsidRDefault="00D65F33">
      <w:pPr>
        <w:divId w:val="1788426357"/>
        <w:rPr>
          <w:rFonts w:eastAsia="Times New Roman"/>
        </w:rPr>
      </w:pPr>
    </w:p>
    <w:p w:rsidR="00000000" w:rsidRDefault="00D65F33">
      <w:pPr>
        <w:jc w:val="center"/>
        <w:divId w:val="1926454389"/>
        <w:rPr>
          <w:rFonts w:eastAsia="Times New Roman"/>
        </w:rPr>
      </w:pPr>
      <w:r>
        <w:rPr>
          <w:rFonts w:eastAsia="Times New Roman"/>
          <w:b/>
          <w:bCs/>
          <w:color w:val="000000"/>
          <w:sz w:val="20"/>
          <w:szCs w:val="20"/>
        </w:rPr>
        <w:t>Noodles &amp; Company</w:t>
      </w:r>
    </w:p>
    <w:p w:rsidR="00000000" w:rsidRDefault="00D65F33">
      <w:pPr>
        <w:jc w:val="center"/>
        <w:divId w:val="202405412"/>
        <w:rPr>
          <w:rFonts w:eastAsia="Times New Roman"/>
        </w:rPr>
      </w:pPr>
      <w:r>
        <w:rPr>
          <w:rFonts w:eastAsia="Times New Roman"/>
          <w:b/>
          <w:bCs/>
          <w:color w:val="000000"/>
          <w:sz w:val="20"/>
          <w:szCs w:val="20"/>
        </w:rPr>
        <w:t>Condensed Consolidated Balance Sheets</w:t>
      </w:r>
    </w:p>
    <w:p w:rsidR="00000000" w:rsidRDefault="00D65F33">
      <w:pPr>
        <w:jc w:val="center"/>
        <w:divId w:val="1910845492"/>
        <w:rPr>
          <w:rFonts w:eastAsia="Times New Roman"/>
        </w:rPr>
      </w:pPr>
      <w:r>
        <w:rPr>
          <w:rFonts w:eastAsia="Times New Roman"/>
          <w:b/>
          <w:bCs/>
          <w:color w:val="000000"/>
          <w:sz w:val="20"/>
          <w:szCs w:val="20"/>
        </w:rPr>
        <w:t>(in thousands, except share and per share data)</w:t>
      </w:r>
    </w:p>
    <w:tbl>
      <w:tblPr>
        <w:tblW w:w="4985" w:type="pct"/>
        <w:tblCellMar>
          <w:top w:w="15" w:type="dxa"/>
          <w:left w:w="15" w:type="dxa"/>
          <w:bottom w:w="15" w:type="dxa"/>
          <w:right w:w="15" w:type="dxa"/>
        </w:tblCellMar>
        <w:tblLook w:val="04A0" w:firstRow="1" w:lastRow="0" w:firstColumn="1" w:lastColumn="0" w:noHBand="0" w:noVBand="1"/>
      </w:tblPr>
      <w:tblGrid>
        <w:gridCol w:w="41"/>
        <w:gridCol w:w="5115"/>
        <w:gridCol w:w="38"/>
        <w:gridCol w:w="36"/>
        <w:gridCol w:w="36"/>
        <w:gridCol w:w="36"/>
        <w:gridCol w:w="111"/>
        <w:gridCol w:w="1288"/>
        <w:gridCol w:w="36"/>
        <w:gridCol w:w="36"/>
        <w:gridCol w:w="36"/>
        <w:gridCol w:w="36"/>
        <w:gridCol w:w="111"/>
        <w:gridCol w:w="1289"/>
        <w:gridCol w:w="36"/>
      </w:tblGrid>
      <w:tr w:rsidR="00000000">
        <w:trPr>
          <w:divId w:val="1190606036"/>
        </w:trPr>
        <w:tc>
          <w:tcPr>
            <w:tcW w:w="50" w:type="pct"/>
            <w:vAlign w:val="center"/>
            <w:hideMark/>
          </w:tcPr>
          <w:p w:rsidR="00000000" w:rsidRDefault="00D65F33">
            <w:pPr>
              <w:jc w:val="center"/>
              <w:rPr>
                <w:rFonts w:eastAsia="Times New Roman"/>
              </w:rPr>
            </w:pPr>
          </w:p>
        </w:tc>
        <w:tc>
          <w:tcPr>
            <w:tcW w:w="3112"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24"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24"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divId w:val="1190606036"/>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8"/>
                <w:szCs w:val="18"/>
              </w:rPr>
              <w:t>December 28,</w:t>
            </w:r>
            <w:r>
              <w:rPr>
                <w:rFonts w:eastAsia="Times New Roman"/>
                <w:b/>
                <w:bCs/>
                <w:color w:val="000000"/>
                <w:sz w:val="18"/>
                <w:szCs w:val="18"/>
              </w:rPr>
              <w:br/>
              <w:t>2021</w:t>
            </w:r>
          </w:p>
        </w:tc>
      </w:tr>
      <w:tr w:rsidR="00000000">
        <w:trPr>
          <w:divId w:val="1190606036"/>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r>
      <w:tr w:rsidR="00000000">
        <w:trPr>
          <w:divId w:val="1190606036"/>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r>
      <w:tr w:rsidR="00000000">
        <w:trPr>
          <w:divId w:val="1190606036"/>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Current assets:</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r>
      <w:tr w:rsidR="00000000">
        <w:trPr>
          <w:divId w:val="119060603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1,601 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2,255 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4,425 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3,958 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9,719 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9,404 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3,779 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6,837 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Income tax receivable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108 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Total current assets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19,631 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22,562 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Property and equipment, net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122,320 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119,276 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Operating lease assets, net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186,493 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188,440 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7,154 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Intangibles, net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654 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668 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Other assets, net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1,520 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3,359 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Total long-term assets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318,141 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318,897 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337,772 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341,459 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8"/>
                <w:szCs w:val="18"/>
              </w:rPr>
              <w:t>Liabilities and Stockholders’ Equity</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 </w:t>
            </w:r>
          </w:p>
        </w:tc>
      </w:tr>
      <w:tr w:rsidR="00000000">
        <w:trPr>
          <w:divId w:val="1190606036"/>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 </w:t>
            </w:r>
          </w:p>
        </w:tc>
      </w:tr>
      <w:tr w:rsidR="00000000">
        <w:trPr>
          <w:divId w:val="119060603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15,307 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15,543 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Accrued payroll and benefits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11,130 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18,600 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12,209 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13,791 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Current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27,149 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26,617 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Current portion of long-term debt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1,813 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2,031 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67,608 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76,582 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Long-term debt, net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32,306 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18,931 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lastRenderedPageBreak/>
              <w:t>Long-term operating lease liabilities, net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196,922 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200,243 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Deferred tax liabilities, net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185 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269 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8,706 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7,801 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305,727 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303,826 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Height w:val="240"/>
        </w:trPr>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r>
      <w:tr w:rsidR="00000000">
        <w:trPr>
          <w:divId w:val="119060603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 </w:t>
            </w:r>
          </w:p>
        </w:tc>
      </w:tr>
      <w:tr w:rsidR="00000000">
        <w:trPr>
          <w:divId w:val="1190606036"/>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divId w:val="1669675477"/>
              <w:rPr>
                <w:rFonts w:eastAsia="Times New Roman"/>
              </w:rPr>
            </w:pPr>
            <w:r>
              <w:rPr>
                <w:rFonts w:eastAsia="Times New Roman"/>
                <w:color w:val="000000"/>
                <w:sz w:val="18"/>
                <w:szCs w:val="18"/>
              </w:rPr>
              <w:t xml:space="preserve">Preferred stock—$0.01 par value, 1,000,000 shares authorized and undesignated as of March 29, 2022 and December 28, 2021; no </w:t>
            </w:r>
            <w:r>
              <w:rPr>
                <w:rFonts w:eastAsia="Times New Roman"/>
                <w:color w:val="000000"/>
                <w:sz w:val="18"/>
                <w:szCs w:val="18"/>
              </w:rPr>
              <w:t>shares issued or outstanding</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divId w:val="1137147314"/>
              <w:rPr>
                <w:rFonts w:eastAsia="Times New Roman"/>
              </w:rPr>
            </w:pPr>
            <w:r>
              <w:rPr>
                <w:rFonts w:eastAsia="Times New Roman"/>
                <w:color w:val="000000"/>
                <w:sz w:val="18"/>
                <w:szCs w:val="18"/>
              </w:rPr>
              <w:t xml:space="preserve">Common stock—$0.01 par value, 180,000,000 shares authorized as of March 29, 2022 and December 28, 2021; 48,258,594 issued and 45,834,723 outstanding as of March 29, 2022 and 48,125,151 issued and </w:t>
            </w:r>
            <w:r>
              <w:rPr>
                <w:rFonts w:eastAsia="Times New Roman"/>
                <w:color w:val="000000"/>
                <w:sz w:val="18"/>
                <w:szCs w:val="18"/>
              </w:rPr>
              <w:t>45,701,280 outstanding as of December 28, 2021</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483 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481 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divId w:val="869143919"/>
              <w:rPr>
                <w:rFonts w:eastAsia="Times New Roman"/>
              </w:rPr>
            </w:pPr>
            <w:r>
              <w:rPr>
                <w:rFonts w:eastAsia="Times New Roman"/>
                <w:color w:val="000000"/>
                <w:sz w:val="18"/>
                <w:szCs w:val="18"/>
              </w:rPr>
              <w:t>Treasury stock, at cost, 2,423,871 shares as of March 29, 2022 and December 28, 2021</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(35,000)</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208,065 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207,226 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(141,503)</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(135,074)</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Total stockholders’ equity</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32,045 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37,633 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190606036"/>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8"/>
                <w:szCs w:val="18"/>
              </w:rPr>
              <w:t>Total 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337,772 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8"/>
                <w:szCs w:val="18"/>
              </w:rPr>
              <w:t>341,459 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bl>
    <w:p w:rsidR="00000000" w:rsidRDefault="00D65F33">
      <w:pPr>
        <w:ind w:firstLine="360"/>
        <w:jc w:val="center"/>
        <w:divId w:val="1052582320"/>
        <w:rPr>
          <w:rFonts w:eastAsia="Times New Roman"/>
        </w:rPr>
      </w:pPr>
      <w:r>
        <w:rPr>
          <w:rFonts w:eastAsia="Times New Roman"/>
          <w:color w:val="000000"/>
          <w:sz w:val="20"/>
          <w:szCs w:val="20"/>
        </w:rPr>
        <w:t>  </w:t>
      </w:r>
      <w:r>
        <w:rPr>
          <w:rFonts w:eastAsia="Times New Roman"/>
          <w:color w:val="000000"/>
          <w:sz w:val="18"/>
          <w:szCs w:val="18"/>
        </w:rPr>
        <w:t> </w:t>
      </w:r>
      <w:r>
        <w:rPr>
          <w:rFonts w:eastAsia="Times New Roman"/>
          <w:i/>
          <w:iCs/>
          <w:color w:val="000000"/>
          <w:sz w:val="18"/>
          <w:szCs w:val="18"/>
        </w:rPr>
        <w:t>See accompanying notes to condensed consolidated financial statements.</w:t>
      </w:r>
    </w:p>
    <w:p w:rsidR="00000000" w:rsidRDefault="00D65F33">
      <w:pPr>
        <w:jc w:val="center"/>
        <w:divId w:val="1805152131"/>
        <w:rPr>
          <w:rFonts w:eastAsia="Times New Roman"/>
        </w:rPr>
      </w:pPr>
      <w:r>
        <w:rPr>
          <w:rFonts w:eastAsia="Times New Roman"/>
          <w:color w:val="000000"/>
          <w:sz w:val="20"/>
          <w:szCs w:val="20"/>
        </w:rPr>
        <w:t>2</w:t>
      </w:r>
    </w:p>
    <w:p w:rsidR="00000000" w:rsidRDefault="00D65F33">
      <w:pPr>
        <w:rPr>
          <w:rFonts w:eastAsia="Times New Roman"/>
        </w:rPr>
      </w:pPr>
      <w:r>
        <w:rPr>
          <w:rFonts w:eastAsia="Times New Roman"/>
        </w:rPr>
        <w:pict>
          <v:rect id="_x0000_i1027" style="width:0;height:1.5pt" o:hralign="center" o:hrstd="t" o:hr="t" fillcolor="#a0a0a0" stroked="f"/>
        </w:pict>
      </w:r>
    </w:p>
    <w:p w:rsidR="00000000" w:rsidRDefault="00D65F33">
      <w:pPr>
        <w:divId w:val="1209802218"/>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center"/>
        <w:divId w:val="1542398719"/>
        <w:rPr>
          <w:rFonts w:eastAsia="Times New Roman"/>
        </w:rPr>
      </w:pPr>
      <w:r>
        <w:rPr>
          <w:rFonts w:eastAsia="Times New Roman"/>
          <w:b/>
          <w:bCs/>
          <w:color w:val="000000"/>
          <w:sz w:val="20"/>
          <w:szCs w:val="20"/>
        </w:rPr>
        <w:t>Noodles &amp; Company</w:t>
      </w:r>
    </w:p>
    <w:p w:rsidR="00000000" w:rsidRDefault="00D65F33">
      <w:pPr>
        <w:jc w:val="center"/>
        <w:divId w:val="319315007"/>
        <w:rPr>
          <w:rFonts w:eastAsia="Times New Roman"/>
        </w:rPr>
      </w:pPr>
      <w:r>
        <w:rPr>
          <w:rFonts w:eastAsia="Times New Roman"/>
          <w:b/>
          <w:bCs/>
          <w:color w:val="000000"/>
          <w:sz w:val="20"/>
          <w:szCs w:val="20"/>
        </w:rPr>
        <w:t>Condensed Consolidated Statements of Operations</w:t>
      </w:r>
    </w:p>
    <w:p w:rsidR="00000000" w:rsidRDefault="00D65F33">
      <w:pPr>
        <w:jc w:val="center"/>
        <w:divId w:val="1981689096"/>
        <w:rPr>
          <w:rFonts w:eastAsia="Times New Roman"/>
        </w:rPr>
      </w:pPr>
      <w:r>
        <w:rPr>
          <w:rFonts w:eastAsia="Times New Roman"/>
          <w:b/>
          <w:bCs/>
          <w:color w:val="000000"/>
          <w:sz w:val="20"/>
          <w:szCs w:val="20"/>
        </w:rPr>
        <w:t>(in thousands, except share and per share data,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622"/>
        <w:gridCol w:w="39"/>
        <w:gridCol w:w="36"/>
        <w:gridCol w:w="36"/>
        <w:gridCol w:w="36"/>
        <w:gridCol w:w="121"/>
        <w:gridCol w:w="893"/>
        <w:gridCol w:w="36"/>
        <w:gridCol w:w="36"/>
        <w:gridCol w:w="36"/>
        <w:gridCol w:w="36"/>
        <w:gridCol w:w="121"/>
        <w:gridCol w:w="893"/>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65F33">
            <w:pPr>
              <w:jc w:val="center"/>
              <w:rPr>
                <w:rFonts w:eastAsia="Times New Roman"/>
              </w:rPr>
            </w:pPr>
          </w:p>
        </w:tc>
        <w:tc>
          <w:tcPr>
            <w:tcW w:w="359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0"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vAlign w:val="center"/>
            <w:hideMark/>
          </w:tcPr>
          <w:p w:rsidR="00000000" w:rsidRDefault="00D65F33">
            <w:pPr>
              <w:spacing w:after="100"/>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109,961 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107,744 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2,601 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1,833 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112,562 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109,577 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vAlign w:val="center"/>
            <w:hideMark/>
          </w:tcPr>
          <w:p w:rsidR="00000000" w:rsidRDefault="00D65F33">
            <w:pPr>
              <w:spacing w:after="100"/>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vAlign w:val="center"/>
            <w:hideMark/>
          </w:tcPr>
          <w:p w:rsidR="00000000" w:rsidRDefault="00D65F33">
            <w:pPr>
              <w:spacing w:after="100"/>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30,771 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26,977 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35,493 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34,306 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11,149 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11,649 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21,866 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20,205 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11,840 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10,929 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lastRenderedPageBreak/>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5,721 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5,587 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1,389 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1,231 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118,637 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110,942 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Loss from operations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(6,075)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(1,365)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437 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622 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Loss before taxes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(6,512)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Benefit from income taxes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(83)</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loss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(6,429)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Loss per Class A and Class B common stock, combined</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vAlign w:val="center"/>
            <w:hideMark/>
          </w:tcPr>
          <w:p w:rsidR="00000000" w:rsidRDefault="00D65F33">
            <w:pPr>
              <w:spacing w:after="100"/>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(0.14)</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(0.14)</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(0.04)</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Weighted average shares of Class A and Class </w:t>
            </w:r>
            <w:r>
              <w:rPr>
                <w:rFonts w:eastAsia="Times New Roman"/>
                <w:color w:val="000000"/>
                <w:sz w:val="20"/>
                <w:szCs w:val="20"/>
              </w:rPr>
              <w:t>B common stock outstanding, combined:</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vAlign w:val="center"/>
            <w:hideMark/>
          </w:tcPr>
          <w:p w:rsidR="00000000" w:rsidRDefault="00D65F33">
            <w:pPr>
              <w:spacing w:after="100"/>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38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45,726,500 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45,098,028 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45,726,500 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45,098,028 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bl>
    <w:p w:rsidR="00000000" w:rsidRDefault="00D65F33">
      <w:pPr>
        <w:jc w:val="center"/>
        <w:divId w:val="657613499"/>
        <w:rPr>
          <w:rFonts w:eastAsia="Times New Roman"/>
        </w:rPr>
      </w:pPr>
      <w:r>
        <w:rPr>
          <w:rFonts w:eastAsia="Times New Roman"/>
          <w:i/>
          <w:iCs/>
          <w:color w:val="000000"/>
          <w:sz w:val="20"/>
          <w:szCs w:val="20"/>
        </w:rPr>
        <w:t>See accompanying notes to condensed consolidated financial statements.</w:t>
      </w:r>
    </w:p>
    <w:p w:rsidR="00000000" w:rsidRDefault="00D65F33">
      <w:pPr>
        <w:jc w:val="center"/>
        <w:divId w:val="1046375264"/>
        <w:rPr>
          <w:rFonts w:eastAsia="Times New Roman"/>
        </w:rPr>
      </w:pPr>
      <w:r>
        <w:rPr>
          <w:rFonts w:eastAsia="Times New Roman"/>
          <w:color w:val="000000"/>
          <w:sz w:val="20"/>
          <w:szCs w:val="20"/>
        </w:rPr>
        <w:t>3</w:t>
      </w:r>
    </w:p>
    <w:p w:rsidR="00000000" w:rsidRDefault="00D65F33">
      <w:pPr>
        <w:rPr>
          <w:rFonts w:eastAsia="Times New Roman"/>
        </w:rPr>
      </w:pPr>
      <w:r>
        <w:rPr>
          <w:rFonts w:eastAsia="Times New Roman"/>
        </w:rPr>
        <w:pict>
          <v:rect id="_x0000_i1028" style="width:0;height:1.5pt" o:hralign="center" o:hrstd="t" o:hr="t" fillcolor="#a0a0a0" stroked="f"/>
        </w:pict>
      </w:r>
    </w:p>
    <w:p w:rsidR="00000000" w:rsidRDefault="00D65F33">
      <w:pPr>
        <w:divId w:val="1220559224"/>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center"/>
        <w:divId w:val="390614737"/>
        <w:rPr>
          <w:rFonts w:eastAsia="Times New Roman"/>
        </w:rPr>
      </w:pPr>
      <w:r>
        <w:rPr>
          <w:rFonts w:eastAsia="Times New Roman"/>
          <w:b/>
          <w:bCs/>
          <w:color w:val="000000"/>
          <w:sz w:val="16"/>
          <w:szCs w:val="16"/>
        </w:rPr>
        <w:t>Noodles &amp; Company</w:t>
      </w:r>
    </w:p>
    <w:p w:rsidR="00000000" w:rsidRDefault="00D65F33">
      <w:pPr>
        <w:jc w:val="center"/>
        <w:divId w:val="900096596"/>
        <w:rPr>
          <w:rFonts w:eastAsia="Times New Roman"/>
        </w:rPr>
      </w:pPr>
      <w:r>
        <w:rPr>
          <w:rFonts w:eastAsia="Times New Roman"/>
          <w:b/>
          <w:bCs/>
          <w:color w:val="000000"/>
          <w:sz w:val="16"/>
          <w:szCs w:val="16"/>
        </w:rPr>
        <w:t>Condensed Consolidated Statements of Stockholders’ Equity</w:t>
      </w:r>
    </w:p>
    <w:p w:rsidR="00000000" w:rsidRDefault="00D65F33">
      <w:pPr>
        <w:jc w:val="center"/>
        <w:divId w:val="1670282115"/>
        <w:rPr>
          <w:rFonts w:eastAsia="Times New Roman"/>
        </w:rPr>
      </w:pPr>
      <w:r>
        <w:rPr>
          <w:rFonts w:eastAsia="Times New Roman"/>
          <w:b/>
          <w:bCs/>
          <w:color w:val="000000"/>
          <w:sz w:val="16"/>
          <w:szCs w:val="16"/>
        </w:rPr>
        <w:t>(in thousands, except share data, unaudited)</w:t>
      </w:r>
    </w:p>
    <w:tbl>
      <w:tblPr>
        <w:tblW w:w="4994" w:type="pct"/>
        <w:jc w:val="center"/>
        <w:tblCellMar>
          <w:top w:w="15" w:type="dxa"/>
          <w:left w:w="15" w:type="dxa"/>
          <w:bottom w:w="15" w:type="dxa"/>
          <w:right w:w="15" w:type="dxa"/>
        </w:tblCellMar>
        <w:tblLook w:val="04A0" w:firstRow="1" w:lastRow="0" w:firstColumn="1" w:lastColumn="0" w:noHBand="0" w:noVBand="1"/>
      </w:tblPr>
      <w:tblGrid>
        <w:gridCol w:w="39"/>
        <w:gridCol w:w="1710"/>
        <w:gridCol w:w="38"/>
        <w:gridCol w:w="36"/>
        <w:gridCol w:w="36"/>
        <w:gridCol w:w="36"/>
        <w:gridCol w:w="82"/>
        <w:gridCol w:w="698"/>
        <w:gridCol w:w="37"/>
        <w:gridCol w:w="37"/>
        <w:gridCol w:w="36"/>
        <w:gridCol w:w="36"/>
        <w:gridCol w:w="101"/>
        <w:gridCol w:w="533"/>
        <w:gridCol w:w="36"/>
        <w:gridCol w:w="36"/>
        <w:gridCol w:w="36"/>
        <w:gridCol w:w="36"/>
        <w:gridCol w:w="73"/>
        <w:gridCol w:w="627"/>
        <w:gridCol w:w="36"/>
        <w:gridCol w:w="36"/>
        <w:gridCol w:w="36"/>
        <w:gridCol w:w="36"/>
        <w:gridCol w:w="100"/>
        <w:gridCol w:w="547"/>
        <w:gridCol w:w="36"/>
        <w:gridCol w:w="36"/>
        <w:gridCol w:w="36"/>
        <w:gridCol w:w="36"/>
        <w:gridCol w:w="101"/>
        <w:gridCol w:w="727"/>
        <w:gridCol w:w="36"/>
        <w:gridCol w:w="36"/>
        <w:gridCol w:w="36"/>
        <w:gridCol w:w="36"/>
        <w:gridCol w:w="110"/>
        <w:gridCol w:w="827"/>
        <w:gridCol w:w="36"/>
        <w:gridCol w:w="36"/>
        <w:gridCol w:w="36"/>
        <w:gridCol w:w="36"/>
        <w:gridCol w:w="101"/>
        <w:gridCol w:w="872"/>
        <w:gridCol w:w="36"/>
      </w:tblGrid>
      <w:tr w:rsidR="00000000">
        <w:trPr>
          <w:divId w:val="1661037054"/>
          <w:jc w:val="center"/>
        </w:trPr>
        <w:tc>
          <w:tcPr>
            <w:tcW w:w="50" w:type="pct"/>
            <w:vAlign w:val="center"/>
            <w:hideMark/>
          </w:tcPr>
          <w:p w:rsidR="00000000" w:rsidRDefault="00D65F33">
            <w:pPr>
              <w:jc w:val="center"/>
              <w:rPr>
                <w:rFonts w:eastAsia="Times New Roman"/>
              </w:rPr>
            </w:pPr>
          </w:p>
        </w:tc>
        <w:tc>
          <w:tcPr>
            <w:tcW w:w="135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1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43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1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43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1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43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1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43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1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47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1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378"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1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432"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r>
      <w:tr w:rsidR="00000000">
        <w:trPr>
          <w:divId w:val="1661037054"/>
          <w:trHeight w:val="240"/>
          <w:jc w:val="center"/>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Common Stoc</w:t>
            </w:r>
            <w:r>
              <w:rPr>
                <w:rFonts w:eastAsia="Times New Roman"/>
                <w:b/>
                <w:bCs/>
                <w:color w:val="000000"/>
                <w:sz w:val="16"/>
                <w:szCs w:val="16"/>
              </w:rPr>
              <w:t>k</w:t>
            </w:r>
            <w:r>
              <w:rPr>
                <w:rFonts w:eastAsia="Times New Roman"/>
                <w:b/>
                <w:bCs/>
                <w:color w:val="000000"/>
                <w:sz w:val="10"/>
                <w:szCs w:val="10"/>
              </w:rPr>
              <w:t>(1</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Treasury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 Additional Paid-In</w:t>
            </w:r>
            <w:r>
              <w:rPr>
                <w:rFonts w:eastAsia="Times New Roman"/>
                <w:b/>
                <w:bCs/>
                <w:color w:val="000000"/>
                <w:sz w:val="16"/>
                <w:szCs w:val="16"/>
              </w:rPr>
              <w:br/>
              <w:t>Capital</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Stockholders’</w:t>
            </w:r>
            <w:r>
              <w:rPr>
                <w:rFonts w:eastAsia="Times New Roman"/>
                <w:b/>
                <w:bCs/>
                <w:color w:val="000000"/>
                <w:sz w:val="16"/>
                <w:szCs w:val="16"/>
              </w:rPr>
              <w:br/>
              <w:t>Equity</w:t>
            </w:r>
          </w:p>
        </w:tc>
      </w:tr>
      <w:tr w:rsidR="00000000">
        <w:trPr>
          <w:divId w:val="1661037054"/>
          <w:trHeight w:val="360"/>
          <w:jc w:val="center"/>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vMerge/>
            <w:tcBorders>
              <w:top w:val="single" w:sz="8" w:space="0" w:color="000000"/>
            </w:tcBorders>
            <w:vAlign w:val="center"/>
            <w:hideMark/>
          </w:tcPr>
          <w:p w:rsidR="00000000" w:rsidRDefault="00D65F33">
            <w:pPr>
              <w:spacing w:after="100"/>
              <w:rPr>
                <w:rFonts w:eastAsia="Times New Roman"/>
              </w:rPr>
            </w:pPr>
          </w:p>
        </w:tc>
        <w:tc>
          <w:tcPr>
            <w:tcW w:w="0" w:type="auto"/>
            <w:gridSpan w:val="3"/>
            <w:vMerge/>
            <w:tcBorders>
              <w:top w:val="single" w:sz="8" w:space="0" w:color="000000"/>
            </w:tcBorders>
            <w:vAlign w:val="center"/>
            <w:hideMark/>
          </w:tcPr>
          <w:p w:rsidR="00000000" w:rsidRDefault="00D65F33">
            <w:pPr>
              <w:spacing w:after="100"/>
              <w:rPr>
                <w:rFonts w:eastAsia="Times New Roman"/>
              </w:rPr>
            </w:pPr>
          </w:p>
        </w:tc>
        <w:tc>
          <w:tcPr>
            <w:tcW w:w="0" w:type="auto"/>
            <w:gridSpan w:val="3"/>
            <w:vMerge/>
            <w:tcBorders>
              <w:top w:val="single" w:sz="8" w:space="0" w:color="000000"/>
            </w:tcBorders>
            <w:vAlign w:val="center"/>
            <w:hideMark/>
          </w:tcPr>
          <w:p w:rsidR="00000000" w:rsidRDefault="00D65F33">
            <w:pPr>
              <w:spacing w:after="100"/>
              <w:rPr>
                <w:rFonts w:eastAsia="Times New Roman"/>
              </w:rPr>
            </w:pPr>
          </w:p>
        </w:tc>
        <w:tc>
          <w:tcPr>
            <w:tcW w:w="0" w:type="auto"/>
            <w:gridSpan w:val="3"/>
            <w:vMerge/>
            <w:tcBorders>
              <w:top w:val="single" w:sz="8" w:space="0" w:color="000000"/>
            </w:tcBorders>
            <w:vAlign w:val="center"/>
            <w:hideMark/>
          </w:tcPr>
          <w:p w:rsidR="00000000" w:rsidRDefault="00D65F33">
            <w:pPr>
              <w:spacing w:after="100"/>
              <w:rPr>
                <w:rFonts w:eastAsia="Times New Roman"/>
              </w:rPr>
            </w:pPr>
          </w:p>
        </w:tc>
        <w:tc>
          <w:tcPr>
            <w:tcW w:w="0" w:type="auto"/>
            <w:gridSpan w:val="3"/>
            <w:vMerge/>
            <w:tcBorders>
              <w:top w:val="single" w:sz="8" w:space="0" w:color="000000"/>
            </w:tcBorders>
            <w:vAlign w:val="center"/>
            <w:hideMark/>
          </w:tcPr>
          <w:p w:rsidR="00000000" w:rsidRDefault="00D65F33">
            <w:pPr>
              <w:spacing w:after="100"/>
              <w:rPr>
                <w:rFonts w:eastAsia="Times New Roman"/>
              </w:rPr>
            </w:pPr>
          </w:p>
        </w:tc>
      </w:tr>
      <w:tr w:rsidR="00D65F33">
        <w:trPr>
          <w:divId w:val="1661037054"/>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Balance—December 28, 2021</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48,125,151 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481 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207,226 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(135,074)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37,633 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661037054"/>
          <w:jc w:val="center"/>
        </w:trPr>
        <w:tc>
          <w:tcPr>
            <w:tcW w:w="0" w:type="auto"/>
            <w:gridSpan w:val="3"/>
            <w:shd w:val="clear" w:color="auto" w:fill="FFFF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133,443 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(301)</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(299)</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661037054"/>
          <w:jc w:val="center"/>
        </w:trPr>
        <w:tc>
          <w:tcPr>
            <w:tcW w:w="0" w:type="auto"/>
            <w:gridSpan w:val="3"/>
            <w:shd w:val="clear" w:color="auto" w:fill="CCEE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1,140 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1,140 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661037054"/>
          <w:jc w:val="center"/>
        </w:trPr>
        <w:tc>
          <w:tcPr>
            <w:tcW w:w="0" w:type="auto"/>
            <w:gridSpan w:val="3"/>
            <w:shd w:val="clear" w:color="auto" w:fill="FFFF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(6,429)</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(6,429)</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D65F33">
        <w:trPr>
          <w:divId w:val="1661037054"/>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Balance—March 29, 2022</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48,258,594 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483 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(35,000)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208,065 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(141,503)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32,045 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661037054"/>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r>
      <w:tr w:rsidR="00D65F33">
        <w:trPr>
          <w:divId w:val="1661037054"/>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Balance—December 29, 2020</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46,807,587 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468 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2,423,871 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(35,000)</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202,970 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(138,739)</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29,699 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661037054"/>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divId w:val="1887327643"/>
              <w:rPr>
                <w:rFonts w:eastAsia="Times New Roman"/>
              </w:rPr>
            </w:pPr>
            <w:r>
              <w:rPr>
                <w:rFonts w:eastAsia="Times New Roman"/>
                <w:i/>
                <w:iCs/>
                <w:color w:val="000000"/>
                <w:sz w:val="16"/>
                <w:szCs w:val="16"/>
              </w:rPr>
              <w:t>L</w:t>
            </w:r>
            <w:r>
              <w:rPr>
                <w:rFonts w:eastAsia="Times New Roman"/>
                <w:color w:val="000000"/>
                <w:sz w:val="16"/>
                <w:szCs w:val="16"/>
              </w:rPr>
              <w:t xml:space="preserve"> Catterton warrants exercised</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975,458 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(10)</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661037054"/>
          <w:jc w:val="center"/>
        </w:trPr>
        <w:tc>
          <w:tcPr>
            <w:tcW w:w="0" w:type="auto"/>
            <w:gridSpan w:val="3"/>
            <w:shd w:val="clear" w:color="auto" w:fill="CCEE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Stock plan transactions and other</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107,443 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(336)</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(335)</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661037054"/>
          <w:jc w:val="center"/>
        </w:trPr>
        <w:tc>
          <w:tcPr>
            <w:tcW w:w="0" w:type="auto"/>
            <w:gridSpan w:val="3"/>
            <w:shd w:val="clear" w:color="auto" w:fill="FFFF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lastRenderedPageBreak/>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738 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738 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661037054"/>
          <w:jc w:val="center"/>
        </w:trPr>
        <w:tc>
          <w:tcPr>
            <w:tcW w:w="0" w:type="auto"/>
            <w:gridSpan w:val="3"/>
            <w:shd w:val="clear" w:color="auto" w:fill="CCEE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(1,977)</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(1,977)</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D65F33">
        <w:trPr>
          <w:divId w:val="1661037054"/>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16"/>
                <w:szCs w:val="16"/>
              </w:rPr>
              <w:t>Balance—March 30, 2021</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47,890,488 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479 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2,423,871 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(35,000)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203,362 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(140,716)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16"/>
                <w:szCs w:val="16"/>
              </w:rPr>
              <w:t>28,125 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661037054"/>
          <w:jc w:val="center"/>
        </w:trPr>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1661037054"/>
          <w:jc w:val="center"/>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bl>
    <w:p w:rsidR="00000000" w:rsidRDefault="00D65F33">
      <w:pPr>
        <w:divId w:val="1267694729"/>
        <w:rPr>
          <w:rFonts w:eastAsia="Times New Roman"/>
        </w:rPr>
      </w:pPr>
      <w:r>
        <w:rPr>
          <w:rFonts w:eastAsia="Times New Roman"/>
          <w:color w:val="000000"/>
          <w:sz w:val="16"/>
          <w:szCs w:val="16"/>
        </w:rPr>
        <w:t>_____________</w:t>
      </w:r>
    </w:p>
    <w:p w:rsidR="00000000" w:rsidRDefault="00D65F33">
      <w:pPr>
        <w:ind w:hanging="720"/>
        <w:divId w:val="1405562322"/>
        <w:rPr>
          <w:rFonts w:eastAsia="Times New Roman"/>
        </w:rPr>
      </w:pPr>
      <w:r>
        <w:rPr>
          <w:rFonts w:eastAsia="Times New Roman"/>
          <w:color w:val="000000"/>
          <w:sz w:val="16"/>
          <w:szCs w:val="16"/>
        </w:rPr>
        <w:t>(1)Unless otherwise noted, activity relates to Class A common stock.</w:t>
      </w:r>
    </w:p>
    <w:p w:rsidR="00000000" w:rsidRDefault="00D65F33">
      <w:pPr>
        <w:divId w:val="1544252547"/>
        <w:rPr>
          <w:rFonts w:eastAsia="Times New Roman"/>
        </w:rPr>
      </w:pPr>
    </w:p>
    <w:p w:rsidR="00000000" w:rsidRDefault="00D65F33">
      <w:pPr>
        <w:jc w:val="center"/>
        <w:divId w:val="188643560"/>
        <w:rPr>
          <w:rFonts w:eastAsia="Times New Roman"/>
        </w:rPr>
      </w:pPr>
      <w:r>
        <w:rPr>
          <w:rFonts w:eastAsia="Times New Roman"/>
          <w:i/>
          <w:iCs/>
          <w:color w:val="000000"/>
          <w:sz w:val="16"/>
          <w:szCs w:val="16"/>
        </w:rPr>
        <w:t>See accompanying notes to condensed consolidated financial statements.</w:t>
      </w:r>
    </w:p>
    <w:p w:rsidR="00000000" w:rsidRDefault="00D65F33">
      <w:pPr>
        <w:jc w:val="center"/>
        <w:divId w:val="2088258540"/>
        <w:rPr>
          <w:rFonts w:eastAsia="Times New Roman"/>
        </w:rPr>
      </w:pPr>
      <w:r>
        <w:rPr>
          <w:rFonts w:eastAsia="Times New Roman"/>
          <w:color w:val="000000"/>
          <w:sz w:val="20"/>
          <w:szCs w:val="20"/>
        </w:rPr>
        <w:t>4</w:t>
      </w:r>
    </w:p>
    <w:p w:rsidR="00000000" w:rsidRDefault="00D65F33">
      <w:pPr>
        <w:rPr>
          <w:rFonts w:eastAsia="Times New Roman"/>
        </w:rPr>
      </w:pPr>
      <w:r>
        <w:rPr>
          <w:rFonts w:eastAsia="Times New Roman"/>
        </w:rPr>
        <w:pict>
          <v:rect id="_x0000_i1029" style="width:0;height:1.5pt" o:hralign="center" o:hrstd="t" o:hr="t" fillcolor="#a0a0a0" stroked="f"/>
        </w:pict>
      </w:r>
    </w:p>
    <w:p w:rsidR="00000000" w:rsidRDefault="00D65F33">
      <w:pPr>
        <w:divId w:val="38168843"/>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center"/>
        <w:divId w:val="517819986"/>
        <w:rPr>
          <w:rFonts w:eastAsia="Times New Roman"/>
        </w:rPr>
      </w:pPr>
      <w:r>
        <w:rPr>
          <w:rFonts w:eastAsia="Times New Roman"/>
          <w:b/>
          <w:bCs/>
          <w:color w:val="000000"/>
          <w:sz w:val="20"/>
          <w:szCs w:val="20"/>
        </w:rPr>
        <w:t>Noodles &amp; Company</w:t>
      </w:r>
    </w:p>
    <w:p w:rsidR="00000000" w:rsidRDefault="00D65F33">
      <w:pPr>
        <w:jc w:val="center"/>
        <w:divId w:val="855194051"/>
        <w:rPr>
          <w:rFonts w:eastAsia="Times New Roman"/>
        </w:rPr>
      </w:pPr>
      <w:r>
        <w:rPr>
          <w:rFonts w:eastAsia="Times New Roman"/>
          <w:b/>
          <w:bCs/>
          <w:color w:val="000000"/>
          <w:sz w:val="20"/>
          <w:szCs w:val="20"/>
        </w:rPr>
        <w:t>Condensed Consolidated Statements of Cash Flows</w:t>
      </w:r>
    </w:p>
    <w:p w:rsidR="00000000" w:rsidRDefault="00D65F33">
      <w:pPr>
        <w:jc w:val="center"/>
        <w:divId w:val="156461158"/>
        <w:rPr>
          <w:rFonts w:eastAsia="Times New Roman"/>
        </w:rPr>
      </w:pPr>
      <w:r>
        <w:rPr>
          <w:rFonts w:eastAsia="Times New Roman"/>
          <w:b/>
          <w:bCs/>
          <w:color w:val="000000"/>
          <w:sz w:val="20"/>
          <w:szCs w:val="20"/>
        </w:rPr>
        <w:t>(in thousands, 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5924"/>
        <w:gridCol w:w="39"/>
        <w:gridCol w:w="36"/>
        <w:gridCol w:w="36"/>
        <w:gridCol w:w="36"/>
        <w:gridCol w:w="120"/>
        <w:gridCol w:w="881"/>
        <w:gridCol w:w="36"/>
        <w:gridCol w:w="36"/>
        <w:gridCol w:w="36"/>
        <w:gridCol w:w="36"/>
        <w:gridCol w:w="120"/>
        <w:gridCol w:w="881"/>
        <w:gridCol w:w="36"/>
      </w:tblGrid>
      <w:tr w:rsidR="00000000">
        <w:trPr>
          <w:jc w:val="center"/>
        </w:trPr>
        <w:tc>
          <w:tcPr>
            <w:tcW w:w="50" w:type="pct"/>
            <w:vAlign w:val="center"/>
            <w:hideMark/>
          </w:tcPr>
          <w:p w:rsidR="00000000" w:rsidRDefault="00D65F33">
            <w:pPr>
              <w:jc w:val="center"/>
              <w:rPr>
                <w:rFonts w:eastAsia="Times New Roman"/>
              </w:rPr>
            </w:pPr>
          </w:p>
        </w:tc>
        <w:tc>
          <w:tcPr>
            <w:tcW w:w="3598"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r>
      <w:tr w:rsidR="00000000">
        <w:trPr>
          <w:jc w:val="center"/>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loss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(6,429)</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(1,977)</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Adjustments to reconcile net loss to net cash (used in)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5,721 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5,587 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Deferred income taxes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496 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618 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Amortization of debt issuance costs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Stock-based compensation</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1,120 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720 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xml:space="preserve">Accounts receivable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(513)</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Inventories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(315)</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1,378 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(717)</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Accounts payable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(716)</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3,543 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Income taxes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Operating lease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(826)</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(1,412)</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Accrued expenses and other liabilities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(6,005)</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(2,866)</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cash (used in)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(6,060)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20"/>
                <w:szCs w:val="20"/>
              </w:rPr>
              <w:t>Investing activities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Purchases of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(8,412)</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(2,733)</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Proceeds from restaurant divestitures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1,577 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cash used in investing activities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(6,835)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(2,733)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20"/>
                <w:szCs w:val="20"/>
              </w:rPr>
              <w:t>Financing activities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borrowings from swing line loan</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3,195 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Proceeds from borrowings on long-term debt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10,600 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Payments on long-term debt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(750)</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(5,042)</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Payments on finance leases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(505)</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(392)</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Stock plan transactions and tax withholding on share-based compensation awards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(299)</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(335)</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cash provided by (used in) financing activities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12,241 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(5,769)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decrease in 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(4,723)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20"/>
                <w:szCs w:val="20"/>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2,255 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7,840 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End of period</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1,601 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3,117 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bl>
    <w:p w:rsidR="00000000" w:rsidRDefault="00D65F33">
      <w:pPr>
        <w:ind w:firstLine="360"/>
        <w:jc w:val="center"/>
        <w:divId w:val="1643272631"/>
        <w:rPr>
          <w:rFonts w:eastAsia="Times New Roman"/>
        </w:rPr>
      </w:pPr>
      <w:r>
        <w:rPr>
          <w:rFonts w:eastAsia="Times New Roman"/>
          <w:i/>
          <w:iCs/>
          <w:color w:val="000000"/>
          <w:sz w:val="20"/>
          <w:szCs w:val="20"/>
        </w:rPr>
        <w:t>S</w:t>
      </w:r>
      <w:r>
        <w:rPr>
          <w:rFonts w:eastAsia="Times New Roman"/>
          <w:i/>
          <w:iCs/>
          <w:color w:val="000000"/>
          <w:sz w:val="20"/>
          <w:szCs w:val="20"/>
        </w:rPr>
        <w:t>ee accompanying notes to condensed consolidated financial statements.</w:t>
      </w:r>
    </w:p>
    <w:p w:rsidR="00000000" w:rsidRDefault="00D65F33">
      <w:pPr>
        <w:jc w:val="center"/>
        <w:divId w:val="1961378043"/>
        <w:rPr>
          <w:rFonts w:eastAsia="Times New Roman"/>
        </w:rPr>
      </w:pPr>
      <w:r>
        <w:rPr>
          <w:rFonts w:eastAsia="Times New Roman"/>
          <w:color w:val="000000"/>
          <w:sz w:val="20"/>
          <w:szCs w:val="20"/>
        </w:rPr>
        <w:t>5</w:t>
      </w:r>
    </w:p>
    <w:p w:rsidR="00000000" w:rsidRDefault="00D65F33">
      <w:pPr>
        <w:rPr>
          <w:rFonts w:eastAsia="Times New Roman"/>
        </w:rPr>
      </w:pPr>
      <w:r>
        <w:rPr>
          <w:rFonts w:eastAsia="Times New Roman"/>
        </w:rPr>
        <w:pict>
          <v:rect id="_x0000_i1030" style="width:0;height:1.5pt" o:hralign="center" o:hrstd="t" o:hr="t" fillcolor="#a0a0a0" stroked="f"/>
        </w:pict>
      </w:r>
    </w:p>
    <w:p w:rsidR="00000000" w:rsidRDefault="00D65F33">
      <w:pPr>
        <w:divId w:val="992222961"/>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center"/>
        <w:divId w:val="1464806788"/>
        <w:rPr>
          <w:rFonts w:eastAsia="Times New Roman"/>
        </w:rPr>
      </w:pPr>
      <w:r>
        <w:rPr>
          <w:rFonts w:eastAsia="Times New Roman"/>
          <w:b/>
          <w:bCs/>
          <w:color w:val="000000"/>
          <w:sz w:val="20"/>
          <w:szCs w:val="20"/>
        </w:rPr>
        <w:t>NOODLES &amp; COMPANY</w:t>
      </w:r>
    </w:p>
    <w:p w:rsidR="00000000" w:rsidRDefault="00D65F33">
      <w:pPr>
        <w:jc w:val="center"/>
        <w:divId w:val="909459793"/>
        <w:rPr>
          <w:rFonts w:eastAsia="Times New Roman"/>
        </w:rPr>
      </w:pPr>
      <w:r>
        <w:rPr>
          <w:rFonts w:eastAsia="Times New Roman"/>
          <w:b/>
          <w:bCs/>
          <w:color w:val="000000"/>
          <w:sz w:val="20"/>
          <w:szCs w:val="20"/>
        </w:rPr>
        <w:t>Notes to Condensed Consolidated Financial Statements</w:t>
      </w:r>
    </w:p>
    <w:p w:rsidR="00000000" w:rsidRDefault="00D65F33">
      <w:pPr>
        <w:jc w:val="center"/>
        <w:divId w:val="1827236983"/>
        <w:rPr>
          <w:rFonts w:eastAsia="Times New Roman"/>
        </w:rPr>
      </w:pPr>
      <w:r>
        <w:rPr>
          <w:rFonts w:eastAsia="Times New Roman"/>
          <w:b/>
          <w:bCs/>
          <w:color w:val="000000"/>
          <w:sz w:val="20"/>
          <w:szCs w:val="20"/>
        </w:rPr>
        <w:t>(unaudited)</w:t>
      </w:r>
    </w:p>
    <w:p w:rsidR="00000000" w:rsidRDefault="00D65F33">
      <w:pPr>
        <w:divId w:val="1271548788"/>
        <w:rPr>
          <w:rFonts w:eastAsia="Times New Roman"/>
        </w:rPr>
      </w:pPr>
    </w:p>
    <w:p w:rsidR="00000000" w:rsidRDefault="00D65F33">
      <w:pPr>
        <w:jc w:val="both"/>
        <w:rPr>
          <w:rFonts w:eastAsia="Times New Roman"/>
        </w:rPr>
      </w:pPr>
      <w:r>
        <w:rPr>
          <w:rFonts w:eastAsia="Times New Roman"/>
          <w:b/>
          <w:bCs/>
          <w:color w:val="000000"/>
          <w:sz w:val="20"/>
          <w:szCs w:val="20"/>
        </w:rPr>
        <w:t xml:space="preserve">1. </w:t>
      </w:r>
      <w:r>
        <w:rPr>
          <w:rFonts w:eastAsia="Times New Roman"/>
          <w:b/>
          <w:bCs/>
          <w:color w:val="000000"/>
          <w:sz w:val="20"/>
          <w:szCs w:val="20"/>
        </w:rPr>
        <w:t>Business Summary and Basis of Presentation</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Business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Noodles &amp; Company (the “Company”), a Delaware corporation, develops and operates fast casual restaurants that serve globally inspired noodle and pasta dishes, soups, salads and appetizers. As of March</w:t>
      </w:r>
      <w:r>
        <w:rPr>
          <w:rFonts w:eastAsia="Times New Roman"/>
          <w:color w:val="000000"/>
          <w:sz w:val="20"/>
          <w:szCs w:val="20"/>
        </w:rPr>
        <w:t xml:space="preserve"> 29, 2022, the Company had 453 restaurants system-wide in 30 states, comprised of 360 company-owned restaurants and 93 franchise restaurants. The Company operates its business as one operating and reportable segment.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 xml:space="preserve">Basis of Presentation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accompa</w:t>
      </w:r>
      <w:r>
        <w:rPr>
          <w:rFonts w:eastAsia="Times New Roman"/>
          <w:color w:val="000000"/>
          <w:sz w:val="20"/>
          <w:szCs w:val="20"/>
        </w:rPr>
        <w:t>nying unaudited condensed consolidated financial statements include the accounts of Noodles &amp; Company and its subsidiaries. All intercompany accounts and transactions have been eliminated in consolidation. The accompanying interim unaudited condensed conso</w:t>
      </w:r>
      <w:r>
        <w:rPr>
          <w:rFonts w:eastAsia="Times New Roman"/>
          <w:color w:val="000000"/>
          <w:sz w:val="20"/>
          <w:szCs w:val="20"/>
        </w:rPr>
        <w:t>lidated financial statements have been prepared by the Company pursuant to the rules and regulations of the Securities and Exchange Commission (the “SEC”). Accordingly, they do not include all the information and footnotes required by accounting principles</w:t>
      </w:r>
      <w:r>
        <w:rPr>
          <w:rFonts w:eastAsia="Times New Roman"/>
          <w:color w:val="000000"/>
          <w:sz w:val="20"/>
          <w:szCs w:val="20"/>
        </w:rPr>
        <w:t xml:space="preserve"> generally accepted in the United States of America (“GAAP”) for complete financial statements. In the opinion of the Company, all adjustments considered necessary for the fair presentation of the Company’s results of operations, financial position and cas</w:t>
      </w:r>
      <w:r>
        <w:rPr>
          <w:rFonts w:eastAsia="Times New Roman"/>
          <w:color w:val="000000"/>
          <w:sz w:val="20"/>
          <w:szCs w:val="20"/>
        </w:rPr>
        <w:t>h flows for the periods presented have been included and are of a normal, recurring nature. The preparation of financial statements in conformity with GAAP requires management to make estimates and assumptions that affect the reported amounts of assets and</w:t>
      </w:r>
      <w:r>
        <w:rPr>
          <w:rFonts w:eastAsia="Times New Roman"/>
          <w:color w:val="000000"/>
          <w:sz w:val="20"/>
          <w:szCs w:val="20"/>
        </w:rPr>
        <w:t xml:space="preserve"> liabilities and disclosure of contingent assets and liabilities at the date of the financial statements and the reported amounts of revenues and expenses during the reporting period. The results of operations for any interim period are not necessarily ind</w:t>
      </w:r>
      <w:r>
        <w:rPr>
          <w:rFonts w:eastAsia="Times New Roman"/>
          <w:color w:val="000000"/>
          <w:sz w:val="20"/>
          <w:szCs w:val="20"/>
        </w:rPr>
        <w:t>icative of results for the full year. Certain information and footnote disclosures normally included in the Company’s annual consolidated financial statements on Form 10-K have been condensed or omitted. The condensed consolidated balance sheet as of Decem</w:t>
      </w:r>
      <w:r>
        <w:rPr>
          <w:rFonts w:eastAsia="Times New Roman"/>
          <w:color w:val="000000"/>
          <w:sz w:val="20"/>
          <w:szCs w:val="20"/>
        </w:rPr>
        <w:t>ber 28, 2021 was derived from audited financial statements. These financial statements should be read in conjunction with the audited financial statements and the related notes included in the Company’s</w:t>
      </w:r>
      <w:r>
        <w:rPr>
          <w:rFonts w:eastAsia="Times New Roman"/>
          <w:i/>
          <w:iCs/>
          <w:color w:val="000000"/>
          <w:sz w:val="20"/>
          <w:szCs w:val="20"/>
        </w:rPr>
        <w:t xml:space="preserve"> </w:t>
      </w:r>
      <w:r>
        <w:rPr>
          <w:rFonts w:eastAsia="Times New Roman"/>
          <w:color w:val="000000"/>
          <w:sz w:val="20"/>
          <w:szCs w:val="20"/>
        </w:rPr>
        <w:t xml:space="preserve">Annual Report on Form 10-K for the fiscal year ended </w:t>
      </w:r>
      <w:r>
        <w:rPr>
          <w:rFonts w:eastAsia="Times New Roman"/>
          <w:color w:val="000000"/>
          <w:sz w:val="20"/>
          <w:szCs w:val="20"/>
        </w:rPr>
        <w:t xml:space="preserve">December 28, 2021.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Fiscal Year</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Company operates on a 52- or 53-week fiscal year ending on the Tuesday closest to December 31. The Company’s fiscal quarters each contain 13 operating weeks, with the exception of the fourth quarter of a 53-week fisc</w:t>
      </w:r>
      <w:r>
        <w:rPr>
          <w:rFonts w:eastAsia="Times New Roman"/>
          <w:color w:val="000000"/>
          <w:sz w:val="20"/>
          <w:szCs w:val="20"/>
        </w:rPr>
        <w:t xml:space="preserve">al year, which contains 14 operating weeks. Fiscal year 2022, which ends on January 3, 2023 contains 53 weeks and fiscal year 2021, which ended on December 28, 2021, contained 52 weeks. The Company’s fiscal quarter that ended March 29, 2022 is referred to </w:t>
      </w:r>
      <w:r>
        <w:rPr>
          <w:rFonts w:eastAsia="Times New Roman"/>
          <w:color w:val="000000"/>
          <w:sz w:val="20"/>
          <w:szCs w:val="20"/>
        </w:rPr>
        <w:t>as the first quarter of 2022, and the fiscal quarter ended March 30, 2021 is referred to as the first quarter of 2021.</w:t>
      </w:r>
    </w:p>
    <w:p w:rsidR="00000000" w:rsidRDefault="00D65F33">
      <w:pPr>
        <w:jc w:val="both"/>
        <w:rPr>
          <w:rFonts w:eastAsia="Times New Roman"/>
        </w:rPr>
      </w:pPr>
    </w:p>
    <w:p w:rsidR="00000000" w:rsidRDefault="00D65F33">
      <w:pPr>
        <w:jc w:val="both"/>
        <w:divId w:val="851803215"/>
        <w:rPr>
          <w:rFonts w:eastAsia="Times New Roman"/>
        </w:rPr>
      </w:pPr>
      <w:r>
        <w:rPr>
          <w:rFonts w:eastAsia="Times New Roman"/>
          <w:b/>
          <w:bCs/>
          <w:i/>
          <w:iCs/>
          <w:color w:val="000000"/>
          <w:sz w:val="20"/>
          <w:szCs w:val="20"/>
        </w:rPr>
        <w:t>Recent Accounting Pronouncements</w:t>
      </w:r>
    </w:p>
    <w:p w:rsidR="00000000" w:rsidRDefault="00D65F33">
      <w:pPr>
        <w:jc w:val="both"/>
        <w:divId w:val="350224679"/>
        <w:rPr>
          <w:rFonts w:eastAsia="Times New Roman"/>
        </w:rPr>
      </w:pPr>
      <w:r>
        <w:rPr>
          <w:rFonts w:eastAsia="Times New Roman"/>
          <w:color w:val="000000"/>
          <w:sz w:val="20"/>
          <w:szCs w:val="20"/>
        </w:rPr>
        <w:t>In March 2020, the FASB issued ASU No. 2020-04, </w:t>
      </w:r>
      <w:r>
        <w:rPr>
          <w:rFonts w:eastAsia="Times New Roman"/>
          <w:i/>
          <w:iCs/>
          <w:color w:val="000000"/>
          <w:sz w:val="20"/>
          <w:szCs w:val="20"/>
        </w:rPr>
        <w:t>Facilitation of the Effects of Reference Rate Reform o</w:t>
      </w:r>
      <w:r>
        <w:rPr>
          <w:rFonts w:eastAsia="Times New Roman"/>
          <w:i/>
          <w:iCs/>
          <w:color w:val="000000"/>
          <w:sz w:val="20"/>
          <w:szCs w:val="20"/>
        </w:rPr>
        <w:t xml:space="preserve">n Financial Reporting </w:t>
      </w:r>
      <w:r>
        <w:rPr>
          <w:rFonts w:eastAsia="Times New Roman"/>
          <w:color w:val="000000"/>
          <w:sz w:val="20"/>
          <w:szCs w:val="20"/>
        </w:rPr>
        <w:t xml:space="preserve">(“ASU 2020-04”). ASU 2020-04 is intended to provide temporary optional expedients and exceptions to the U.S. GAAP guidance on contract modifications and hedge accounting to ease the financial reporting burdens related to the expected </w:t>
      </w:r>
      <w:r>
        <w:rPr>
          <w:rFonts w:eastAsia="Times New Roman"/>
          <w:color w:val="000000"/>
          <w:sz w:val="20"/>
          <w:szCs w:val="20"/>
        </w:rPr>
        <w:t>market transition from the London Interbank Offered Rate (“LIBOR”) and other interbank offered rates to alternative reference rates. The Company may elect to apply the amendments prospectively through December 31, 202</w:t>
      </w:r>
      <w:r>
        <w:rPr>
          <w:rFonts w:eastAsia="Times New Roman"/>
          <w:color w:val="000000"/>
          <w:sz w:val="20"/>
          <w:szCs w:val="20"/>
          <w:shd w:val="clear" w:color="auto" w:fill="FFFFFF"/>
        </w:rPr>
        <w:t xml:space="preserve">2. The Company is currently evaluating </w:t>
      </w:r>
      <w:r>
        <w:rPr>
          <w:rFonts w:eastAsia="Times New Roman"/>
          <w:color w:val="000000"/>
          <w:sz w:val="20"/>
          <w:szCs w:val="20"/>
          <w:shd w:val="clear" w:color="auto" w:fill="FFFFFF"/>
        </w:rPr>
        <w:t>the impact this guidance may have on its consolidated financial statements and related disclosures.</w:t>
      </w:r>
    </w:p>
    <w:p w:rsidR="00000000" w:rsidRDefault="00D65F33">
      <w:pPr>
        <w:jc w:val="both"/>
        <w:rPr>
          <w:rFonts w:eastAsia="Times New Roman"/>
        </w:rPr>
      </w:pPr>
    </w:p>
    <w:p w:rsidR="00000000" w:rsidRDefault="00D65F33">
      <w:pPr>
        <w:jc w:val="center"/>
        <w:divId w:val="1244801067"/>
        <w:rPr>
          <w:rFonts w:eastAsia="Times New Roman"/>
        </w:rPr>
      </w:pPr>
      <w:r>
        <w:rPr>
          <w:rFonts w:eastAsia="Times New Roman"/>
          <w:color w:val="000000"/>
          <w:sz w:val="20"/>
          <w:szCs w:val="20"/>
        </w:rPr>
        <w:t>6</w:t>
      </w:r>
    </w:p>
    <w:p w:rsidR="00000000" w:rsidRDefault="00D65F33">
      <w:pPr>
        <w:rPr>
          <w:rFonts w:eastAsia="Times New Roman"/>
        </w:rPr>
      </w:pPr>
      <w:r>
        <w:rPr>
          <w:rFonts w:eastAsia="Times New Roman"/>
        </w:rPr>
        <w:pict>
          <v:rect id="_x0000_i1031" style="width:0;height:1.5pt" o:hralign="center" o:hrstd="t" o:hr="t" fillcolor="#a0a0a0" stroked="f"/>
        </w:pict>
      </w:r>
    </w:p>
    <w:p w:rsidR="00000000" w:rsidRDefault="00D65F33">
      <w:pPr>
        <w:divId w:val="609971620"/>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r>
        <w:rPr>
          <w:rFonts w:eastAsia="Times New Roman"/>
          <w:b/>
          <w:bCs/>
          <w:color w:val="000000"/>
          <w:sz w:val="20"/>
          <w:szCs w:val="20"/>
        </w:rPr>
        <w:t xml:space="preserve">2. </w:t>
      </w:r>
      <w:r>
        <w:rPr>
          <w:rFonts w:eastAsia="Times New Roman"/>
          <w:b/>
          <w:bCs/>
          <w:color w:val="000000"/>
          <w:sz w:val="20"/>
          <w:szCs w:val="20"/>
        </w:rPr>
        <w:t>Supplemental Financial Information</w:t>
      </w:r>
    </w:p>
    <w:p w:rsidR="00000000" w:rsidRDefault="00D65F33">
      <w:pPr>
        <w:jc w:val="both"/>
        <w:rPr>
          <w:rFonts w:eastAsia="Times New Roman"/>
        </w:rPr>
      </w:pPr>
    </w:p>
    <w:p w:rsidR="00000000" w:rsidRDefault="00D65F33">
      <w:pPr>
        <w:jc w:val="both"/>
        <w:divId w:val="172572436"/>
        <w:rPr>
          <w:rFonts w:eastAsia="Times New Roman"/>
        </w:rPr>
      </w:pPr>
      <w:r>
        <w:rPr>
          <w:rFonts w:eastAsia="Times New Roman"/>
          <w:color w:val="000000"/>
          <w:sz w:val="20"/>
          <w:szCs w:val="20"/>
        </w:rPr>
        <w:t>Accounts receivable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10"/>
        <w:gridCol w:w="36"/>
        <w:gridCol w:w="36"/>
        <w:gridCol w:w="36"/>
        <w:gridCol w:w="36"/>
        <w:gridCol w:w="120"/>
        <w:gridCol w:w="1344"/>
        <w:gridCol w:w="36"/>
        <w:gridCol w:w="36"/>
        <w:gridCol w:w="36"/>
        <w:gridCol w:w="36"/>
        <w:gridCol w:w="121"/>
        <w:gridCol w:w="1236"/>
        <w:gridCol w:w="36"/>
      </w:tblGrid>
      <w:tr w:rsidR="00000000">
        <w:trPr>
          <w:divId w:val="1961372150"/>
        </w:trPr>
        <w:tc>
          <w:tcPr>
            <w:tcW w:w="50" w:type="pct"/>
            <w:vAlign w:val="center"/>
            <w:hideMark/>
          </w:tcPr>
          <w:p w:rsidR="00000000" w:rsidRDefault="00D65F33">
            <w:pPr>
              <w:jc w:val="both"/>
              <w:rPr>
                <w:rFonts w:eastAsia="Times New Roman"/>
              </w:rPr>
            </w:pPr>
          </w:p>
        </w:tc>
        <w:tc>
          <w:tcPr>
            <w:tcW w:w="3107"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60"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794"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divId w:val="1961372150"/>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trPr>
          <w:divId w:val="1961372150"/>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Delivery program receivables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1,812 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961372150"/>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Vendor rebate receivables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943 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695 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961372150"/>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jc w:val="both"/>
              <w:rPr>
                <w:rFonts w:eastAsia="Times New Roman"/>
              </w:rPr>
            </w:pPr>
            <w:r>
              <w:rPr>
                <w:rFonts w:eastAsia="Times New Roman"/>
                <w:color w:val="000000"/>
                <w:sz w:val="20"/>
                <w:szCs w:val="20"/>
              </w:rPr>
              <w:t>Franchise receivables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both"/>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772 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961372150"/>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jc w:val="both"/>
              <w:rPr>
                <w:rFonts w:eastAsia="Times New Roman"/>
              </w:rPr>
            </w:pPr>
            <w:r>
              <w:rPr>
                <w:rFonts w:eastAsia="Times New Roman"/>
                <w:color w:val="000000"/>
                <w:sz w:val="20"/>
                <w:szCs w:val="20"/>
              </w:rPr>
              <w:t>Other receivables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both"/>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898 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1,152 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1961372150"/>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Accounts receivable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4,425 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3,958 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bl>
    <w:p w:rsidR="00000000" w:rsidRDefault="00D65F33">
      <w:pPr>
        <w:ind w:firstLine="360"/>
        <w:jc w:val="both"/>
        <w:rPr>
          <w:rFonts w:eastAsia="Times New Roman"/>
        </w:rPr>
      </w:pPr>
    </w:p>
    <w:p w:rsidR="00000000" w:rsidRDefault="00D65F33">
      <w:pPr>
        <w:jc w:val="both"/>
        <w:rPr>
          <w:rFonts w:eastAsia="Times New Roman"/>
        </w:rPr>
      </w:pPr>
      <w:r>
        <w:rPr>
          <w:rFonts w:eastAsia="Times New Roman"/>
          <w:color w:val="000000"/>
          <w:sz w:val="20"/>
          <w:szCs w:val="20"/>
        </w:rPr>
        <w:t>P</w:t>
      </w:r>
      <w:r>
        <w:rPr>
          <w:rFonts w:eastAsia="Times New Roman"/>
          <w:color w:val="000000"/>
          <w:sz w:val="20"/>
          <w:szCs w:val="20"/>
        </w:rPr>
        <w:t>repaid expenses and other assets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0"/>
        <w:gridCol w:w="1282"/>
        <w:gridCol w:w="36"/>
        <w:gridCol w:w="36"/>
        <w:gridCol w:w="36"/>
        <w:gridCol w:w="36"/>
        <w:gridCol w:w="121"/>
        <w:gridCol w:w="1284"/>
        <w:gridCol w:w="36"/>
      </w:tblGrid>
      <w:tr w:rsidR="00000000">
        <w:trPr>
          <w:divId w:val="208953747"/>
        </w:trPr>
        <w:tc>
          <w:tcPr>
            <w:tcW w:w="50" w:type="pct"/>
            <w:vAlign w:val="center"/>
            <w:hideMark/>
          </w:tcPr>
          <w:p w:rsidR="00000000" w:rsidRDefault="00D65F33">
            <w:pPr>
              <w:jc w:val="both"/>
              <w:rPr>
                <w:rFonts w:eastAsia="Times New Roman"/>
              </w:rPr>
            </w:pPr>
          </w:p>
        </w:tc>
        <w:tc>
          <w:tcPr>
            <w:tcW w:w="3114"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23"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23"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divId w:val="208953747"/>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trPr>
          <w:divId w:val="208953747"/>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Prepaid insurance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208953747"/>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Prepaid occupancy related costs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208953747"/>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divId w:val="1549875268"/>
              <w:rPr>
                <w:rFonts w:eastAsia="Times New Roman"/>
              </w:rPr>
            </w:pPr>
            <w:r>
              <w:rPr>
                <w:rFonts w:eastAsia="Times New Roman"/>
                <w:color w:val="000000"/>
                <w:sz w:val="20"/>
                <w:szCs w:val="20"/>
              </w:rPr>
              <w:t>Current assets held for sale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3,514 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208953747"/>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Prepaid expenses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3,349 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2,272 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208953747"/>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155 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208953747"/>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Prepaid expenses and other assets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3,779 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6,837 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bl>
    <w:p w:rsidR="00000000" w:rsidRDefault="00D65F33">
      <w:pPr>
        <w:jc w:val="both"/>
        <w:rPr>
          <w:rFonts w:eastAsia="Times New Roman"/>
        </w:rPr>
      </w:pPr>
      <w:r>
        <w:rPr>
          <w:rFonts w:eastAsia="Times New Roman"/>
          <w:color w:val="000000"/>
          <w:sz w:val="20"/>
          <w:szCs w:val="20"/>
        </w:rPr>
        <w:t>___</w:t>
      </w:r>
      <w:r>
        <w:rPr>
          <w:rFonts w:eastAsia="Times New Roman"/>
          <w:color w:val="000000"/>
          <w:sz w:val="20"/>
          <w:szCs w:val="20"/>
        </w:rPr>
        <w:t>__________________________</w:t>
      </w:r>
    </w:p>
    <w:p w:rsidR="00000000" w:rsidRDefault="00D65F33">
      <w:pPr>
        <w:divId w:val="1869486907"/>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Current assets held for sale as of December 28, 2021 included assets held in connection with the divestiture of 15 company-owned restaurants to a franchisee (“Warner Sale”) which closed in January 2022.</w:t>
      </w:r>
    </w:p>
    <w:p w:rsidR="00000000" w:rsidRDefault="00D65F33">
      <w:pPr>
        <w:divId w:val="826824126"/>
        <w:rPr>
          <w:rFonts w:eastAsia="Times New Roman"/>
        </w:rPr>
      </w:pPr>
    </w:p>
    <w:p w:rsidR="00000000" w:rsidRDefault="00D65F33">
      <w:pPr>
        <w:jc w:val="both"/>
        <w:divId w:val="101606851"/>
        <w:rPr>
          <w:rFonts w:eastAsia="Times New Roman"/>
        </w:rPr>
      </w:pPr>
      <w:r>
        <w:rPr>
          <w:rFonts w:eastAsia="Times New Roman"/>
          <w:color w:val="000000"/>
          <w:sz w:val="20"/>
          <w:szCs w:val="20"/>
        </w:rPr>
        <w:t>Property and equipme</w:t>
      </w:r>
      <w:r>
        <w:rPr>
          <w:rFonts w:eastAsia="Times New Roman"/>
          <w:color w:val="000000"/>
          <w:sz w:val="20"/>
          <w:szCs w:val="20"/>
        </w:rPr>
        <w:t>nt, net, consists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0"/>
        <w:gridCol w:w="1284"/>
        <w:gridCol w:w="36"/>
        <w:gridCol w:w="36"/>
        <w:gridCol w:w="36"/>
        <w:gridCol w:w="36"/>
        <w:gridCol w:w="120"/>
        <w:gridCol w:w="1284"/>
        <w:gridCol w:w="36"/>
      </w:tblGrid>
      <w:tr w:rsidR="00000000">
        <w:trPr>
          <w:divId w:val="460002320"/>
        </w:trPr>
        <w:tc>
          <w:tcPr>
            <w:tcW w:w="50" w:type="pct"/>
            <w:vAlign w:val="center"/>
            <w:hideMark/>
          </w:tcPr>
          <w:p w:rsidR="00000000" w:rsidRDefault="00D65F33">
            <w:pPr>
              <w:jc w:val="both"/>
              <w:rPr>
                <w:rFonts w:eastAsia="Times New Roman"/>
              </w:rPr>
            </w:pPr>
          </w:p>
        </w:tc>
        <w:tc>
          <w:tcPr>
            <w:tcW w:w="3114"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23"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23"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divId w:val="460002320"/>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trPr>
          <w:divId w:val="460002320"/>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202,560 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197,722 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460002320"/>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Furniture, fixtures and equipment</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143,023 </w:t>
            </w:r>
          </w:p>
        </w:tc>
        <w:tc>
          <w:tcPr>
            <w:tcW w:w="0" w:type="auto"/>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140,698 </w:t>
            </w:r>
          </w:p>
        </w:tc>
        <w:tc>
          <w:tcPr>
            <w:tcW w:w="0" w:type="auto"/>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460002320"/>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7,411 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6,306 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460002320"/>
        </w:trPr>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352,994 </w:t>
            </w:r>
          </w:p>
        </w:tc>
        <w:tc>
          <w:tcPr>
            <w:tcW w:w="0" w:type="auto"/>
            <w:tcBorders>
              <w:top w:val="single" w:sz="8" w:space="0" w:color="000000"/>
            </w:tcBorders>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344,726 </w:t>
            </w:r>
          </w:p>
        </w:tc>
        <w:tc>
          <w:tcPr>
            <w:tcW w:w="0" w:type="auto"/>
            <w:tcBorders>
              <w:top w:val="single" w:sz="8" w:space="0" w:color="000000"/>
            </w:tcBorders>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460002320"/>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Accumulated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(230,674)</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(225,450)</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460002320"/>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Property and equipment, net</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122,320 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119,276 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65F33">
            <w:pPr>
              <w:spacing w:after="100"/>
              <w:jc w:val="right"/>
              <w:rPr>
                <w:rFonts w:eastAsia="Times New Roman"/>
              </w:rPr>
            </w:pPr>
          </w:p>
        </w:tc>
      </w:tr>
    </w:tbl>
    <w:p w:rsidR="00000000" w:rsidRDefault="00D65F33">
      <w:pPr>
        <w:jc w:val="both"/>
        <w:divId w:val="980186064"/>
        <w:rPr>
          <w:rFonts w:eastAsia="Times New Roman"/>
        </w:rPr>
      </w:pPr>
    </w:p>
    <w:p w:rsidR="00000000" w:rsidRDefault="00D65F33">
      <w:pPr>
        <w:jc w:val="both"/>
        <w:divId w:val="318384232"/>
        <w:rPr>
          <w:rFonts w:eastAsia="Times New Roman"/>
        </w:rPr>
      </w:pPr>
      <w:r>
        <w:rPr>
          <w:rFonts w:eastAsia="Times New Roman"/>
          <w:color w:val="000000"/>
          <w:sz w:val="20"/>
          <w:szCs w:val="20"/>
        </w:rPr>
        <w:t>Accrued payroll and benefits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6"/>
        <w:gridCol w:w="36"/>
        <w:gridCol w:w="36"/>
        <w:gridCol w:w="36"/>
        <w:gridCol w:w="120"/>
        <w:gridCol w:w="1345"/>
        <w:gridCol w:w="36"/>
        <w:gridCol w:w="36"/>
        <w:gridCol w:w="36"/>
        <w:gridCol w:w="36"/>
        <w:gridCol w:w="120"/>
        <w:gridCol w:w="1223"/>
        <w:gridCol w:w="36"/>
      </w:tblGrid>
      <w:tr w:rsidR="00000000">
        <w:trPr>
          <w:divId w:val="23411452"/>
        </w:trPr>
        <w:tc>
          <w:tcPr>
            <w:tcW w:w="50" w:type="pct"/>
            <w:vAlign w:val="center"/>
            <w:hideMark/>
          </w:tcPr>
          <w:p w:rsidR="00000000" w:rsidRDefault="00D65F33">
            <w:pPr>
              <w:jc w:val="both"/>
              <w:rPr>
                <w:rFonts w:eastAsia="Times New Roman"/>
              </w:rPr>
            </w:pPr>
          </w:p>
        </w:tc>
        <w:tc>
          <w:tcPr>
            <w:tcW w:w="3114"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60"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78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divId w:val="23411452"/>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trPr>
          <w:divId w:val="23411452"/>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Accrued payroll and related liabilities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9,851 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23411452"/>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Accrued bonus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1,190 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5,078 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23411452"/>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2,950 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3,671 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23411452"/>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Accrued payroll and benefits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11,130 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18,600 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bl>
    <w:p w:rsidR="00000000" w:rsidRDefault="00D65F33">
      <w:pPr>
        <w:divId w:val="2130935003"/>
        <w:rPr>
          <w:rFonts w:eastAsia="Times New Roman"/>
        </w:rPr>
      </w:pPr>
    </w:p>
    <w:p w:rsidR="00000000" w:rsidRDefault="00D65F33">
      <w:pPr>
        <w:jc w:val="center"/>
        <w:divId w:val="409153872"/>
        <w:rPr>
          <w:rFonts w:eastAsia="Times New Roman"/>
        </w:rPr>
      </w:pPr>
      <w:r>
        <w:rPr>
          <w:rFonts w:eastAsia="Times New Roman"/>
          <w:color w:val="000000"/>
          <w:sz w:val="20"/>
          <w:szCs w:val="20"/>
        </w:rPr>
        <w:t>7</w:t>
      </w:r>
    </w:p>
    <w:p w:rsidR="00000000" w:rsidRDefault="00D65F33">
      <w:pPr>
        <w:rPr>
          <w:rFonts w:eastAsia="Times New Roman"/>
        </w:rPr>
      </w:pPr>
      <w:r>
        <w:rPr>
          <w:rFonts w:eastAsia="Times New Roman"/>
        </w:rPr>
        <w:pict>
          <v:rect id="_x0000_i1032" style="width:0;height:1.5pt" o:hralign="center" o:hrstd="t" o:hr="t" fillcolor="#a0a0a0" stroked="f"/>
        </w:pict>
      </w:r>
    </w:p>
    <w:p w:rsidR="00000000" w:rsidRDefault="00D65F33">
      <w:pPr>
        <w:divId w:val="775446160"/>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divId w:val="1931967164"/>
        <w:rPr>
          <w:rFonts w:eastAsia="Times New Roman"/>
        </w:rPr>
      </w:pPr>
      <w:r>
        <w:rPr>
          <w:rFonts w:eastAsia="Times New Roman"/>
          <w:color w:val="000000"/>
          <w:sz w:val="20"/>
          <w:szCs w:val="20"/>
        </w:rPr>
        <w:t>Accrued expenses and other current liabilities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5123"/>
        <w:gridCol w:w="37"/>
        <w:gridCol w:w="36"/>
        <w:gridCol w:w="36"/>
        <w:gridCol w:w="36"/>
        <w:gridCol w:w="120"/>
        <w:gridCol w:w="1283"/>
        <w:gridCol w:w="36"/>
        <w:gridCol w:w="36"/>
        <w:gridCol w:w="36"/>
        <w:gridCol w:w="36"/>
        <w:gridCol w:w="120"/>
        <w:gridCol w:w="1284"/>
        <w:gridCol w:w="36"/>
      </w:tblGrid>
      <w:tr w:rsidR="00000000">
        <w:trPr>
          <w:divId w:val="617296776"/>
        </w:trPr>
        <w:tc>
          <w:tcPr>
            <w:tcW w:w="50" w:type="pct"/>
            <w:vAlign w:val="center"/>
            <w:hideMark/>
          </w:tcPr>
          <w:p w:rsidR="00000000" w:rsidRDefault="00D65F33">
            <w:pPr>
              <w:rPr>
                <w:rFonts w:eastAsia="Times New Roman"/>
              </w:rPr>
            </w:pPr>
          </w:p>
        </w:tc>
        <w:tc>
          <w:tcPr>
            <w:tcW w:w="3114"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23"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23"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divId w:val="617296776"/>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trPr>
          <w:divId w:val="617296776"/>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Gift card liability</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2,850 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61729677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Occupancy related</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1,670 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1,615 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617296776"/>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Utilities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1,181 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1,302 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61729677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Current portion of finance lease liability</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2,029 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1,956 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617296776"/>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divId w:val="699428097"/>
              <w:rPr>
                <w:rFonts w:eastAsia="Times New Roman"/>
              </w:rPr>
            </w:pPr>
            <w:r>
              <w:rPr>
                <w:rFonts w:eastAsia="Times New Roman"/>
                <w:color w:val="000000"/>
                <w:sz w:val="20"/>
                <w:szCs w:val="20"/>
              </w:rPr>
              <w:t>Liabilities held for sale</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1,671 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61729677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Accrued interest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271 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617296776"/>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Insurance liabilities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358 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393 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61729677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Other restaurant expense accruals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1,322 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995 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617296776"/>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Other corporate expense accruals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3,060 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2,738 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divId w:val="61729677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Accrued expenses and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12,209 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13,791 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bl>
    <w:p w:rsidR="00000000" w:rsidRDefault="00D65F33">
      <w:pPr>
        <w:jc w:val="both"/>
        <w:rPr>
          <w:rFonts w:eastAsia="Times New Roman"/>
        </w:rPr>
      </w:pPr>
      <w:r>
        <w:rPr>
          <w:rFonts w:eastAsia="Times New Roman"/>
          <w:color w:val="000000"/>
          <w:sz w:val="20"/>
          <w:szCs w:val="20"/>
        </w:rPr>
        <w:t>___</w:t>
      </w:r>
      <w:r>
        <w:rPr>
          <w:rFonts w:eastAsia="Times New Roman"/>
          <w:color w:val="000000"/>
          <w:sz w:val="20"/>
          <w:szCs w:val="20"/>
        </w:rPr>
        <w:t>__________________________</w:t>
      </w:r>
    </w:p>
    <w:p w:rsidR="00000000" w:rsidRDefault="00D65F33">
      <w:pPr>
        <w:divId w:val="2110344670"/>
        <w:rPr>
          <w:rFonts w:eastAsia="Times New Roman"/>
        </w:rPr>
      </w:pPr>
      <w:r>
        <w:rPr>
          <w:rFonts w:eastAsia="Times New Roman"/>
          <w:color w:val="000000"/>
          <w:sz w:val="10"/>
          <w:szCs w:val="10"/>
        </w:rPr>
        <w:t>(1</w:t>
      </w:r>
      <w:r>
        <w:rPr>
          <w:rFonts w:eastAsia="Times New Roman"/>
          <w:color w:val="000000"/>
          <w:sz w:val="10"/>
          <w:szCs w:val="10"/>
        </w:rPr>
        <w:t>)</w:t>
      </w:r>
      <w:r>
        <w:rPr>
          <w:rFonts w:eastAsia="Times New Roman"/>
          <w:color w:val="000000"/>
          <w:sz w:val="16"/>
          <w:szCs w:val="16"/>
        </w:rPr>
        <w:t xml:space="preserve"> </w:t>
      </w:r>
      <w:r>
        <w:rPr>
          <w:rFonts w:eastAsia="Times New Roman"/>
          <w:color w:val="000000"/>
          <w:sz w:val="16"/>
          <w:szCs w:val="16"/>
        </w:rPr>
        <w:t>Liabilities held for sale as of December 28, 2021 included liabilities held in connection with the Warner Sale which closed in January 2022.</w:t>
      </w:r>
    </w:p>
    <w:p w:rsidR="00000000" w:rsidRDefault="00D65F33">
      <w:pPr>
        <w:divId w:val="1299918191"/>
        <w:rPr>
          <w:rFonts w:eastAsia="Times New Roman"/>
        </w:rPr>
      </w:pPr>
    </w:p>
    <w:p w:rsidR="00000000" w:rsidRDefault="00D65F33">
      <w:pPr>
        <w:jc w:val="both"/>
        <w:rPr>
          <w:rFonts w:eastAsia="Times New Roman"/>
        </w:rPr>
      </w:pPr>
      <w:r>
        <w:rPr>
          <w:rFonts w:eastAsia="Times New Roman"/>
          <w:b/>
          <w:bCs/>
          <w:color w:val="000000"/>
          <w:sz w:val="20"/>
          <w:szCs w:val="20"/>
        </w:rPr>
        <w:t>3. Long-Term Debt</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On May 9, 2018, the Company entered into a credit facility with U.S. Bank National Association (the “2018 Credit Facility”). The 2018 Credit Facility consisted of a term loan facility in an aggregate principal amount of $25.0 million and a revolving credit</w:t>
      </w:r>
      <w:r>
        <w:rPr>
          <w:rFonts w:eastAsia="Times New Roman"/>
          <w:color w:val="000000"/>
          <w:sz w:val="20"/>
          <w:szCs w:val="20"/>
        </w:rPr>
        <w:t xml:space="preserve"> facility of $65.0 million, which included a letter of credit subfacility in the amount of $15.0 million and a swingline subfacility in the amount of $10.0 million. </w:t>
      </w:r>
    </w:p>
    <w:p w:rsidR="00000000" w:rsidRDefault="00D65F33">
      <w:pPr>
        <w:jc w:val="both"/>
        <w:divId w:val="536503852"/>
        <w:rPr>
          <w:rFonts w:eastAsia="Times New Roman"/>
        </w:rPr>
      </w:pPr>
      <w:r>
        <w:rPr>
          <w:rFonts w:eastAsia="Times New Roman"/>
          <w:color w:val="000000"/>
          <w:sz w:val="20"/>
          <w:szCs w:val="20"/>
        </w:rPr>
        <w:t>On November 20, 2019, the Company amended its 2018 Credit Facility by entering into the Fi</w:t>
      </w:r>
      <w:r>
        <w:rPr>
          <w:rFonts w:eastAsia="Times New Roman"/>
          <w:color w:val="000000"/>
          <w:sz w:val="20"/>
          <w:szCs w:val="20"/>
        </w:rPr>
        <w:t>rst Amendment to the Credit Agreement (the “Amendment” and the 2018 Credit Facility, as amended, the “First Amended Credit Facility”). Among other things, the Amendment: (i) extended the maturity date to November 20, 2024; (ii) increased the revolving cred</w:t>
      </w:r>
      <w:r>
        <w:rPr>
          <w:rFonts w:eastAsia="Times New Roman"/>
          <w:color w:val="000000"/>
          <w:sz w:val="20"/>
          <w:szCs w:val="20"/>
        </w:rPr>
        <w:t xml:space="preserve">it facility from $65.0 million to $75.0 million; (iii) delayed step downs of the Company’s leverage covenant; and (iv) increased the limit on capital expenditures to $37.0 million in 2020 and to $45.0 million in 2021 and each fiscal year thereafter. </w:t>
      </w:r>
    </w:p>
    <w:p w:rsidR="00000000" w:rsidRDefault="00D65F33">
      <w:pPr>
        <w:jc w:val="both"/>
        <w:divId w:val="1469470831"/>
        <w:rPr>
          <w:rFonts w:eastAsia="Times New Roman"/>
        </w:rPr>
      </w:pPr>
      <w:r>
        <w:rPr>
          <w:rFonts w:eastAsia="Times New Roman"/>
          <w:color w:val="000000"/>
          <w:sz w:val="20"/>
          <w:szCs w:val="20"/>
        </w:rPr>
        <w:t>Borro</w:t>
      </w:r>
      <w:r>
        <w:rPr>
          <w:rFonts w:eastAsia="Times New Roman"/>
          <w:color w:val="000000"/>
          <w:sz w:val="20"/>
          <w:szCs w:val="20"/>
        </w:rPr>
        <w:t>wings under the First Amended Credit Facility, including the term loan facility, bear interest annually, at the Company’s option, at either (i) LIBOR plus a margin of 2.00% to 2.75% per annum, based upon the consolidated total lease-adjusted leverage ratio</w:t>
      </w:r>
      <w:r>
        <w:rPr>
          <w:rFonts w:eastAsia="Times New Roman"/>
          <w:color w:val="000000"/>
          <w:sz w:val="20"/>
          <w:szCs w:val="20"/>
        </w:rPr>
        <w:t xml:space="preserve"> or (ii) the highest of the following base rates plus a margin of 1.00% to 1.75% per annum: (a) the federal funds rate plus 0.50%; (b) the U.S. Bank prime rate or (c) the one-month LIBOR plus 1.00%. The Amendment includes a commitment fee of 0.20% to 0.35%</w:t>
      </w:r>
      <w:r>
        <w:rPr>
          <w:rFonts w:eastAsia="Times New Roman"/>
          <w:color w:val="000000"/>
          <w:sz w:val="20"/>
          <w:szCs w:val="20"/>
        </w:rPr>
        <w:t xml:space="preserve"> per annum, based upon the consolidated total lease-adjusted leverage ratio, on any unused portion of the revolving credit facility.</w:t>
      </w:r>
    </w:p>
    <w:p w:rsidR="00000000" w:rsidRDefault="00D65F33">
      <w:pPr>
        <w:jc w:val="both"/>
        <w:rPr>
          <w:rFonts w:eastAsia="Times New Roman"/>
        </w:rPr>
      </w:pPr>
      <w:r>
        <w:rPr>
          <w:rFonts w:eastAsia="Times New Roman"/>
          <w:color w:val="000000"/>
          <w:sz w:val="20"/>
          <w:szCs w:val="20"/>
        </w:rPr>
        <w:t xml:space="preserve">On June 16, 2020 (the “Effective Date”), the Company amended its First Amended Credit Facility by entering into the Second </w:t>
      </w:r>
      <w:r>
        <w:rPr>
          <w:rFonts w:eastAsia="Times New Roman"/>
          <w:color w:val="000000"/>
          <w:sz w:val="20"/>
          <w:szCs w:val="20"/>
        </w:rPr>
        <w:t>Amendment to the Credit Agreement (the “Second Amendment” and the First Amended Credit Facility, as amended, or the “Second Amended Credit Facility”). Beginning on the Effective Date and through the third quarter of 2021 (the “Amendment Period”), borrowing</w:t>
      </w:r>
      <w:r>
        <w:rPr>
          <w:rFonts w:eastAsia="Times New Roman"/>
          <w:color w:val="000000"/>
          <w:sz w:val="20"/>
          <w:szCs w:val="20"/>
        </w:rPr>
        <w:t>s under the Second Amended Credit Facility, including the term loan facility, bore interest at LIBOR plus 3.25% per annum. Following the Amendment Period, borrowings bore interest at LIBOR plus a margin of 2.00% to 3.00% per annum, based upon the consolida</w:t>
      </w:r>
      <w:r>
        <w:rPr>
          <w:rFonts w:eastAsia="Times New Roman"/>
          <w:color w:val="000000"/>
          <w:sz w:val="20"/>
          <w:szCs w:val="20"/>
        </w:rPr>
        <w:t>ted total lease-adjusted leverage ratio. Through the end of the first quarter of 2022, the Company continued to use LIBOR. Among other things, the Second Amendment (i) waives the lease-adjusted leverage ratio and fixed charge ratio covenants through the fi</w:t>
      </w:r>
      <w:r>
        <w:rPr>
          <w:rFonts w:eastAsia="Times New Roman"/>
          <w:color w:val="000000"/>
          <w:sz w:val="20"/>
          <w:szCs w:val="20"/>
        </w:rPr>
        <w:t>rst quarter of 2021; (ii) amends the Company’s lease-adjusted leverage ratio and fixed coverage ratio covenant thresholds beginning in the second quarter of 2021 through the third quarter of 2022 and the first quarter of 2022, respectively; and (iii) limit</w:t>
      </w:r>
      <w:r>
        <w:rPr>
          <w:rFonts w:eastAsia="Times New Roman"/>
          <w:color w:val="000000"/>
          <w:sz w:val="20"/>
          <w:szCs w:val="20"/>
        </w:rPr>
        <w:t xml:space="preserve">s capital expenditures to $12.0 million in 2020, $12.0 million plus a liquidity-based performance basket up to an additional $12.0 million in 2021, $34.0 million in 2022, $37.0 million in 2023 and $45.0 million annually thereafter. </w:t>
      </w:r>
    </w:p>
    <w:p w:rsidR="00000000" w:rsidRDefault="00D65F33">
      <w:pPr>
        <w:jc w:val="both"/>
        <w:divId w:val="1311907694"/>
        <w:rPr>
          <w:rFonts w:eastAsia="Times New Roman"/>
        </w:rPr>
      </w:pPr>
      <w:r>
        <w:rPr>
          <w:rFonts w:eastAsia="Times New Roman"/>
          <w:color w:val="000000"/>
          <w:sz w:val="20"/>
          <w:szCs w:val="20"/>
        </w:rPr>
        <w:t>As of March 29, 2022, t</w:t>
      </w:r>
      <w:r>
        <w:rPr>
          <w:rFonts w:eastAsia="Times New Roman"/>
          <w:color w:val="000000"/>
          <w:sz w:val="20"/>
          <w:szCs w:val="20"/>
        </w:rPr>
        <w:t xml:space="preserve">he Company had $35.3 million of indebtedness (excluding $1.2 million of unamortized debt issuance costs) </w:t>
      </w:r>
      <w:r>
        <w:rPr>
          <w:rFonts w:eastAsia="Times New Roman"/>
          <w:color w:val="000000"/>
          <w:sz w:val="20"/>
          <w:szCs w:val="20"/>
          <w:shd w:val="clear" w:color="auto" w:fill="FFFFFF"/>
        </w:rPr>
        <w:t>and $3.2 million of l</w:t>
      </w:r>
      <w:r>
        <w:rPr>
          <w:rFonts w:eastAsia="Times New Roman"/>
          <w:color w:val="000000"/>
          <w:sz w:val="20"/>
          <w:szCs w:val="20"/>
        </w:rPr>
        <w:t xml:space="preserve">etters of credit outstanding under the Second Amended Credit Facility. As of March 29, 2022, the Company had cash on hand of $1.6 </w:t>
      </w:r>
      <w:r>
        <w:rPr>
          <w:rFonts w:eastAsia="Times New Roman"/>
          <w:color w:val="000000"/>
          <w:sz w:val="20"/>
          <w:szCs w:val="20"/>
        </w:rPr>
        <w:t xml:space="preserve">million. </w:t>
      </w:r>
    </w:p>
    <w:p w:rsidR="00000000" w:rsidRDefault="00D65F33">
      <w:pPr>
        <w:jc w:val="both"/>
        <w:divId w:val="1651254156"/>
        <w:rPr>
          <w:rFonts w:eastAsia="Times New Roman"/>
        </w:rPr>
      </w:pPr>
      <w:r>
        <w:rPr>
          <w:rFonts w:eastAsia="Times New Roman"/>
          <w:color w:val="000000"/>
          <w:sz w:val="20"/>
          <w:szCs w:val="20"/>
        </w:rPr>
        <w:t>The term loan requires principal payments of $375,000 per quarter through the third quarter of 2022, $531,250 per quarter through the third quarter of 2023 and $625,000 per quarter thereafter through maturity.</w:t>
      </w:r>
    </w:p>
    <w:p w:rsidR="00000000" w:rsidRDefault="00D65F33">
      <w:pPr>
        <w:jc w:val="center"/>
        <w:divId w:val="1418208003"/>
        <w:rPr>
          <w:rFonts w:eastAsia="Times New Roman"/>
        </w:rPr>
      </w:pPr>
      <w:r>
        <w:rPr>
          <w:rFonts w:eastAsia="Times New Roman"/>
          <w:color w:val="000000"/>
          <w:sz w:val="20"/>
          <w:szCs w:val="20"/>
        </w:rPr>
        <w:t>8</w:t>
      </w:r>
    </w:p>
    <w:p w:rsidR="00000000" w:rsidRDefault="00D65F33">
      <w:pPr>
        <w:rPr>
          <w:rFonts w:eastAsia="Times New Roman"/>
        </w:rPr>
      </w:pPr>
      <w:r>
        <w:rPr>
          <w:rFonts w:eastAsia="Times New Roman"/>
        </w:rPr>
        <w:pict>
          <v:rect id="_x0000_i1033" style="width:0;height:1.5pt" o:hralign="center" o:hrstd="t" o:hr="t" fillcolor="#a0a0a0" stroked="f"/>
        </w:pict>
      </w:r>
    </w:p>
    <w:p w:rsidR="00000000" w:rsidRDefault="00D65F33">
      <w:pPr>
        <w:divId w:val="546337172"/>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Aggregate maturities for debt outstanding as of March 29, 2022 are as follows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52"/>
        <w:gridCol w:w="6666"/>
        <w:gridCol w:w="36"/>
        <w:gridCol w:w="120"/>
        <w:gridCol w:w="1383"/>
        <w:gridCol w:w="36"/>
      </w:tblGrid>
      <w:tr w:rsidR="00000000">
        <w:trPr>
          <w:jc w:val="center"/>
        </w:trPr>
        <w:tc>
          <w:tcPr>
            <w:tcW w:w="50" w:type="pct"/>
            <w:vAlign w:val="center"/>
            <w:hideMark/>
          </w:tcPr>
          <w:p w:rsidR="00000000" w:rsidRDefault="00D65F33">
            <w:pPr>
              <w:jc w:val="both"/>
              <w:rPr>
                <w:rFonts w:eastAsia="Times New Roman"/>
              </w:rPr>
            </w:pPr>
          </w:p>
        </w:tc>
        <w:tc>
          <w:tcPr>
            <w:tcW w:w="4037"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52"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Year 1</w:t>
            </w: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1,813 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Year 2</w:t>
            </w: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2,313 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Year 3</w:t>
            </w: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31,169 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74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35,295 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bl>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Company’s outstanding indebtedness bore interest at rates betw</w:t>
      </w:r>
      <w:r>
        <w:rPr>
          <w:rFonts w:eastAsia="Times New Roman"/>
          <w:color w:val="000000"/>
          <w:sz w:val="20"/>
          <w:szCs w:val="20"/>
          <w:shd w:val="clear" w:color="auto" w:fill="FFFFFF"/>
        </w:rPr>
        <w:t>een 2.35% to 4.75% duri</w:t>
      </w:r>
      <w:r>
        <w:rPr>
          <w:rFonts w:eastAsia="Times New Roman"/>
          <w:color w:val="000000"/>
          <w:sz w:val="20"/>
          <w:szCs w:val="20"/>
        </w:rPr>
        <w:t xml:space="preserve">ng the first quarter of 2022. </w:t>
      </w:r>
    </w:p>
    <w:p w:rsidR="00000000" w:rsidRDefault="00D65F33">
      <w:pPr>
        <w:jc w:val="both"/>
        <w:rPr>
          <w:rFonts w:eastAsia="Times New Roman"/>
        </w:rPr>
      </w:pPr>
    </w:p>
    <w:p w:rsidR="00000000" w:rsidRDefault="00D65F33">
      <w:pPr>
        <w:jc w:val="both"/>
        <w:divId w:val="551699779"/>
        <w:rPr>
          <w:rFonts w:eastAsia="Times New Roman"/>
        </w:rPr>
      </w:pPr>
      <w:r>
        <w:rPr>
          <w:rFonts w:eastAsia="Times New Roman"/>
          <w:color w:val="000000"/>
          <w:sz w:val="20"/>
          <w:szCs w:val="20"/>
        </w:rPr>
        <w:t xml:space="preserve">The Company also maintains outstanding letters of credit to secure obligations under its workers’ compensation program and certain lease obligations. The Company was in compliance with all of its debt covenants as of March 29, 2022. </w:t>
      </w:r>
    </w:p>
    <w:p w:rsidR="00000000" w:rsidRDefault="00D65F33">
      <w:pPr>
        <w:jc w:val="both"/>
        <w:divId w:val="1012032003"/>
        <w:rPr>
          <w:rFonts w:eastAsia="Times New Roman"/>
        </w:rPr>
      </w:pPr>
      <w:r>
        <w:rPr>
          <w:rFonts w:eastAsia="Times New Roman"/>
          <w:b/>
          <w:bCs/>
          <w:color w:val="000000"/>
          <w:sz w:val="20"/>
          <w:szCs w:val="20"/>
        </w:rPr>
        <w:t>4. Fair Value Measurem</w:t>
      </w:r>
      <w:r>
        <w:rPr>
          <w:rFonts w:eastAsia="Times New Roman"/>
          <w:b/>
          <w:bCs/>
          <w:color w:val="000000"/>
          <w:sz w:val="20"/>
          <w:szCs w:val="20"/>
        </w:rPr>
        <w:t>ents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carrying amounts of cash and cash equivalents, accounts receivable, accounts payable and all other current liabilities approximate their fair values due to their short-term nature. The carrying amounts of borrowings approximate fair value as the line o</w:t>
      </w:r>
      <w:r>
        <w:rPr>
          <w:rFonts w:eastAsia="Times New Roman"/>
          <w:color w:val="000000"/>
          <w:sz w:val="20"/>
          <w:szCs w:val="20"/>
        </w:rPr>
        <w:t xml:space="preserve">f credit and term borrowings vary with market interest rates and negotiated terms and conditions are consistent with current market rates. The fair value of the Company’s line of credit and term borrowings are measured using Level 2 inputs.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Assets and L</w:t>
      </w:r>
      <w:r>
        <w:rPr>
          <w:rFonts w:eastAsia="Times New Roman"/>
          <w:b/>
          <w:bCs/>
          <w:i/>
          <w:iCs/>
          <w:color w:val="000000"/>
          <w:sz w:val="20"/>
          <w:szCs w:val="20"/>
        </w:rPr>
        <w:t>iabilities Measured at Fair Value on a Nonrecurring Basis</w:t>
      </w:r>
      <w:r>
        <w:rPr>
          <w:rFonts w:eastAsia="Times New Roman"/>
          <w:color w:val="000000"/>
          <w:sz w:val="20"/>
          <w:szCs w:val="20"/>
        </w:rPr>
        <w:t xml:space="preserve">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Assets recognized or disclosed at fair value in the condensed consolidated financial statements on a non-recurring basis include items such as leasehold improvements, property and equipment, oper</w:t>
      </w:r>
      <w:r>
        <w:rPr>
          <w:rFonts w:eastAsia="Times New Roman"/>
          <w:color w:val="000000"/>
          <w:sz w:val="20"/>
          <w:szCs w:val="20"/>
        </w:rPr>
        <w:t xml:space="preserve">ating lease assets, goodwill and other intangible assets. These assets are measured at fair value if determined to be impaired or when acquired.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Adjustments to the fair value of assets measured at fair value on a non-recurring basis as of March 29, 2022</w:t>
      </w:r>
      <w:r>
        <w:rPr>
          <w:rFonts w:eastAsia="Times New Roman"/>
          <w:color w:val="000000"/>
          <w:sz w:val="20"/>
          <w:szCs w:val="20"/>
        </w:rPr>
        <w:t xml:space="preserve"> and March 30, 2021 are discussed in Note 7, Restaurant Impairments, Closure Costs and Asset Disposals. </w:t>
      </w: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rPr>
        <w:t>5. Income Taxes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following table presents the Company’s provision for income taxes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24"/>
        <w:gridCol w:w="37"/>
        <w:gridCol w:w="36"/>
        <w:gridCol w:w="36"/>
        <w:gridCol w:w="36"/>
        <w:gridCol w:w="120"/>
        <w:gridCol w:w="743"/>
        <w:gridCol w:w="187"/>
        <w:gridCol w:w="36"/>
        <w:gridCol w:w="36"/>
        <w:gridCol w:w="36"/>
        <w:gridCol w:w="120"/>
        <w:gridCol w:w="746"/>
        <w:gridCol w:w="187"/>
        <w:gridCol w:w="36"/>
        <w:gridCol w:w="36"/>
        <w:gridCol w:w="36"/>
        <w:gridCol w:w="36"/>
        <w:gridCol w:w="36"/>
        <w:gridCol w:w="36"/>
        <w:gridCol w:w="36"/>
        <w:gridCol w:w="36"/>
      </w:tblGrid>
      <w:tr w:rsidR="00000000">
        <w:trPr>
          <w:jc w:val="center"/>
        </w:trPr>
        <w:tc>
          <w:tcPr>
            <w:tcW w:w="50" w:type="pct"/>
            <w:vAlign w:val="center"/>
            <w:hideMark/>
          </w:tcPr>
          <w:p w:rsidR="00000000" w:rsidRDefault="00D65F33">
            <w:pPr>
              <w:jc w:val="both"/>
              <w:rPr>
                <w:rFonts w:eastAsia="Times New Roman"/>
              </w:rPr>
            </w:pPr>
          </w:p>
        </w:tc>
        <w:tc>
          <w:tcPr>
            <w:tcW w:w="359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0"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Benefit from income taxes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Effective tax rate</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vAlign w:val="center"/>
            <w:hideMark/>
          </w:tcPr>
          <w:p w:rsidR="00000000" w:rsidRDefault="00D65F33">
            <w:pPr>
              <w:spacing w:after="100"/>
              <w:jc w:val="right"/>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bl>
    <w:p w:rsidR="00000000" w:rsidRDefault="00D65F33">
      <w:pPr>
        <w:ind w:firstLine="360"/>
        <w:jc w:val="both"/>
        <w:rPr>
          <w:rFonts w:eastAsia="Times New Roman"/>
        </w:rPr>
      </w:pPr>
    </w:p>
    <w:p w:rsidR="00000000" w:rsidRDefault="00D65F33">
      <w:pPr>
        <w:jc w:val="both"/>
        <w:rPr>
          <w:rFonts w:eastAsia="Times New Roman"/>
        </w:rPr>
      </w:pPr>
      <w:r>
        <w:rPr>
          <w:rFonts w:eastAsia="Times New Roman"/>
          <w:color w:val="000000"/>
          <w:sz w:val="20"/>
          <w:szCs w:val="20"/>
        </w:rPr>
        <w:t>The effective tax rate</w:t>
      </w:r>
      <w:r>
        <w:rPr>
          <w:rFonts w:eastAsia="Times New Roman"/>
          <w:color w:val="000000"/>
          <w:sz w:val="20"/>
          <w:szCs w:val="20"/>
          <w:shd w:val="clear" w:color="auto" w:fill="FFFFFF"/>
        </w:rPr>
        <w:t xml:space="preserve"> for the first quarter of 2022 and the first quarter of 2021 ref</w:t>
      </w:r>
      <w:r>
        <w:rPr>
          <w:rFonts w:eastAsia="Times New Roman"/>
          <w:color w:val="000000"/>
          <w:sz w:val="20"/>
          <w:szCs w:val="20"/>
        </w:rPr>
        <w:t xml:space="preserve">lects the impact of the previously recorded valuation allowance. For the remainder of fiscal 2022, the Company does not anticipate material income tax expense or benefit </w:t>
      </w:r>
      <w:r>
        <w:rPr>
          <w:rFonts w:eastAsia="Times New Roman"/>
          <w:color w:val="000000"/>
          <w:sz w:val="20"/>
          <w:szCs w:val="20"/>
        </w:rPr>
        <w:t>as a result of the valuation allowance recorded. The Company will maintain the valuation allowance against deferred tax assets until there is sufficient evidence to support a full or partial reversal. The reversal of a previously recorded valuation allowan</w:t>
      </w:r>
      <w:r>
        <w:rPr>
          <w:rFonts w:eastAsia="Times New Roman"/>
          <w:color w:val="000000"/>
          <w:sz w:val="20"/>
          <w:szCs w:val="20"/>
        </w:rPr>
        <w:t>ce will generally result in a benefit from income tax.</w:t>
      </w:r>
    </w:p>
    <w:p w:rsidR="00000000" w:rsidRDefault="00D65F33">
      <w:pPr>
        <w:jc w:val="both"/>
        <w:rPr>
          <w:rFonts w:eastAsia="Times New Roman"/>
        </w:rPr>
      </w:pP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rPr>
        <w:t>6. Stock-Based Compensation</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Company’s Stock Incentive Plan (the “Plan”</w:t>
      </w:r>
      <w:r>
        <w:rPr>
          <w:rFonts w:eastAsia="Times New Roman"/>
          <w:color w:val="000000"/>
          <w:sz w:val="20"/>
          <w:szCs w:val="20"/>
        </w:rPr>
        <w:t>), as amended and restated in May of 2013, authorizes the grant of non-qualified stock options, incentive stock options, stock appreciation rights, restricted stock, restricted stock units (“RSUs”), performance share units and incentive bonuses to employee</w:t>
      </w:r>
      <w:r>
        <w:rPr>
          <w:rFonts w:eastAsia="Times New Roman"/>
          <w:color w:val="000000"/>
          <w:sz w:val="20"/>
          <w:szCs w:val="20"/>
        </w:rPr>
        <w:t>s, officers, non-employee directors and other service providers. As of March 29, 2022, approximate</w:t>
      </w:r>
      <w:r>
        <w:rPr>
          <w:rFonts w:eastAsia="Times New Roman"/>
          <w:color w:val="000000"/>
          <w:sz w:val="20"/>
          <w:szCs w:val="20"/>
          <w:shd w:val="clear" w:color="auto" w:fill="FFFFFF"/>
        </w:rPr>
        <w:t>ly 2.5 million share-based awards were available to be granted under the Plan.</w:t>
      </w:r>
    </w:p>
    <w:p w:rsidR="00000000" w:rsidRDefault="00D65F33">
      <w:pPr>
        <w:divId w:val="1055549938"/>
        <w:rPr>
          <w:rFonts w:eastAsia="Times New Roman"/>
        </w:rPr>
      </w:pPr>
    </w:p>
    <w:p w:rsidR="00000000" w:rsidRDefault="00D65F33">
      <w:pPr>
        <w:jc w:val="center"/>
        <w:divId w:val="45493646"/>
        <w:rPr>
          <w:rFonts w:eastAsia="Times New Roman"/>
        </w:rPr>
      </w:pPr>
      <w:r>
        <w:rPr>
          <w:rFonts w:eastAsia="Times New Roman"/>
          <w:color w:val="000000"/>
          <w:sz w:val="20"/>
          <w:szCs w:val="20"/>
        </w:rPr>
        <w:t>9</w:t>
      </w:r>
    </w:p>
    <w:p w:rsidR="00000000" w:rsidRDefault="00D65F33">
      <w:pPr>
        <w:rPr>
          <w:rFonts w:eastAsia="Times New Roman"/>
        </w:rPr>
      </w:pPr>
      <w:r>
        <w:rPr>
          <w:rFonts w:eastAsia="Times New Roman"/>
        </w:rPr>
        <w:pict>
          <v:rect id="_x0000_i1034" style="width:0;height:1.5pt" o:hralign="center" o:hrstd="t" o:hr="t" fillcolor="#a0a0a0" stroked="f"/>
        </w:pict>
      </w:r>
    </w:p>
    <w:p w:rsidR="00000000" w:rsidRDefault="00D65F33">
      <w:pPr>
        <w:divId w:val="1568345716"/>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divId w:val="670789510"/>
        <w:rPr>
          <w:rFonts w:eastAsia="Times New Roman"/>
        </w:rPr>
      </w:pPr>
      <w:r>
        <w:rPr>
          <w:rFonts w:eastAsia="Times New Roman"/>
          <w:color w:val="000000"/>
          <w:sz w:val="20"/>
          <w:szCs w:val="20"/>
        </w:rPr>
        <w:t xml:space="preserve">The following table shows total stock-based compensation expense (in thousands): </w:t>
      </w: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5727"/>
        <w:gridCol w:w="36"/>
        <w:gridCol w:w="120"/>
        <w:gridCol w:w="888"/>
        <w:gridCol w:w="36"/>
        <w:gridCol w:w="36"/>
        <w:gridCol w:w="36"/>
        <w:gridCol w:w="36"/>
        <w:gridCol w:w="120"/>
        <w:gridCol w:w="849"/>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65F33">
            <w:pPr>
              <w:rPr>
                <w:rFonts w:eastAsia="Times New Roman"/>
              </w:rPr>
            </w:pPr>
          </w:p>
        </w:tc>
        <w:tc>
          <w:tcPr>
            <w:tcW w:w="36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xml:space="preserve">Stock-based compensation expense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Capitalized stock-based compensation expense</w:t>
            </w:r>
          </w:p>
        </w:tc>
        <w:tc>
          <w:tcPr>
            <w:tcW w:w="0" w:type="auto"/>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20 </w:t>
            </w:r>
          </w:p>
        </w:tc>
        <w:tc>
          <w:tcPr>
            <w:tcW w:w="0" w:type="auto"/>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bl>
    <w:p w:rsidR="00000000" w:rsidRDefault="00D65F33">
      <w:pPr>
        <w:divId w:val="1273783389"/>
        <w:rPr>
          <w:rFonts w:eastAsia="Times New Roman"/>
        </w:rPr>
      </w:pP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rPr>
        <w:t xml:space="preserve">7. </w:t>
      </w:r>
      <w:r>
        <w:rPr>
          <w:rFonts w:eastAsia="Times New Roman"/>
          <w:b/>
          <w:bCs/>
          <w:color w:val="000000"/>
          <w:sz w:val="20"/>
          <w:szCs w:val="20"/>
        </w:rPr>
        <w:t>Restaurant Impairments, Closure Costs and Asset Disposals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following table presents restaurant impairments, closure costs and asset disposals (in thousands):</w:t>
      </w: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5727"/>
        <w:gridCol w:w="36"/>
        <w:gridCol w:w="120"/>
        <w:gridCol w:w="888"/>
        <w:gridCol w:w="36"/>
        <w:gridCol w:w="36"/>
        <w:gridCol w:w="36"/>
        <w:gridCol w:w="36"/>
        <w:gridCol w:w="120"/>
        <w:gridCol w:w="849"/>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65F33">
            <w:pPr>
              <w:jc w:val="both"/>
              <w:rPr>
                <w:rFonts w:eastAsia="Times New Roman"/>
              </w:rPr>
            </w:pPr>
          </w:p>
        </w:tc>
        <w:tc>
          <w:tcPr>
            <w:tcW w:w="36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divId w:val="1540242267"/>
              <w:rPr>
                <w:rFonts w:eastAsia="Times New Roman"/>
              </w:rPr>
            </w:pPr>
            <w:r>
              <w:rPr>
                <w:rFonts w:eastAsia="Times New Roman"/>
                <w:color w:val="000000"/>
                <w:sz w:val="20"/>
                <w:szCs w:val="20"/>
              </w:rPr>
              <w:t>Restaurant impairments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divId w:val="412245109"/>
              <w:rPr>
                <w:rFonts w:eastAsia="Times New Roman"/>
              </w:rPr>
            </w:pPr>
            <w:r>
              <w:rPr>
                <w:rFonts w:eastAsia="Times New Roman"/>
                <w:color w:val="000000"/>
                <w:sz w:val="20"/>
                <w:szCs w:val="20"/>
              </w:rPr>
              <w:t>Closure costs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305 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Loss on disposal of assets and other</w:t>
            </w: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894 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424 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1,389 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1,231 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bl>
    <w:p w:rsidR="00000000" w:rsidRDefault="00D65F33">
      <w:pPr>
        <w:ind w:hanging="450"/>
        <w:divId w:val="1668510807"/>
        <w:rPr>
          <w:rFonts w:eastAsia="Times New Roman"/>
        </w:rPr>
      </w:pPr>
      <w:r>
        <w:rPr>
          <w:rFonts w:eastAsia="Times New Roman"/>
          <w:color w:val="000000"/>
          <w:sz w:val="16"/>
          <w:szCs w:val="16"/>
        </w:rPr>
        <w:t>_____________________________</w:t>
      </w:r>
    </w:p>
    <w:p w:rsidR="00000000" w:rsidRDefault="00D65F33">
      <w:pPr>
        <w:ind w:hanging="720"/>
        <w:jc w:val="both"/>
        <w:rPr>
          <w:rFonts w:eastAsia="Times New Roman"/>
        </w:rPr>
      </w:pPr>
      <w:r>
        <w:rPr>
          <w:rFonts w:eastAsia="Times New Roman"/>
          <w:color w:val="000000"/>
          <w:sz w:val="16"/>
          <w:szCs w:val="16"/>
        </w:rPr>
        <w:t>(1)</w:t>
      </w:r>
      <w:r>
        <w:rPr>
          <w:rFonts w:eastAsia="Times New Roman"/>
          <w:color w:val="000000"/>
          <w:sz w:val="16"/>
          <w:szCs w:val="16"/>
        </w:rPr>
        <w:t xml:space="preserve">Restaurant impairments and closure costs in all periods presented above include amounts related to restaurants previously impaired or closed.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Company</w:t>
      </w:r>
      <w:r>
        <w:rPr>
          <w:rFonts w:eastAsia="Times New Roman"/>
          <w:color w:val="000000"/>
          <w:sz w:val="20"/>
          <w:szCs w:val="20"/>
          <w:shd w:val="clear" w:color="auto" w:fill="FFFFFF"/>
        </w:rPr>
        <w:t xml:space="preserve"> did not impair any restaurants in t</w:t>
      </w:r>
      <w:r>
        <w:rPr>
          <w:rFonts w:eastAsia="Times New Roman"/>
          <w:color w:val="000000"/>
          <w:sz w:val="20"/>
          <w:szCs w:val="20"/>
        </w:rPr>
        <w:t xml:space="preserve">he first quarter of 2022 and had one </w:t>
      </w:r>
      <w:r>
        <w:rPr>
          <w:rFonts w:eastAsia="Times New Roman"/>
          <w:color w:val="000000"/>
          <w:sz w:val="20"/>
          <w:szCs w:val="20"/>
        </w:rPr>
        <w:t xml:space="preserve">restaurant impairment in the first quarter of 2021. </w:t>
      </w:r>
      <w:r>
        <w:rPr>
          <w:rFonts w:eastAsia="Times New Roman"/>
          <w:color w:val="000000"/>
          <w:sz w:val="20"/>
          <w:szCs w:val="20"/>
          <w:shd w:val="clear" w:color="auto" w:fill="FFFFFF"/>
        </w:rPr>
        <w:t>I</w:t>
      </w:r>
      <w:r>
        <w:rPr>
          <w:rFonts w:eastAsia="Times New Roman"/>
          <w:color w:val="000000"/>
          <w:sz w:val="20"/>
          <w:szCs w:val="20"/>
        </w:rPr>
        <w:t>mpairment is based on management’s current assessment of the expected future cash flows of a restaurant based on recent results and other specific market factors. Impairment expense is a Level 3 fair val</w:t>
      </w:r>
      <w:r>
        <w:rPr>
          <w:rFonts w:eastAsia="Times New Roman"/>
          <w:color w:val="000000"/>
          <w:sz w:val="20"/>
          <w:szCs w:val="20"/>
        </w:rPr>
        <w:t>ue measure and is determined by comparing the carrying value of restaurant assets to the estimated fair value of the restaurant assets at resale value and the right-of-use asset based on a discounted cash flow analysis utilizing market lease rates. The Com</w:t>
      </w:r>
      <w:r>
        <w:rPr>
          <w:rFonts w:eastAsia="Times New Roman"/>
          <w:color w:val="000000"/>
          <w:sz w:val="20"/>
          <w:szCs w:val="20"/>
        </w:rPr>
        <w:t>pany will continue to monitor the impact from the COVID-19 pandemic as it relates to recoverability of long-lived assets. Although the Company has seen an improvement in sales, the Company is unable to predict how long these conditions will persist, what a</w:t>
      </w:r>
      <w:r>
        <w:rPr>
          <w:rFonts w:eastAsia="Times New Roman"/>
          <w:color w:val="000000"/>
          <w:sz w:val="20"/>
          <w:szCs w:val="20"/>
        </w:rPr>
        <w:t>dditional measures may be introduced by governments or what effect any such additional measures may have on restaurants and our business. Any measure that encourages consumers to stay in their homes, engage in social distancing or avoid larger gatherings o</w:t>
      </w:r>
      <w:r>
        <w:rPr>
          <w:rFonts w:eastAsia="Times New Roman"/>
          <w:color w:val="000000"/>
          <w:sz w:val="20"/>
          <w:szCs w:val="20"/>
        </w:rPr>
        <w:t>f people for an extended period of time is and has been highly likely to continue to be harmful to the restaurant industry in general.</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shd w:val="clear" w:color="auto" w:fill="FFFFFF"/>
        </w:rPr>
        <w:t>Closure costs in the first quarter of 2022 include ongoing costs related to restaurants closed in previous years as wel</w:t>
      </w:r>
      <w:r>
        <w:rPr>
          <w:rFonts w:eastAsia="Times New Roman"/>
          <w:color w:val="000000"/>
          <w:sz w:val="20"/>
          <w:szCs w:val="20"/>
          <w:shd w:val="clear" w:color="auto" w:fill="FFFFFF"/>
        </w:rPr>
        <w:t>l as two company-owned restaurant closures during the first quarter of 2022. Closure costs in the first quarter of 2021 include ongoing costs related to restaurants closed in previous years, as well as six company-owned restaurant closures during the first</w:t>
      </w:r>
      <w:r>
        <w:rPr>
          <w:rFonts w:eastAsia="Times New Roman"/>
          <w:color w:val="000000"/>
          <w:sz w:val="20"/>
          <w:szCs w:val="20"/>
          <w:shd w:val="clear" w:color="auto" w:fill="FFFFFF"/>
        </w:rPr>
        <w:t xml:space="preserve"> quarter of 2021</w:t>
      </w:r>
      <w:r>
        <w:rPr>
          <w:rFonts w:eastAsia="Times New Roman"/>
          <w:color w:val="000000"/>
          <w:sz w:val="20"/>
          <w:szCs w:val="20"/>
        </w:rPr>
        <w:t xml:space="preserve">.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shd w:val="clear" w:color="auto" w:fill="FFFFFF"/>
        </w:rPr>
        <w:t xml:space="preserve">Loss on disposal of assets and other for the </w:t>
      </w:r>
      <w:r>
        <w:rPr>
          <w:rFonts w:eastAsia="Times New Roman"/>
          <w:color w:val="000000"/>
          <w:sz w:val="20"/>
          <w:szCs w:val="20"/>
        </w:rPr>
        <w:t>first quarter</w:t>
      </w:r>
      <w:r>
        <w:rPr>
          <w:rFonts w:eastAsia="Times New Roman"/>
          <w:color w:val="000000"/>
          <w:sz w:val="20"/>
          <w:szCs w:val="20"/>
          <w:shd w:val="clear" w:color="auto" w:fill="FFFFFF"/>
        </w:rPr>
        <w:t xml:space="preserve"> of 2022 includes expenses related to the divestiture of company-owned restaurants related to the Warner Sale. Both periods include disposals of assets in the normal course of b</w:t>
      </w:r>
      <w:r>
        <w:rPr>
          <w:rFonts w:eastAsia="Times New Roman"/>
          <w:color w:val="000000"/>
          <w:sz w:val="20"/>
          <w:szCs w:val="20"/>
          <w:shd w:val="clear" w:color="auto" w:fill="FFFFFF"/>
        </w:rPr>
        <w:t xml:space="preserve">usiness.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 xml:space="preserve">These expenses are included in the “Restaurant impairments, closure costs and asset disposals” line in the Condensed Consolidated Statements of Operations. </w:t>
      </w: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shd w:val="clear" w:color="auto" w:fill="FFFFFF"/>
        </w:rPr>
        <w:t>8. Earnings (Loss) Per Share</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 xml:space="preserve">Basic earnings (loss) per share (“EPS”) is calculated </w:t>
      </w:r>
      <w:r>
        <w:rPr>
          <w:rFonts w:eastAsia="Times New Roman"/>
          <w:color w:val="000000"/>
          <w:sz w:val="20"/>
          <w:szCs w:val="20"/>
        </w:rPr>
        <w:t>by dividing net income (loss) available to common stockholders by the weighted-average number of shares of common stock outstanding during each period. Diluted EPS is calculated using net income (loss) available to common stockholders divided by diluted we</w:t>
      </w:r>
      <w:r>
        <w:rPr>
          <w:rFonts w:eastAsia="Times New Roman"/>
          <w:color w:val="000000"/>
          <w:sz w:val="20"/>
          <w:szCs w:val="20"/>
        </w:rPr>
        <w:t xml:space="preserve">ighted-average shares of common stock outstanding during each period. Potentially dilutive securities include shares of common stock underlying stock options, warrants and RSUs. Diluted EPS considers the impact of potentially dilutive securities except in </w:t>
      </w:r>
      <w:r>
        <w:rPr>
          <w:rFonts w:eastAsia="Times New Roman"/>
          <w:color w:val="000000"/>
          <w:sz w:val="20"/>
          <w:szCs w:val="20"/>
        </w:rPr>
        <w:t xml:space="preserve">periods in which there is a loss because the inclusion of the potential common shares would have an anti-dilutive effect. </w:t>
      </w:r>
    </w:p>
    <w:p w:rsidR="00000000" w:rsidRDefault="00D65F33">
      <w:pPr>
        <w:jc w:val="center"/>
        <w:divId w:val="1495991416"/>
        <w:rPr>
          <w:rFonts w:eastAsia="Times New Roman"/>
        </w:rPr>
      </w:pPr>
      <w:r>
        <w:rPr>
          <w:rFonts w:eastAsia="Times New Roman"/>
          <w:color w:val="000000"/>
          <w:sz w:val="20"/>
          <w:szCs w:val="20"/>
        </w:rPr>
        <w:t>10</w:t>
      </w:r>
    </w:p>
    <w:p w:rsidR="00000000" w:rsidRDefault="00D65F33">
      <w:pPr>
        <w:rPr>
          <w:rFonts w:eastAsia="Times New Roman"/>
        </w:rPr>
      </w:pPr>
      <w:r>
        <w:rPr>
          <w:rFonts w:eastAsia="Times New Roman"/>
        </w:rPr>
        <w:pict>
          <v:rect id="_x0000_i1035" style="width:0;height:1.5pt" o:hralign="center" o:hrstd="t" o:hr="t" fillcolor="#a0a0a0" stroked="f"/>
        </w:pict>
      </w:r>
    </w:p>
    <w:p w:rsidR="00000000" w:rsidRDefault="00D65F33">
      <w:pPr>
        <w:divId w:val="2113931809"/>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following t</w:t>
      </w:r>
      <w:r>
        <w:rPr>
          <w:rFonts w:eastAsia="Times New Roman"/>
          <w:color w:val="000000"/>
          <w:sz w:val="20"/>
          <w:szCs w:val="20"/>
        </w:rPr>
        <w:t>able sets forth the computations of basic and diluted EPS (in thousands, except share and per share data):</w:t>
      </w:r>
    </w:p>
    <w:tbl>
      <w:tblPr>
        <w:tblW w:w="5000" w:type="pct"/>
        <w:tblCellMar>
          <w:top w:w="15" w:type="dxa"/>
          <w:left w:w="15" w:type="dxa"/>
          <w:bottom w:w="15" w:type="dxa"/>
          <w:right w:w="15" w:type="dxa"/>
        </w:tblCellMar>
        <w:tblLook w:val="04A0" w:firstRow="1" w:lastRow="0" w:firstColumn="1" w:lastColumn="0" w:noHBand="0" w:noVBand="1"/>
      </w:tblPr>
      <w:tblGrid>
        <w:gridCol w:w="39"/>
        <w:gridCol w:w="5626"/>
        <w:gridCol w:w="37"/>
        <w:gridCol w:w="36"/>
        <w:gridCol w:w="36"/>
        <w:gridCol w:w="36"/>
        <w:gridCol w:w="121"/>
        <w:gridCol w:w="893"/>
        <w:gridCol w:w="36"/>
        <w:gridCol w:w="36"/>
        <w:gridCol w:w="36"/>
        <w:gridCol w:w="36"/>
        <w:gridCol w:w="121"/>
        <w:gridCol w:w="893"/>
        <w:gridCol w:w="36"/>
        <w:gridCol w:w="36"/>
        <w:gridCol w:w="36"/>
        <w:gridCol w:w="36"/>
        <w:gridCol w:w="36"/>
        <w:gridCol w:w="36"/>
        <w:gridCol w:w="36"/>
        <w:gridCol w:w="36"/>
        <w:gridCol w:w="36"/>
      </w:tblGrid>
      <w:tr w:rsidR="00000000">
        <w:tc>
          <w:tcPr>
            <w:tcW w:w="50" w:type="pct"/>
            <w:vAlign w:val="center"/>
            <w:hideMark/>
          </w:tcPr>
          <w:p w:rsidR="00000000" w:rsidRDefault="00D65F33">
            <w:pPr>
              <w:jc w:val="both"/>
              <w:rPr>
                <w:rFonts w:eastAsia="Times New Roman"/>
              </w:rPr>
            </w:pPr>
          </w:p>
        </w:tc>
        <w:tc>
          <w:tcPr>
            <w:tcW w:w="359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0"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loss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(6,429)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Shares: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vAlign w:val="center"/>
            <w:hideMark/>
          </w:tcPr>
          <w:p w:rsidR="00000000" w:rsidRDefault="00D65F33">
            <w:pPr>
              <w:spacing w:after="100"/>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Basic 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45,726,500 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45,098,028 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Diluted weighted average shares outstanding</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45,726,500 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45,098,028 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Loss per share:</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vAlign w:val="center"/>
            <w:hideMark/>
          </w:tcPr>
          <w:p w:rsidR="00000000" w:rsidRDefault="00D65F33">
            <w:pPr>
              <w:spacing w:after="100"/>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Basic loss per share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(0.14)</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Diluted loss per share</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(0.14)</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(0.04)</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bl>
    <w:p w:rsidR="00000000" w:rsidRDefault="00D65F33">
      <w:pPr>
        <w:divId w:val="1047068680"/>
        <w:rPr>
          <w:rFonts w:eastAsia="Times New Roman"/>
        </w:rPr>
      </w:pPr>
    </w:p>
    <w:p w:rsidR="00000000" w:rsidRDefault="00D65F33">
      <w:pPr>
        <w:jc w:val="both"/>
        <w:rPr>
          <w:rFonts w:eastAsia="Times New Roman"/>
        </w:rPr>
      </w:pPr>
      <w:r>
        <w:rPr>
          <w:rFonts w:eastAsia="Times New Roman"/>
          <w:color w:val="000000"/>
          <w:sz w:val="20"/>
          <w:szCs w:val="20"/>
        </w:rPr>
        <w:t>The Company computes the effect of dilutive securities using the treasury stock method and average market prices during the period. Potential common shares are excluded from the computation of diluted earnings (loss) per share when the effect would be anti</w:t>
      </w:r>
      <w:r>
        <w:rPr>
          <w:rFonts w:eastAsia="Times New Roman"/>
          <w:color w:val="000000"/>
          <w:sz w:val="20"/>
          <w:szCs w:val="20"/>
        </w:rPr>
        <w:t>-dilutive. The shares issuable on the vesting or exercise of share-based awards or exercise of outstanding warrants that were excluded from the calculation of diluted earnings per share because the effect of their inclusion would have been anti-dilutive to</w:t>
      </w:r>
      <w:r>
        <w:rPr>
          <w:rFonts w:eastAsia="Times New Roman"/>
          <w:color w:val="000000"/>
          <w:sz w:val="20"/>
          <w:szCs w:val="20"/>
        </w:rPr>
        <w:t>taled 1,018,962 and 769,732 for the first quarters of 2022 and 2021, respectively.</w:t>
      </w: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rPr>
        <w:t>9. Leases</w:t>
      </w:r>
    </w:p>
    <w:p w:rsidR="00000000" w:rsidRDefault="00D65F33">
      <w:pPr>
        <w:jc w:val="both"/>
        <w:divId w:val="1250892182"/>
        <w:rPr>
          <w:rFonts w:eastAsia="Times New Roman"/>
        </w:rPr>
      </w:pPr>
      <w:r>
        <w:rPr>
          <w:rFonts w:eastAsia="Times New Roman"/>
          <w:color w:val="000000"/>
          <w:sz w:val="20"/>
          <w:szCs w:val="20"/>
        </w:rPr>
        <w:t>Supplemental balance sheet information related to leases is as follows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1744"/>
        <w:gridCol w:w="38"/>
        <w:gridCol w:w="40"/>
        <w:gridCol w:w="3784"/>
        <w:gridCol w:w="36"/>
        <w:gridCol w:w="36"/>
        <w:gridCol w:w="36"/>
        <w:gridCol w:w="36"/>
        <w:gridCol w:w="120"/>
        <w:gridCol w:w="1062"/>
        <w:gridCol w:w="36"/>
        <w:gridCol w:w="36"/>
        <w:gridCol w:w="36"/>
        <w:gridCol w:w="36"/>
        <w:gridCol w:w="120"/>
        <w:gridCol w:w="1027"/>
        <w:gridCol w:w="36"/>
      </w:tblGrid>
      <w:tr w:rsidR="00000000">
        <w:trPr>
          <w:jc w:val="center"/>
        </w:trPr>
        <w:tc>
          <w:tcPr>
            <w:tcW w:w="50" w:type="pct"/>
            <w:vAlign w:val="center"/>
            <w:hideMark/>
          </w:tcPr>
          <w:p w:rsidR="00000000" w:rsidRDefault="00D65F33">
            <w:pPr>
              <w:jc w:val="both"/>
              <w:rPr>
                <w:rFonts w:eastAsia="Times New Roman"/>
              </w:rPr>
            </w:pPr>
          </w:p>
        </w:tc>
        <w:tc>
          <w:tcPr>
            <w:tcW w:w="1080"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2303"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1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66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66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Classification</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December 28,</w:t>
            </w:r>
            <w:r>
              <w:rPr>
                <w:rFonts w:eastAsia="Times New Roman"/>
                <w:b/>
                <w:bCs/>
                <w:color w:val="000000"/>
                <w:sz w:val="16"/>
                <w:szCs w:val="16"/>
              </w:rPr>
              <w:br/>
              <w:t>2021</w:t>
            </w:r>
          </w:p>
        </w:tc>
      </w:tr>
      <w:tr w:rsidR="00000000">
        <w:trPr>
          <w:jc w:val="center"/>
        </w:trPr>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xml:space="preserve">Operating lease assets, net </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186,493 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188,440 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Property and equipmen</w:t>
            </w:r>
            <w:r>
              <w:rPr>
                <w:rFonts w:eastAsia="Times New Roman"/>
                <w:color w:val="000000"/>
                <w:sz w:val="20"/>
                <w:szCs w:val="20"/>
              </w:rPr>
              <w:t>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6,350 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6,394 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Total leased assets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192,843 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194,834 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Current lease liabilities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Operating</w:t>
            </w:r>
          </w:p>
        </w:tc>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Current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27,149 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26,617 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Finance</w:t>
            </w: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Accrued expenses and other current liabilitie</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2,029 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1,956 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Long-term lease liabilities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Operating</w:t>
            </w: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Long-term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196,922 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200,243 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Finance</w:t>
            </w:r>
          </w:p>
        </w:tc>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4,572 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4,654 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230,672 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233,470 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bl>
    <w:p w:rsidR="00000000" w:rsidRDefault="00D65F33">
      <w:pPr>
        <w:divId w:val="289166715"/>
        <w:rPr>
          <w:rFonts w:eastAsia="Times New Roman"/>
        </w:rPr>
      </w:pPr>
    </w:p>
    <w:p w:rsidR="00000000" w:rsidRDefault="00D65F33">
      <w:pPr>
        <w:jc w:val="both"/>
        <w:rPr>
          <w:rFonts w:eastAsia="Times New Roman"/>
        </w:rPr>
      </w:pPr>
      <w:r>
        <w:rPr>
          <w:rFonts w:eastAsia="Times New Roman"/>
          <w:color w:val="000000"/>
          <w:sz w:val="20"/>
          <w:szCs w:val="20"/>
        </w:rPr>
        <w:t>Sublease income recognized in the Condensed Consolidated Statements of Operations was $0.8 million and $0.5 million for the first quarter of 2022 and 2021, respectively.</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For certain of the Company’</w:t>
      </w:r>
      <w:r>
        <w:rPr>
          <w:rFonts w:eastAsia="Times New Roman"/>
          <w:color w:val="000000"/>
          <w:sz w:val="20"/>
          <w:szCs w:val="20"/>
        </w:rPr>
        <w:t>s restaurants, the COVID-19 pandemic has had an impact on the underlying asset values. In the first quarter of 2021, the Company recorded a right-of-use asset impairment charge for one restaurant to reduce the carrying value of operating lease assets to it</w:t>
      </w:r>
      <w:r>
        <w:rPr>
          <w:rFonts w:eastAsia="Times New Roman"/>
          <w:color w:val="000000"/>
          <w:sz w:val="20"/>
          <w:szCs w:val="20"/>
        </w:rPr>
        <w:t>s respective estimated fair value. In the first quarters of 2021, we recorded an impairment charge of $0.3 million on the right-of-use assets of one restaurant that was</w:t>
      </w:r>
      <w:r>
        <w:rPr>
          <w:rFonts w:eastAsia="Times New Roman"/>
          <w:color w:val="000000"/>
          <w:sz w:val="20"/>
          <w:szCs w:val="20"/>
          <w:shd w:val="clear" w:color="auto" w:fill="FFFFFF"/>
        </w:rPr>
        <w:t xml:space="preserve"> impaired in the first quarter of 2021. There was no impairment to the Company’s right-o</w:t>
      </w:r>
      <w:r>
        <w:rPr>
          <w:rFonts w:eastAsia="Times New Roman"/>
          <w:color w:val="000000"/>
          <w:sz w:val="20"/>
          <w:szCs w:val="20"/>
          <w:shd w:val="clear" w:color="auto" w:fill="FFFFFF"/>
        </w:rPr>
        <w:t>f-use assets during the first quarter of 2022.</w:t>
      </w:r>
    </w:p>
    <w:p w:rsidR="00000000" w:rsidRDefault="00D65F33">
      <w:pPr>
        <w:jc w:val="center"/>
        <w:rPr>
          <w:rFonts w:eastAsia="Times New Roman"/>
        </w:rPr>
      </w:pPr>
    </w:p>
    <w:p w:rsidR="00000000" w:rsidRDefault="00D65F33">
      <w:pPr>
        <w:jc w:val="center"/>
        <w:rPr>
          <w:rFonts w:eastAsia="Times New Roman"/>
        </w:rPr>
      </w:pPr>
    </w:p>
    <w:p w:rsidR="00000000" w:rsidRDefault="00D65F33">
      <w:pPr>
        <w:jc w:val="center"/>
        <w:divId w:val="1785877561"/>
        <w:rPr>
          <w:rFonts w:eastAsia="Times New Roman"/>
        </w:rPr>
      </w:pPr>
      <w:r>
        <w:rPr>
          <w:rFonts w:eastAsia="Times New Roman"/>
          <w:color w:val="000000"/>
          <w:sz w:val="20"/>
          <w:szCs w:val="20"/>
        </w:rPr>
        <w:t>11</w:t>
      </w:r>
    </w:p>
    <w:p w:rsidR="00000000" w:rsidRDefault="00D65F33">
      <w:pPr>
        <w:rPr>
          <w:rFonts w:eastAsia="Times New Roman"/>
        </w:rPr>
      </w:pPr>
      <w:r>
        <w:rPr>
          <w:rFonts w:eastAsia="Times New Roman"/>
        </w:rPr>
        <w:pict>
          <v:rect id="_x0000_i1036" style="width:0;height:1.5pt" o:hralign="center" o:hrstd="t" o:hr="t" fillcolor="#a0a0a0" stroked="f"/>
        </w:pict>
      </w:r>
    </w:p>
    <w:p w:rsidR="00000000" w:rsidRDefault="00D65F33">
      <w:pPr>
        <w:divId w:val="1170022840"/>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r>
        <w:rPr>
          <w:rFonts w:eastAsia="Times New Roman"/>
          <w:color w:val="000000"/>
          <w:sz w:val="20"/>
          <w:szCs w:val="20"/>
        </w:rPr>
        <w:t>Supplemental disclosures of cash flow information related to leases are as follows (in thousands):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725"/>
        <w:gridCol w:w="37"/>
        <w:gridCol w:w="36"/>
        <w:gridCol w:w="36"/>
        <w:gridCol w:w="36"/>
        <w:gridCol w:w="120"/>
        <w:gridCol w:w="844"/>
        <w:gridCol w:w="36"/>
        <w:gridCol w:w="36"/>
        <w:gridCol w:w="36"/>
        <w:gridCol w:w="36"/>
        <w:gridCol w:w="120"/>
        <w:gridCol w:w="84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65F33">
            <w:pPr>
              <w:jc w:val="both"/>
              <w:rPr>
                <w:rFonts w:eastAsia="Times New Roman"/>
              </w:rPr>
            </w:pPr>
          </w:p>
        </w:tc>
        <w:tc>
          <w:tcPr>
            <w:tcW w:w="359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0"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Cash paid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10,444 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11,666 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614 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525 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12,191 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Right-of-use assets obtained in exchange for lease liabilities: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3,832 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573 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722 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651 </w:t>
            </w:r>
          </w:p>
        </w:tc>
        <w:tc>
          <w:tcPr>
            <w:tcW w:w="0" w:type="auto"/>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jc w:val="center"/>
        </w:trPr>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4,554 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bl>
    <w:p w:rsidR="00000000" w:rsidRDefault="00D65F33">
      <w:pPr>
        <w:divId w:val="1832982785"/>
        <w:rPr>
          <w:rFonts w:eastAsia="Times New Roman"/>
        </w:rPr>
      </w:pPr>
    </w:p>
    <w:p w:rsidR="00000000" w:rsidRDefault="00D65F33">
      <w:pPr>
        <w:divId w:val="1447579182"/>
        <w:rPr>
          <w:rFonts w:eastAsia="Times New Roman"/>
        </w:rPr>
      </w:pPr>
    </w:p>
    <w:p w:rsidR="00000000" w:rsidRDefault="00D65F33">
      <w:pPr>
        <w:jc w:val="both"/>
        <w:rPr>
          <w:rFonts w:eastAsia="Times New Roman"/>
        </w:rPr>
      </w:pPr>
      <w:r>
        <w:rPr>
          <w:rFonts w:eastAsia="Times New Roman"/>
          <w:b/>
          <w:bCs/>
          <w:color w:val="000000"/>
          <w:sz w:val="20"/>
          <w:szCs w:val="20"/>
        </w:rPr>
        <w:t>10. Supplemental Disclosures to Condensed Consolidated Statements of Cash Flows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following table presents the supplemental disclosures to the Condensed Consolidated Statements of Cash Flows for the first quarter ended March 29, 2022 and March 30, 2021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37"/>
        <w:gridCol w:w="36"/>
        <w:gridCol w:w="36"/>
        <w:gridCol w:w="36"/>
        <w:gridCol w:w="36"/>
        <w:gridCol w:w="121"/>
        <w:gridCol w:w="881"/>
        <w:gridCol w:w="36"/>
        <w:gridCol w:w="36"/>
        <w:gridCol w:w="36"/>
        <w:gridCol w:w="36"/>
        <w:gridCol w:w="121"/>
        <w:gridCol w:w="884"/>
        <w:gridCol w:w="36"/>
      </w:tblGrid>
      <w:tr w:rsidR="00000000">
        <w:tc>
          <w:tcPr>
            <w:tcW w:w="50" w:type="pct"/>
            <w:vAlign w:val="center"/>
            <w:hideMark/>
          </w:tcPr>
          <w:p w:rsidR="00000000" w:rsidRDefault="00D65F33">
            <w:pPr>
              <w:jc w:val="both"/>
              <w:rPr>
                <w:rFonts w:eastAsia="Times New Roman"/>
              </w:rPr>
            </w:pPr>
          </w:p>
        </w:tc>
        <w:tc>
          <w:tcPr>
            <w:tcW w:w="359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0"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Interest paid (net of amounts capitalized)</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Income taxes paid (refunded)</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Purchases of property and equipment accrued in accounts payable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5,820 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2,398 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bl>
    <w:p w:rsidR="00000000" w:rsidRDefault="00D65F33">
      <w:pPr>
        <w:divId w:val="417141813"/>
        <w:rPr>
          <w:rFonts w:eastAsia="Times New Roman"/>
        </w:rPr>
      </w:pPr>
    </w:p>
    <w:p w:rsidR="00000000" w:rsidRDefault="00D65F33">
      <w:pPr>
        <w:jc w:val="both"/>
        <w:rPr>
          <w:rFonts w:eastAsia="Times New Roman"/>
        </w:rPr>
      </w:pPr>
      <w:r>
        <w:rPr>
          <w:rFonts w:eastAsia="Times New Roman"/>
          <w:b/>
          <w:bCs/>
          <w:color w:val="000000"/>
          <w:sz w:val="20"/>
          <w:szCs w:val="20"/>
        </w:rPr>
        <w:t>11. Revenue Recognition</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Revenue</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Revenue consists of sales from restaurant operations, franchise royalties and fees, and sublease income. Revenue from the operation of company-owned restaurants is recognized when sales occur. The Company reports revenue net of sales tax collected from cus</w:t>
      </w:r>
      <w:r>
        <w:rPr>
          <w:rFonts w:eastAsia="Times New Roman"/>
          <w:color w:val="000000"/>
          <w:sz w:val="20"/>
          <w:szCs w:val="20"/>
        </w:rPr>
        <w:t xml:space="preserve">tomers and remitted to governmental taxing authorities.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Gift Cards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Company sells gift cards which do not have an expiration date, and it does not deduct non-usage fees from outstanding gift card balances. The Company recognizes revenue from gift cards when the gift card is redeemed by the customer or the Company deter</w:t>
      </w:r>
      <w:r>
        <w:rPr>
          <w:rFonts w:eastAsia="Times New Roman"/>
          <w:color w:val="000000"/>
          <w:sz w:val="20"/>
          <w:szCs w:val="20"/>
        </w:rPr>
        <w:t>mines the likelihood of the gift card being redeemed by the customer is remote (“gift card breakage”). The determination of the gift card breakage rate is based upon Company-specific historical redemption patterns. The Company has determined that approxima</w:t>
      </w:r>
      <w:r>
        <w:rPr>
          <w:rFonts w:eastAsia="Times New Roman"/>
          <w:color w:val="000000"/>
          <w:sz w:val="20"/>
          <w:szCs w:val="20"/>
        </w:rPr>
        <w:t>tely 9% of gift cards will not be redeemed and recognizes gift card breakage ratably over the estimated redemption period of the gift card, which is approximately 24 months. Gift card liability balances are typically highest at the end of each calendar yea</w:t>
      </w:r>
      <w:r>
        <w:rPr>
          <w:rFonts w:eastAsia="Times New Roman"/>
          <w:color w:val="000000"/>
          <w:sz w:val="20"/>
          <w:szCs w:val="20"/>
        </w:rPr>
        <w:t xml:space="preserve">r following increased gift card purchases during the holiday season.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 xml:space="preserve">As of March 29, 2022 and December 28, 2021, the current portion of the gift card liability, </w:t>
      </w:r>
      <w:r>
        <w:rPr>
          <w:rFonts w:eastAsia="Times New Roman"/>
          <w:color w:val="000000"/>
          <w:sz w:val="20"/>
          <w:szCs w:val="20"/>
          <w:shd w:val="clear" w:color="auto" w:fill="FFFFFF"/>
        </w:rPr>
        <w:t>$2.4 million</w:t>
      </w:r>
      <w:r>
        <w:rPr>
          <w:rFonts w:eastAsia="Times New Roman"/>
          <w:color w:val="000000"/>
          <w:sz w:val="20"/>
          <w:szCs w:val="20"/>
        </w:rPr>
        <w:t xml:space="preserve"> and $2.9 million, respectively, was included in accrued expenses and other curr</w:t>
      </w:r>
      <w:r>
        <w:rPr>
          <w:rFonts w:eastAsia="Times New Roman"/>
          <w:color w:val="000000"/>
          <w:sz w:val="20"/>
          <w:szCs w:val="20"/>
        </w:rPr>
        <w:t xml:space="preserve">ent liabilities, and the long-term portion, </w:t>
      </w:r>
      <w:r>
        <w:rPr>
          <w:rFonts w:eastAsia="Times New Roman"/>
          <w:color w:val="000000"/>
          <w:sz w:val="20"/>
          <w:szCs w:val="20"/>
          <w:shd w:val="clear" w:color="auto" w:fill="FFFFFF"/>
        </w:rPr>
        <w:t>$0.6 million</w:t>
      </w:r>
      <w:r>
        <w:rPr>
          <w:rFonts w:eastAsia="Times New Roman"/>
          <w:color w:val="000000"/>
          <w:sz w:val="20"/>
          <w:szCs w:val="20"/>
        </w:rPr>
        <w:t xml:space="preserve"> and $0.6 million, respectively, was included in other long-term liabilities in the Condensed Consolidated Balance Sheets.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Revenue recognized in the Condensed Consolidated Statements of Operations f</w:t>
      </w:r>
      <w:r>
        <w:rPr>
          <w:rFonts w:eastAsia="Times New Roman"/>
          <w:color w:val="000000"/>
          <w:sz w:val="20"/>
          <w:szCs w:val="20"/>
        </w:rPr>
        <w:t xml:space="preserve">or the redemption of gift cards was $1.0 million and $1.1 million for the first quarters of 2022 and 2021, respectively. </w:t>
      </w:r>
    </w:p>
    <w:p w:rsidR="00000000" w:rsidRDefault="00D65F33">
      <w:pPr>
        <w:jc w:val="center"/>
        <w:divId w:val="814759739"/>
        <w:rPr>
          <w:rFonts w:eastAsia="Times New Roman"/>
        </w:rPr>
      </w:pPr>
      <w:r>
        <w:rPr>
          <w:rFonts w:eastAsia="Times New Roman"/>
          <w:color w:val="000000"/>
          <w:sz w:val="20"/>
          <w:szCs w:val="20"/>
        </w:rPr>
        <w:t>12</w:t>
      </w:r>
    </w:p>
    <w:p w:rsidR="00000000" w:rsidRDefault="00D65F33">
      <w:pPr>
        <w:rPr>
          <w:rFonts w:eastAsia="Times New Roman"/>
        </w:rPr>
      </w:pPr>
      <w:r>
        <w:rPr>
          <w:rFonts w:eastAsia="Times New Roman"/>
        </w:rPr>
        <w:pict>
          <v:rect id="_x0000_i1037" style="width:0;height:1.5pt" o:hralign="center" o:hrstd="t" o:hr="t" fillcolor="#a0a0a0" stroked="f"/>
        </w:pict>
      </w:r>
    </w:p>
    <w:p w:rsidR="00000000" w:rsidRDefault="00D65F33">
      <w:pPr>
        <w:divId w:val="1700282423"/>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Franchise Fees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 xml:space="preserve">Royalties from franchise restaurants are based on a percentage of restaurant revenues and are recognized in the period the related franchised restaurants’ sales occur. </w:t>
      </w:r>
      <w:r>
        <w:rPr>
          <w:rFonts w:eastAsia="Times New Roman"/>
          <w:color w:val="000000"/>
          <w:sz w:val="20"/>
          <w:szCs w:val="20"/>
          <w:shd w:val="clear" w:color="auto" w:fill="FFFFFF"/>
        </w:rPr>
        <w:t>Dev</w:t>
      </w:r>
      <w:r>
        <w:rPr>
          <w:rFonts w:eastAsia="Times New Roman"/>
          <w:color w:val="000000"/>
          <w:sz w:val="20"/>
          <w:szCs w:val="20"/>
        </w:rPr>
        <w:t>elopment fees and franchise fees, portions of which are collected in</w:t>
      </w:r>
      <w:r>
        <w:rPr>
          <w:rFonts w:eastAsia="Times New Roman"/>
          <w:color w:val="000000"/>
          <w:sz w:val="20"/>
          <w:szCs w:val="20"/>
        </w:rPr>
        <w:t xml:space="preserve"> advance, are nonrefundable and are recognized in income ratably over the term of the related franchise agreement or recognized upon the termination of the agreement between the Company and the franchisee. The Company has determined that the initial franch</w:t>
      </w:r>
      <w:r>
        <w:rPr>
          <w:rFonts w:eastAsia="Times New Roman"/>
          <w:color w:val="000000"/>
          <w:sz w:val="20"/>
          <w:szCs w:val="20"/>
        </w:rPr>
        <w:t>ise services are not distinct from the continuing rights or services offered during the term of the franchise agreement and should be treated as a single performance obligation; therefore, initial fees received from franchisees are recognized as revenue ov</w:t>
      </w:r>
      <w:r>
        <w:rPr>
          <w:rFonts w:eastAsia="Times New Roman"/>
          <w:color w:val="000000"/>
          <w:sz w:val="20"/>
          <w:szCs w:val="20"/>
        </w:rPr>
        <w:t xml:space="preserve">er the term of each respective franchise agreement, which is typically 20 years. </w:t>
      </w:r>
    </w:p>
    <w:p w:rsidR="00000000" w:rsidRDefault="00D65F33">
      <w:pPr>
        <w:jc w:val="both"/>
        <w:divId w:val="2048486773"/>
        <w:rPr>
          <w:rFonts w:eastAsia="Times New Roman"/>
        </w:rPr>
      </w:pPr>
      <w:r>
        <w:rPr>
          <w:rFonts w:eastAsia="Times New Roman"/>
          <w:b/>
          <w:bCs/>
          <w:i/>
          <w:iCs/>
          <w:color w:val="000000"/>
          <w:sz w:val="20"/>
          <w:szCs w:val="20"/>
        </w:rPr>
        <w:t>Loyalty Program</w:t>
      </w:r>
    </w:p>
    <w:p w:rsidR="00000000" w:rsidRDefault="00D65F33">
      <w:pPr>
        <w:jc w:val="both"/>
        <w:divId w:val="1250844183"/>
        <w:rPr>
          <w:rFonts w:eastAsia="Times New Roman"/>
        </w:rPr>
      </w:pPr>
      <w:r>
        <w:rPr>
          <w:rFonts w:eastAsia="Times New Roman"/>
          <w:color w:val="000000"/>
          <w:sz w:val="20"/>
          <w:szCs w:val="20"/>
        </w:rPr>
        <w:t>The Company operates the Noodles Rewards program, which is primarily a spend-based loyalty program. With each purchase, Noodles Rewards members earn loyalty p</w:t>
      </w:r>
      <w:r>
        <w:rPr>
          <w:rFonts w:eastAsia="Times New Roman"/>
          <w:color w:val="000000"/>
          <w:sz w:val="20"/>
          <w:szCs w:val="20"/>
        </w:rPr>
        <w:t>oints that can be redeemed for rewards, including free products. Using an estimate of the value of reward redemptions, we defer revenue associated with points earned, net of estimated points that will not be redeemed based upon the Company’s historical red</w:t>
      </w:r>
      <w:r>
        <w:rPr>
          <w:rFonts w:eastAsia="Times New Roman"/>
          <w:color w:val="000000"/>
          <w:sz w:val="20"/>
          <w:szCs w:val="20"/>
        </w:rPr>
        <w:t>emption patterns. Points generally expire after six months. Revenue is recognized in a future period when the reward points are redeemed. As of March 29, 2022 and December 28, 2021, the deferred revenue related to the rewards wa</w:t>
      </w:r>
      <w:r>
        <w:rPr>
          <w:rFonts w:eastAsia="Times New Roman"/>
          <w:color w:val="000000"/>
          <w:sz w:val="20"/>
          <w:szCs w:val="20"/>
          <w:shd w:val="clear" w:color="auto" w:fill="FFFFFF"/>
        </w:rPr>
        <w:t>s $0.4 million</w:t>
      </w:r>
      <w:r>
        <w:rPr>
          <w:rFonts w:eastAsia="Times New Roman"/>
          <w:color w:val="000000"/>
          <w:sz w:val="20"/>
          <w:szCs w:val="20"/>
        </w:rPr>
        <w:t xml:space="preserve"> and is includ</w:t>
      </w:r>
      <w:r>
        <w:rPr>
          <w:rFonts w:eastAsia="Times New Roman"/>
          <w:color w:val="000000"/>
          <w:sz w:val="20"/>
          <w:szCs w:val="20"/>
        </w:rPr>
        <w:t>ed in accrued expenses and other current liabilities in the Condensed Consolidated Balance Sheets.</w:t>
      </w:r>
    </w:p>
    <w:p w:rsidR="00000000" w:rsidRDefault="00D65F33">
      <w:pPr>
        <w:jc w:val="both"/>
        <w:divId w:val="1184704903"/>
        <w:rPr>
          <w:rFonts w:eastAsia="Times New Roman"/>
        </w:rPr>
      </w:pPr>
      <w:r>
        <w:rPr>
          <w:rFonts w:eastAsia="Times New Roman"/>
          <w:b/>
          <w:bCs/>
          <w:color w:val="000000"/>
          <w:sz w:val="20"/>
          <w:szCs w:val="20"/>
        </w:rPr>
        <w:t>12. Commitments and Contingencies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In the normal course of business, the Company is subject to other proceedings, lawsuits and claims. Such matters are subj</w:t>
      </w:r>
      <w:r>
        <w:rPr>
          <w:rFonts w:eastAsia="Times New Roman"/>
          <w:color w:val="000000"/>
          <w:sz w:val="20"/>
          <w:szCs w:val="20"/>
        </w:rPr>
        <w:t>ect to many uncertainties, and outcomes are not predictable with assurance. Consequently, the Company is unable to ascertain the ultimate aggregate amount of monetary liability or financial impact with respect to these matters as of March 29, 2022. These m</w:t>
      </w:r>
      <w:r>
        <w:rPr>
          <w:rFonts w:eastAsia="Times New Roman"/>
          <w:color w:val="000000"/>
          <w:sz w:val="20"/>
          <w:szCs w:val="20"/>
        </w:rPr>
        <w:t>atters could affect the operating results of any one financial reporting period when resolved in future periods. The Company believes that an unfavorable outcome with respect to these matters is remote or a potential range of loss is not material to its co</w:t>
      </w:r>
      <w:r>
        <w:rPr>
          <w:rFonts w:eastAsia="Times New Roman"/>
          <w:color w:val="000000"/>
          <w:sz w:val="20"/>
          <w:szCs w:val="20"/>
        </w:rPr>
        <w:t xml:space="preserve">nsolidated financial statements. Significant increases in the number of these claims, or one or more successful claims that result in greater liabilities than the Company currently anticipates, could materially and adversely affect its business, financial </w:t>
      </w:r>
      <w:r>
        <w:rPr>
          <w:rFonts w:eastAsia="Times New Roman"/>
          <w:color w:val="000000"/>
          <w:sz w:val="20"/>
          <w:szCs w:val="20"/>
        </w:rPr>
        <w:t>condition, results of operations or cash flows.</w:t>
      </w:r>
    </w:p>
    <w:p w:rsidR="00000000" w:rsidRDefault="00D65F33">
      <w:pPr>
        <w:jc w:val="center"/>
        <w:divId w:val="910502377"/>
        <w:rPr>
          <w:rFonts w:eastAsia="Times New Roman"/>
        </w:rPr>
      </w:pPr>
      <w:r>
        <w:rPr>
          <w:rFonts w:eastAsia="Times New Roman"/>
          <w:color w:val="000000"/>
          <w:sz w:val="20"/>
          <w:szCs w:val="20"/>
        </w:rPr>
        <w:t>13</w:t>
      </w:r>
    </w:p>
    <w:p w:rsidR="00000000" w:rsidRDefault="00D65F33">
      <w:pPr>
        <w:rPr>
          <w:rFonts w:eastAsia="Times New Roman"/>
        </w:rPr>
      </w:pPr>
      <w:r>
        <w:rPr>
          <w:rFonts w:eastAsia="Times New Roman"/>
        </w:rPr>
        <w:pict>
          <v:rect id="_x0000_i1038" style="width:0;height:1.5pt" o:hralign="center" o:hrstd="t" o:hr="t" fillcolor="#a0a0a0" stroked="f"/>
        </w:pict>
      </w:r>
    </w:p>
    <w:p w:rsidR="00000000" w:rsidRDefault="00D65F33">
      <w:pPr>
        <w:divId w:val="809442116"/>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center"/>
        <w:rPr>
          <w:rFonts w:eastAsia="Times New Roman"/>
        </w:rPr>
      </w:pPr>
      <w:r>
        <w:rPr>
          <w:rFonts w:eastAsia="Times New Roman"/>
          <w:b/>
          <w:bCs/>
          <w:color w:val="000000"/>
          <w:sz w:val="20"/>
          <w:szCs w:val="20"/>
        </w:rPr>
        <w:t>NOODLES &amp; COMPANY</w:t>
      </w:r>
    </w:p>
    <w:p w:rsidR="00000000" w:rsidRDefault="00D65F33">
      <w:pPr>
        <w:jc w:val="center"/>
        <w:rPr>
          <w:rFonts w:eastAsia="Times New Roman"/>
        </w:rPr>
      </w:pPr>
      <w:r>
        <w:rPr>
          <w:rFonts w:eastAsia="Times New Roman"/>
          <w:b/>
          <w:bCs/>
          <w:color w:val="000000"/>
          <w:sz w:val="20"/>
          <w:szCs w:val="20"/>
        </w:rPr>
        <w:t>MANAGEMENT’S DISCUSSION AND ANALYSIS OF</w:t>
      </w:r>
    </w:p>
    <w:p w:rsidR="00000000" w:rsidRDefault="00D65F33">
      <w:pPr>
        <w:jc w:val="center"/>
        <w:rPr>
          <w:rFonts w:eastAsia="Times New Roman"/>
        </w:rPr>
      </w:pPr>
      <w:r>
        <w:rPr>
          <w:rFonts w:eastAsia="Times New Roman"/>
          <w:b/>
          <w:bCs/>
          <w:color w:val="000000"/>
          <w:sz w:val="20"/>
          <w:szCs w:val="20"/>
        </w:rPr>
        <w:t>FINANCIAL CONDITION AND RESULTS O</w:t>
      </w:r>
      <w:r>
        <w:rPr>
          <w:rFonts w:eastAsia="Times New Roman"/>
          <w:b/>
          <w:bCs/>
          <w:color w:val="000000"/>
          <w:sz w:val="20"/>
          <w:szCs w:val="20"/>
        </w:rPr>
        <w:t>F OPERATIONS</w:t>
      </w:r>
    </w:p>
    <w:p w:rsidR="00000000" w:rsidRDefault="00D65F33">
      <w:pPr>
        <w:divId w:val="608195202"/>
        <w:rPr>
          <w:rFonts w:eastAsia="Times New Roman"/>
        </w:rPr>
      </w:pPr>
    </w:p>
    <w:p w:rsidR="00000000" w:rsidRDefault="00D65F33">
      <w:pPr>
        <w:divId w:val="1498883914"/>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D65F33">
      <w:pPr>
        <w:jc w:val="both"/>
        <w:rPr>
          <w:rFonts w:eastAsia="Times New Roman"/>
        </w:rPr>
      </w:pPr>
    </w:p>
    <w:p w:rsidR="00000000" w:rsidRDefault="00D65F33">
      <w:pPr>
        <w:jc w:val="both"/>
        <w:rPr>
          <w:rFonts w:eastAsia="Times New Roman"/>
        </w:rPr>
      </w:pPr>
      <w:r>
        <w:rPr>
          <w:rFonts w:eastAsia="Times New Roman"/>
          <w:i/>
          <w:iCs/>
          <w:color w:val="000000"/>
          <w:sz w:val="20"/>
          <w:szCs w:val="20"/>
        </w:rPr>
        <w:t xml:space="preserve">Noodles &amp; </w:t>
      </w:r>
      <w:r>
        <w:rPr>
          <w:rFonts w:eastAsia="Times New Roman"/>
          <w:i/>
          <w:iCs/>
          <w:color w:val="000000"/>
          <w:sz w:val="20"/>
          <w:szCs w:val="20"/>
        </w:rPr>
        <w:t>Company is a Delaware corporation that was organized in 2002. Noodles &amp; Company and its subsidiaries are sometimes referred to as “we,” “us,” “our” and the “Company” in this report. The following discussion and analysis of our financial condition and resul</w:t>
      </w:r>
      <w:r>
        <w:rPr>
          <w:rFonts w:eastAsia="Times New Roman"/>
          <w:i/>
          <w:iCs/>
          <w:color w:val="000000"/>
          <w:sz w:val="20"/>
          <w:szCs w:val="20"/>
        </w:rPr>
        <w:t>ts of operations should be read in conjunction with the accompanying unaudited condensed consolidated financial statements and related notes in Item 1 and with the audited consolidated financial statements and the related notes included in our Annual Repor</w:t>
      </w:r>
      <w:r>
        <w:rPr>
          <w:rFonts w:eastAsia="Times New Roman"/>
          <w:i/>
          <w:iCs/>
          <w:color w:val="000000"/>
          <w:sz w:val="20"/>
          <w:szCs w:val="20"/>
        </w:rPr>
        <w:t xml:space="preserve">t on Form 10-K for our fiscal year ended December 28, 2021. We operate on a 52- or 53-week fiscal year ending on the Tuesday closest to December 31. Our fiscal quarters each contain 13 operating weeks, with the exception of the fourth quarter of a 53-week </w:t>
      </w:r>
      <w:r>
        <w:rPr>
          <w:rFonts w:eastAsia="Times New Roman"/>
          <w:i/>
          <w:iCs/>
          <w:color w:val="000000"/>
          <w:sz w:val="20"/>
          <w:szCs w:val="20"/>
        </w:rPr>
        <w:t>fiscal year, which contains 14 operating weeks. Fiscal year 2022 contains 53 weeks and fiscal year 2021 contains 52 weeks.    </w:t>
      </w:r>
    </w:p>
    <w:p w:rsidR="00000000" w:rsidRDefault="00D65F33">
      <w:pPr>
        <w:divId w:val="1271161302"/>
        <w:rPr>
          <w:rFonts w:eastAsia="Times New Roman"/>
        </w:rPr>
      </w:pPr>
    </w:p>
    <w:p w:rsidR="00000000" w:rsidRDefault="00D65F33">
      <w:pPr>
        <w:divId w:val="1717923399"/>
        <w:rPr>
          <w:rFonts w:eastAsia="Times New Roman"/>
        </w:rPr>
      </w:pPr>
      <w:r>
        <w:rPr>
          <w:rFonts w:eastAsia="Times New Roman"/>
          <w:b/>
          <w:bCs/>
          <w:i/>
          <w:iCs/>
          <w:color w:val="000000"/>
          <w:sz w:val="20"/>
          <w:szCs w:val="20"/>
        </w:rPr>
        <w:t>Cautionary Note Regarding Forward-Looking Statements</w:t>
      </w:r>
    </w:p>
    <w:p w:rsidR="00000000" w:rsidRDefault="00D65F33">
      <w:pPr>
        <w:jc w:val="both"/>
        <w:rPr>
          <w:rFonts w:eastAsia="Times New Roman"/>
        </w:rPr>
      </w:pPr>
    </w:p>
    <w:p w:rsidR="00000000" w:rsidRDefault="00D65F33">
      <w:pPr>
        <w:jc w:val="both"/>
        <w:rPr>
          <w:rFonts w:eastAsia="Times New Roman"/>
        </w:rPr>
      </w:pPr>
      <w:r>
        <w:rPr>
          <w:rFonts w:eastAsia="Times New Roman"/>
          <w:i/>
          <w:iCs/>
          <w:color w:val="000000"/>
          <w:sz w:val="20"/>
          <w:szCs w:val="20"/>
        </w:rPr>
        <w:t>In addition to historical information, this discussion and analysis cont</w:t>
      </w:r>
      <w:r>
        <w:rPr>
          <w:rFonts w:eastAsia="Times New Roman"/>
          <w:i/>
          <w:iCs/>
          <w:color w:val="000000"/>
          <w:sz w:val="20"/>
          <w:szCs w:val="20"/>
        </w:rPr>
        <w:t>ains forward-looking statements within the meaning of the Private Securities Litigation Reform Act of 1995 that involve risks and uncertainties such as the number of restaurants we intend to open, projected capital expenditures and estimates of our effecti</w:t>
      </w:r>
      <w:r>
        <w:rPr>
          <w:rFonts w:eastAsia="Times New Roman"/>
          <w:i/>
          <w:iCs/>
          <w:color w:val="000000"/>
          <w:sz w:val="20"/>
          <w:szCs w:val="20"/>
        </w:rPr>
        <w:t>ve tax rates. In some cases, you can identify forward-looking statements by terms such as “may,” “might,” “will,” “objective,” “intend,” “should,” “could,” “can,” “would,” “expect,” “believe,” “design,” “estimate,” “predict,” “potential,” “plan” or the neg</w:t>
      </w:r>
      <w:r>
        <w:rPr>
          <w:rFonts w:eastAsia="Times New Roman"/>
          <w:i/>
          <w:iCs/>
          <w:color w:val="000000"/>
          <w:sz w:val="20"/>
          <w:szCs w:val="20"/>
        </w:rPr>
        <w:t>ative of these terms and similar expressions intended to identify forward-looking statements. These statements reflect our current views with respect to future events and are based on currently available operating, financial and competitive information. Ex</w:t>
      </w:r>
      <w:r>
        <w:rPr>
          <w:rFonts w:eastAsia="Times New Roman"/>
          <w:i/>
          <w:iCs/>
          <w:color w:val="000000"/>
          <w:sz w:val="20"/>
          <w:szCs w:val="20"/>
        </w:rPr>
        <w:t>amples of forward-looking statements include all matters that are not historical facts, such as statements regarding our ability to navigate the COVID-19 pandemic, projected capital expenditures, the revenue and balance sheet impact of the COVID-19 pandemi</w:t>
      </w:r>
      <w:r>
        <w:rPr>
          <w:rFonts w:eastAsia="Times New Roman"/>
          <w:i/>
          <w:iCs/>
          <w:color w:val="000000"/>
          <w:sz w:val="20"/>
          <w:szCs w:val="20"/>
        </w:rPr>
        <w:t>c, estimated costs associated with our closure of underperforming restaurants, the implementation and results of strategic initiatives and our future financial performance. Our actual results may differ materially from those anticipated in these forward-lo</w:t>
      </w:r>
      <w:r>
        <w:rPr>
          <w:rFonts w:eastAsia="Times New Roman"/>
          <w:i/>
          <w:iCs/>
          <w:color w:val="000000"/>
          <w:sz w:val="20"/>
          <w:szCs w:val="20"/>
        </w:rPr>
        <w:t xml:space="preserve">oking statements due to reasons including, but not limited to, the extent, duration and severity of the COVID-19 pandemic; governmental and customer response to the COVID-19 pandemic; other conditions beyond our control such as weather, natural disasters, </w:t>
      </w:r>
      <w:r>
        <w:rPr>
          <w:rFonts w:eastAsia="Times New Roman"/>
          <w:i/>
          <w:iCs/>
          <w:color w:val="000000"/>
          <w:sz w:val="20"/>
          <w:szCs w:val="20"/>
        </w:rPr>
        <w:t xml:space="preserve">disease outbreaks, epidemics or pandemics impacting our customers or food supplies; consumer reaction to industry related public health issues and health pandemics and perceptions of food safety, our ability to achieve and maintain increases in comparable </w:t>
      </w:r>
      <w:r>
        <w:rPr>
          <w:rFonts w:eastAsia="Times New Roman"/>
          <w:i/>
          <w:iCs/>
          <w:color w:val="000000"/>
          <w:sz w:val="20"/>
          <w:szCs w:val="20"/>
        </w:rPr>
        <w:t xml:space="preserve">restaurant sales and to successfully execute our business strategy, including new restaurant initiatives and operational strategies to improve the performance of our restaurant portfolio; our ability to maintain compliance with debt covenants and continue </w:t>
      </w:r>
      <w:r>
        <w:rPr>
          <w:rFonts w:eastAsia="Times New Roman"/>
          <w:i/>
          <w:iCs/>
          <w:color w:val="000000"/>
          <w:sz w:val="20"/>
          <w:szCs w:val="20"/>
        </w:rPr>
        <w:t>to access financing necessary to execute our business strategy; the success of our marketing efforts; our ability to open new restaurants on schedule; current economic conditions; price and availability of commodities; our ability to adequately staff our r</w:t>
      </w:r>
      <w:r>
        <w:rPr>
          <w:rFonts w:eastAsia="Times New Roman"/>
          <w:i/>
          <w:iCs/>
          <w:color w:val="000000"/>
          <w:sz w:val="20"/>
          <w:szCs w:val="20"/>
        </w:rPr>
        <w:t>estaurants; changes in labor costs; consumer confidence and spending patterns; seasonal factors; and those discussed in “Special Note Regarding Forward-Looking Statements” and “Risk Factors” as filed in our Annual Report on Form 10-K for our fiscal year en</w:t>
      </w:r>
      <w:r>
        <w:rPr>
          <w:rFonts w:eastAsia="Times New Roman"/>
          <w:i/>
          <w:iCs/>
          <w:color w:val="000000"/>
          <w:sz w:val="20"/>
          <w:szCs w:val="20"/>
        </w:rPr>
        <w:t>ded December 28, 2021.</w:t>
      </w: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shd w:val="clear" w:color="auto" w:fill="FFFFFF"/>
        </w:rPr>
        <w:t>Our Ongoing Response to the COVID-19 Pandemic</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ongoing global pandemic of the COVID-19 virus and its variants (“COVID-19 pandemic”</w:t>
      </w:r>
      <w:r>
        <w:rPr>
          <w:rFonts w:eastAsia="Times New Roman"/>
          <w:color w:val="000000"/>
          <w:sz w:val="20"/>
          <w:szCs w:val="20"/>
        </w:rPr>
        <w:t>) has, and is continuing to have, a significant impact on the restaurant industry. Our business has been adversely affected by the COVID-19 pandemic in varying degrees through occasional temporarily closed restaurants and reduced operating hours, disruptio</w:t>
      </w:r>
      <w:r>
        <w:rPr>
          <w:rFonts w:eastAsia="Times New Roman"/>
          <w:color w:val="000000"/>
          <w:sz w:val="20"/>
          <w:szCs w:val="20"/>
        </w:rPr>
        <w:t>n in our supply chain and shortages in the labor required to operate our restaurants. We believe we are well positioned to navigate the ongoing challenges associated with the COVID-19 pandemic given our investments in our off-premise and digital channels a</w:t>
      </w:r>
      <w:r>
        <w:rPr>
          <w:rFonts w:eastAsia="Times New Roman"/>
          <w:color w:val="000000"/>
          <w:sz w:val="20"/>
          <w:szCs w:val="20"/>
        </w:rPr>
        <w:t>nd the consumer demand for our brand.</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extent of the impact of the COVID-19 pandemic on our operations and financial results, including the impact on labor and the cost and availability of products within our supplier network, depends on future develo</w:t>
      </w:r>
      <w:r>
        <w:rPr>
          <w:rFonts w:eastAsia="Times New Roman"/>
          <w:color w:val="000000"/>
          <w:sz w:val="20"/>
          <w:szCs w:val="20"/>
        </w:rPr>
        <w:t>pments and is highly uncertain due to the unknown duration and severity of the outbreak, including the impact of additional COVID-19 variants. The situation is constantly changing and future impacts may materialize that are not yet known. As of the date of</w:t>
      </w:r>
      <w:r>
        <w:rPr>
          <w:rFonts w:eastAsia="Times New Roman"/>
          <w:color w:val="000000"/>
          <w:sz w:val="20"/>
          <w:szCs w:val="20"/>
        </w:rPr>
        <w:t xml:space="preserve"> this filing, substantially all of our restaurants are operating at full operating capacity. W</w:t>
      </w:r>
      <w:r>
        <w:rPr>
          <w:rFonts w:eastAsia="Times New Roman"/>
          <w:color w:val="000000"/>
          <w:sz w:val="20"/>
          <w:szCs w:val="20"/>
          <w:shd w:val="clear" w:color="auto" w:fill="FFFFFF"/>
        </w:rPr>
        <w:t xml:space="preserve">e intend to actively monitor the evolving situation and may take further actions that alter our business operations as may be required by federal, state or local </w:t>
      </w:r>
      <w:r>
        <w:rPr>
          <w:rFonts w:eastAsia="Times New Roman"/>
          <w:color w:val="000000"/>
          <w:sz w:val="20"/>
          <w:szCs w:val="20"/>
          <w:shd w:val="clear" w:color="auto" w:fill="FFFFFF"/>
        </w:rPr>
        <w:t xml:space="preserve">authorities or that we determine are in the best interests of our team members, customers, suppliers and shareholders. </w:t>
      </w:r>
    </w:p>
    <w:p w:rsidR="00000000" w:rsidRDefault="00D65F33">
      <w:pPr>
        <w:jc w:val="both"/>
        <w:rPr>
          <w:rFonts w:eastAsia="Times New Roman"/>
        </w:rPr>
      </w:pPr>
    </w:p>
    <w:p w:rsidR="00000000" w:rsidRDefault="00D65F33">
      <w:pPr>
        <w:jc w:val="center"/>
        <w:divId w:val="1401364949"/>
        <w:rPr>
          <w:rFonts w:eastAsia="Times New Roman"/>
        </w:rPr>
      </w:pPr>
      <w:r>
        <w:rPr>
          <w:rFonts w:eastAsia="Times New Roman"/>
          <w:color w:val="000000"/>
          <w:sz w:val="20"/>
          <w:szCs w:val="20"/>
        </w:rPr>
        <w:t>14</w:t>
      </w:r>
    </w:p>
    <w:p w:rsidR="00000000" w:rsidRDefault="00D65F33">
      <w:pPr>
        <w:rPr>
          <w:rFonts w:eastAsia="Times New Roman"/>
        </w:rPr>
      </w:pPr>
      <w:r>
        <w:rPr>
          <w:rFonts w:eastAsia="Times New Roman"/>
        </w:rPr>
        <w:pict>
          <v:rect id="_x0000_i1039" style="width:0;height:1.5pt" o:hralign="center" o:hrstd="t" o:hr="t" fillcolor="#a0a0a0" stroked="f"/>
        </w:pict>
      </w:r>
    </w:p>
    <w:p w:rsidR="00000000" w:rsidRDefault="00D65F33">
      <w:pPr>
        <w:divId w:val="1217202745"/>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r>
        <w:rPr>
          <w:rFonts w:eastAsia="Times New Roman"/>
          <w:b/>
          <w:bCs/>
          <w:color w:val="000000"/>
          <w:sz w:val="20"/>
          <w:szCs w:val="20"/>
        </w:rPr>
        <w:t>Recent Trends, Ri</w:t>
      </w:r>
      <w:r>
        <w:rPr>
          <w:rFonts w:eastAsia="Times New Roman"/>
          <w:b/>
          <w:bCs/>
          <w:color w:val="000000"/>
          <w:sz w:val="20"/>
          <w:szCs w:val="20"/>
        </w:rPr>
        <w:t>sks and Uncertainties</w:t>
      </w:r>
    </w:p>
    <w:p w:rsidR="00000000" w:rsidRDefault="00D65F33">
      <w:pPr>
        <w:jc w:val="both"/>
        <w:rPr>
          <w:rFonts w:eastAsia="Times New Roman"/>
        </w:rPr>
      </w:pPr>
    </w:p>
    <w:p w:rsidR="00000000" w:rsidRDefault="00D65F33">
      <w:pPr>
        <w:jc w:val="both"/>
        <w:rPr>
          <w:rFonts w:eastAsia="Times New Roman"/>
        </w:rPr>
      </w:pPr>
      <w:r>
        <w:rPr>
          <w:rFonts w:eastAsia="Times New Roman"/>
          <w:i/>
          <w:iCs/>
          <w:color w:val="000000"/>
          <w:sz w:val="20"/>
          <w:szCs w:val="20"/>
        </w:rPr>
        <w:t>Revenue.</w:t>
      </w:r>
      <w:r>
        <w:rPr>
          <w:rFonts w:eastAsia="Times New Roman"/>
          <w:color w:val="000000"/>
          <w:sz w:val="20"/>
          <w:szCs w:val="20"/>
        </w:rPr>
        <w:t xml:space="preserve"> In the first quarter of 2022, system-wide comparable r</w:t>
      </w:r>
      <w:r>
        <w:rPr>
          <w:rFonts w:eastAsia="Times New Roman"/>
          <w:color w:val="000000"/>
          <w:sz w:val="20"/>
          <w:szCs w:val="20"/>
          <w:shd w:val="clear" w:color="auto" w:fill="FFFFFF"/>
        </w:rPr>
        <w:t xml:space="preserve">estaurant sales increased 6.4%, comprised of a 5.3% increase for company-owned restaurants and an 11.9% increase for franchise restaurants. Company average unit volumes </w:t>
      </w:r>
      <w:r>
        <w:rPr>
          <w:rFonts w:eastAsia="Times New Roman"/>
          <w:color w:val="000000"/>
          <w:sz w:val="20"/>
          <w:szCs w:val="20"/>
          <w:shd w:val="clear" w:color="auto" w:fill="FFFFFF"/>
        </w:rPr>
        <w:t>(“AUV”) increased 6.8% over the first quarter of 2021 and 13.3% compared to the first quarter of 2019.</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shd w:val="clear" w:color="auto" w:fill="FFFFFF"/>
        </w:rPr>
        <w:t>Our first quarter 2022 comparable sales results were driven by our strong brand positioning and ability to meet the needs of today's consumer for great</w:t>
      </w:r>
      <w:r>
        <w:rPr>
          <w:rFonts w:eastAsia="Times New Roman"/>
          <w:color w:val="000000"/>
          <w:sz w:val="20"/>
          <w:szCs w:val="20"/>
          <w:shd w:val="clear" w:color="auto" w:fill="FFFFFF"/>
        </w:rPr>
        <w:t xml:space="preserve"> tasting made to order food served conveniently where and when guests want it. Comparable sales were partially impacted by volatility related to the COVID-19 pandemic mainly concentrated in the first half of the quarter, including temporarily reduced resta</w:t>
      </w:r>
      <w:r>
        <w:rPr>
          <w:rFonts w:eastAsia="Times New Roman"/>
          <w:color w:val="000000"/>
          <w:sz w:val="20"/>
          <w:szCs w:val="20"/>
          <w:shd w:val="clear" w:color="auto" w:fill="FFFFFF"/>
        </w:rPr>
        <w:t>urant hours and staffing challenges in the workforce, as well as the impact of refranchising fifteen company-owned restaurants to a franchisee. Our ability to retain positive comparable sales depends, among other reasons, on (i) the duration of the COVID-1</w:t>
      </w:r>
      <w:r>
        <w:rPr>
          <w:rFonts w:eastAsia="Times New Roman"/>
          <w:color w:val="000000"/>
          <w:sz w:val="20"/>
          <w:szCs w:val="20"/>
          <w:shd w:val="clear" w:color="auto" w:fill="FFFFFF"/>
        </w:rPr>
        <w:t>9 pandemic, (ii) our customers’ future willingness to order from restaurants given consumer inflationary pressures and geopolitical uncertainty, and (iii) macroeconomic conditions and the length of time required for the national and local economies to achi</w:t>
      </w:r>
      <w:r>
        <w:rPr>
          <w:rFonts w:eastAsia="Times New Roman"/>
          <w:color w:val="000000"/>
          <w:sz w:val="20"/>
          <w:szCs w:val="20"/>
          <w:shd w:val="clear" w:color="auto" w:fill="FFFFFF"/>
        </w:rPr>
        <w:t>eve economic recovery following the COVID-19 pandemic. Average unit volumes increased year-over-year due to strong off-premise sales, including digital, and growth in dine-in sales.</w:t>
      </w:r>
    </w:p>
    <w:p w:rsidR="00000000" w:rsidRDefault="00D65F33">
      <w:pPr>
        <w:divId w:val="1798572601"/>
        <w:rPr>
          <w:rFonts w:eastAsia="Times New Roman"/>
        </w:rPr>
      </w:pPr>
    </w:p>
    <w:p w:rsidR="00000000" w:rsidRDefault="00D65F33">
      <w:pPr>
        <w:jc w:val="both"/>
        <w:rPr>
          <w:rFonts w:eastAsia="Times New Roman"/>
        </w:rPr>
      </w:pPr>
      <w:r>
        <w:rPr>
          <w:rFonts w:eastAsia="Times New Roman"/>
          <w:color w:val="000000"/>
          <w:sz w:val="20"/>
          <w:szCs w:val="20"/>
          <w:shd w:val="clear" w:color="auto" w:fill="FFFFFF"/>
        </w:rPr>
        <w:t>Recent restaurant openings not in the Company’s comparable restaurant ba</w:t>
      </w:r>
      <w:r>
        <w:rPr>
          <w:rFonts w:eastAsia="Times New Roman"/>
          <w:color w:val="000000"/>
          <w:sz w:val="20"/>
          <w:szCs w:val="20"/>
          <w:shd w:val="clear" w:color="auto" w:fill="FFFFFF"/>
        </w:rPr>
        <w:t>se, many of which offer order ahead drive-thru pick-up windows, continue to perform as a group at the highest sales level of any class of new restaurants in the Company’s history.</w:t>
      </w:r>
    </w:p>
    <w:p w:rsidR="00000000" w:rsidRDefault="00D65F33">
      <w:pPr>
        <w:divId w:val="738746692"/>
        <w:rPr>
          <w:rFonts w:eastAsia="Times New Roman"/>
        </w:rPr>
      </w:pPr>
    </w:p>
    <w:p w:rsidR="00000000" w:rsidRDefault="00D65F33">
      <w:pPr>
        <w:jc w:val="both"/>
        <w:rPr>
          <w:rFonts w:eastAsia="Times New Roman"/>
        </w:rPr>
      </w:pPr>
      <w:r>
        <w:rPr>
          <w:rFonts w:eastAsia="Times New Roman"/>
          <w:i/>
          <w:iCs/>
          <w:color w:val="000000"/>
          <w:sz w:val="20"/>
          <w:szCs w:val="20"/>
        </w:rPr>
        <w:t>Co</w:t>
      </w:r>
      <w:r>
        <w:rPr>
          <w:rFonts w:eastAsia="Times New Roman"/>
          <w:i/>
          <w:iCs/>
          <w:color w:val="000000"/>
          <w:sz w:val="20"/>
          <w:szCs w:val="20"/>
          <w:shd w:val="clear" w:color="auto" w:fill="FFFFFF"/>
        </w:rPr>
        <w:t>st of Sales.</w:t>
      </w:r>
      <w:r>
        <w:rPr>
          <w:rFonts w:eastAsia="Times New Roman"/>
          <w:color w:val="000000"/>
          <w:sz w:val="20"/>
          <w:szCs w:val="20"/>
          <w:shd w:val="clear" w:color="auto" w:fill="FFFFFF"/>
        </w:rPr>
        <w:t xml:space="preserve"> We have and expect to continue to incur incremental costs o</w:t>
      </w:r>
      <w:r>
        <w:rPr>
          <w:rFonts w:eastAsia="Times New Roman"/>
          <w:color w:val="000000"/>
          <w:sz w:val="20"/>
          <w:szCs w:val="20"/>
          <w:shd w:val="clear" w:color="auto" w:fill="FFFFFF"/>
        </w:rPr>
        <w:t>f sales, driven by volatility in the commodity and food ingredients markets, particularly with our chicken vendors, in addition to an increase in packaging costs and distribution. We have seen a shortage in labor at some of our food suppliers, which in som</w:t>
      </w:r>
      <w:r>
        <w:rPr>
          <w:rFonts w:eastAsia="Times New Roman"/>
          <w:color w:val="000000"/>
          <w:sz w:val="20"/>
          <w:szCs w:val="20"/>
          <w:shd w:val="clear" w:color="auto" w:fill="FFFFFF"/>
        </w:rPr>
        <w:t>e cases has resulted in increased costs of food or transportation. Despite these market factors, we have continued to work with our suppliers for ongoing supply chain efficiencies, including managing food waste and adding additional suppliers as necessary.</w:t>
      </w:r>
      <w:r>
        <w:rPr>
          <w:rFonts w:eastAsia="Times New Roman"/>
          <w:color w:val="000000"/>
          <w:sz w:val="20"/>
          <w:szCs w:val="20"/>
          <w:shd w:val="clear" w:color="auto" w:fill="FFFFFF"/>
        </w:rPr>
        <w:t xml:space="preserve"> To date, there has been minimal disruption in maintaining adequate food supply, packaging and other ingredients to our restaurants, though it is possible that more significant disruptions could occur if the COVID-19 pandemic and volatility in the labor an</w:t>
      </w:r>
      <w:r>
        <w:rPr>
          <w:rFonts w:eastAsia="Times New Roman"/>
          <w:color w:val="000000"/>
          <w:sz w:val="20"/>
          <w:szCs w:val="20"/>
          <w:shd w:val="clear" w:color="auto" w:fill="FFFFFF"/>
        </w:rPr>
        <w:t xml:space="preserve">d commodity markets continue. </w:t>
      </w:r>
    </w:p>
    <w:p w:rsidR="00000000" w:rsidRDefault="00D65F33">
      <w:pPr>
        <w:jc w:val="both"/>
        <w:rPr>
          <w:rFonts w:eastAsia="Times New Roman"/>
        </w:rPr>
      </w:pPr>
    </w:p>
    <w:p w:rsidR="00000000" w:rsidRDefault="00D65F33">
      <w:pPr>
        <w:jc w:val="both"/>
        <w:rPr>
          <w:rFonts w:eastAsia="Times New Roman"/>
        </w:rPr>
      </w:pPr>
      <w:r>
        <w:rPr>
          <w:rFonts w:eastAsia="Times New Roman"/>
          <w:i/>
          <w:iCs/>
          <w:color w:val="000000"/>
          <w:sz w:val="20"/>
          <w:szCs w:val="20"/>
          <w:shd w:val="clear" w:color="auto" w:fill="FFFFFF"/>
        </w:rPr>
        <w:t>Labor Costs.</w:t>
      </w:r>
      <w:r>
        <w:rPr>
          <w:rFonts w:eastAsia="Times New Roman"/>
          <w:color w:val="000000"/>
          <w:sz w:val="20"/>
          <w:szCs w:val="20"/>
          <w:shd w:val="clear" w:color="auto" w:fill="FFFFFF"/>
        </w:rPr>
        <w:t xml:space="preserve"> During the first quarter of 2022, due to the Omicron variant of COVID-19, we continued to experience a reduction in labor availability in some of the markets where we operate, which in some cases resulted in te</w:t>
      </w:r>
      <w:r>
        <w:rPr>
          <w:rFonts w:eastAsia="Times New Roman"/>
          <w:color w:val="000000"/>
          <w:sz w:val="20"/>
          <w:szCs w:val="20"/>
          <w:shd w:val="clear" w:color="auto" w:fill="FFFFFF"/>
        </w:rPr>
        <w:t>mporary closures of our restaurants, in addition</w:t>
      </w:r>
      <w:r>
        <w:rPr>
          <w:rFonts w:eastAsia="Times New Roman"/>
          <w:color w:val="000000"/>
          <w:sz w:val="20"/>
          <w:szCs w:val="20"/>
        </w:rPr>
        <w:t xml:space="preserve"> to continued wage inflation within the industry. We were able to mitigate the impact of these market factors through a continued focus on optimizing our hiring process and retaining existing employees, and s</w:t>
      </w:r>
      <w:r>
        <w:rPr>
          <w:rFonts w:eastAsia="Times New Roman"/>
          <w:color w:val="000000"/>
          <w:sz w:val="20"/>
          <w:szCs w:val="20"/>
        </w:rPr>
        <w:t>aw a sequential improvement throughout the first quarter in our staffing and retention levels.</w:t>
      </w:r>
      <w:r>
        <w:rPr>
          <w:rFonts w:eastAsia="Times New Roman"/>
          <w:color w:val="000000"/>
          <w:sz w:val="20"/>
          <w:szCs w:val="20"/>
          <w:shd w:val="clear" w:color="auto" w:fill="FFFFFF"/>
        </w:rPr>
        <w:t xml:space="preserve"> Some jurisdictions in which we operate have recently increased their minimum wage and other jurisdictions are considering similar actions. Significant additional</w:t>
      </w:r>
      <w:r>
        <w:rPr>
          <w:rFonts w:eastAsia="Times New Roman"/>
          <w:color w:val="000000"/>
          <w:sz w:val="20"/>
          <w:szCs w:val="20"/>
          <w:shd w:val="clear" w:color="auto" w:fill="FFFFFF"/>
        </w:rPr>
        <w:t xml:space="preserve"> government-imposed wage increases and continued market factors could materially affect our labor costs. </w:t>
      </w:r>
    </w:p>
    <w:p w:rsidR="00000000" w:rsidRDefault="00D65F33">
      <w:pPr>
        <w:jc w:val="both"/>
        <w:rPr>
          <w:rFonts w:eastAsia="Times New Roman"/>
        </w:rPr>
      </w:pPr>
    </w:p>
    <w:p w:rsidR="00000000" w:rsidRDefault="00D65F33">
      <w:pPr>
        <w:jc w:val="both"/>
        <w:rPr>
          <w:rFonts w:eastAsia="Times New Roman"/>
        </w:rPr>
      </w:pPr>
      <w:r>
        <w:rPr>
          <w:rFonts w:eastAsia="Times New Roman"/>
          <w:i/>
          <w:iCs/>
          <w:color w:val="000000"/>
          <w:sz w:val="20"/>
          <w:szCs w:val="20"/>
        </w:rPr>
        <w:t xml:space="preserve">Other Restaurant Operating Costs. </w:t>
      </w:r>
      <w:r>
        <w:rPr>
          <w:rFonts w:eastAsia="Times New Roman"/>
          <w:color w:val="000000"/>
          <w:sz w:val="20"/>
          <w:szCs w:val="20"/>
        </w:rPr>
        <w:t>We have incurred and expect to continue to incur third-party delivery fees resulting from significant usage of our use of third-party delivery services.</w:t>
      </w:r>
    </w:p>
    <w:p w:rsidR="00000000" w:rsidRDefault="00D65F33">
      <w:pPr>
        <w:jc w:val="both"/>
        <w:rPr>
          <w:rFonts w:eastAsia="Times New Roman"/>
        </w:rPr>
      </w:pPr>
    </w:p>
    <w:p w:rsidR="00000000" w:rsidRDefault="00D65F33">
      <w:pPr>
        <w:jc w:val="both"/>
        <w:rPr>
          <w:rFonts w:eastAsia="Times New Roman"/>
        </w:rPr>
      </w:pPr>
      <w:r>
        <w:rPr>
          <w:rFonts w:eastAsia="Times New Roman"/>
          <w:i/>
          <w:iCs/>
          <w:color w:val="000000"/>
          <w:sz w:val="20"/>
          <w:szCs w:val="20"/>
        </w:rPr>
        <w:t>Restaurant Development.</w:t>
      </w:r>
      <w:r>
        <w:rPr>
          <w:rFonts w:eastAsia="Times New Roman"/>
          <w:color w:val="000000"/>
          <w:sz w:val="20"/>
          <w:szCs w:val="20"/>
        </w:rPr>
        <w:t xml:space="preserve"> In the first quarter of 2022,</w:t>
      </w:r>
      <w:r>
        <w:rPr>
          <w:rFonts w:eastAsia="Times New Roman"/>
          <w:color w:val="000000"/>
          <w:sz w:val="20"/>
          <w:szCs w:val="20"/>
          <w:shd w:val="clear" w:color="auto" w:fill="FFFFFF"/>
        </w:rPr>
        <w:t xml:space="preserve"> </w:t>
      </w:r>
      <w:r>
        <w:rPr>
          <w:rFonts w:eastAsia="Times New Roman"/>
          <w:color w:val="000000"/>
          <w:sz w:val="20"/>
          <w:szCs w:val="20"/>
          <w:shd w:val="clear" w:color="auto" w:fill="FFFFFF"/>
        </w:rPr>
        <w:t xml:space="preserve">we opened five new company-owned restaurants and two franchise restaurants and we sold 15 company-owned restaurants to a franchisee connected to the Warner Sale. Included in the refranchise deal, we entered into a twelve-year growth plan commitment with a </w:t>
      </w:r>
      <w:r>
        <w:rPr>
          <w:rFonts w:eastAsia="Times New Roman"/>
          <w:color w:val="000000"/>
          <w:sz w:val="20"/>
          <w:szCs w:val="20"/>
          <w:shd w:val="clear" w:color="auto" w:fill="FFFFFF"/>
        </w:rPr>
        <w:t>new franchise partner, which will operate in California under this agreement and includes development of 40 new locations throughout the state. As of March 29, 2022, we had 360 company-owned restaurants and 93 franchise restaurants in 30 states. W</w:t>
      </w:r>
      <w:r>
        <w:rPr>
          <w:rFonts w:eastAsia="Times New Roman"/>
          <w:color w:val="000000"/>
          <w:sz w:val="20"/>
          <w:szCs w:val="20"/>
        </w:rPr>
        <w:t>e have in</w:t>
      </w:r>
      <w:r>
        <w:rPr>
          <w:rFonts w:eastAsia="Times New Roman"/>
          <w:color w:val="000000"/>
          <w:sz w:val="20"/>
          <w:szCs w:val="20"/>
        </w:rPr>
        <w:t>corporated increased unit development into our strategic growth plan for 2022 and beyond with a plan to develop a pipeline to suppo</w:t>
      </w:r>
      <w:r>
        <w:rPr>
          <w:rFonts w:eastAsia="Times New Roman"/>
          <w:color w:val="000000"/>
          <w:sz w:val="20"/>
          <w:szCs w:val="20"/>
          <w:shd w:val="clear" w:color="auto" w:fill="FFFFFF"/>
        </w:rPr>
        <w:t>rt an annual unit growth rate of approximately 8%</w:t>
      </w:r>
      <w:r>
        <w:rPr>
          <w:rFonts w:eastAsia="Times New Roman"/>
          <w:color w:val="000000"/>
          <w:sz w:val="20"/>
          <w:szCs w:val="20"/>
        </w:rPr>
        <w:t xml:space="preserve"> </w:t>
      </w:r>
      <w:r>
        <w:rPr>
          <w:rFonts w:eastAsia="Times New Roman"/>
          <w:color w:val="000000"/>
          <w:sz w:val="20"/>
          <w:szCs w:val="20"/>
          <w:shd w:val="clear" w:color="auto" w:fill="FFFFFF"/>
        </w:rPr>
        <w:t>in 2022, with 10% unit growth thereafter.</w:t>
      </w:r>
    </w:p>
    <w:p w:rsidR="00000000" w:rsidRDefault="00D65F33">
      <w:pPr>
        <w:jc w:val="both"/>
        <w:rPr>
          <w:rFonts w:eastAsia="Times New Roman"/>
        </w:rPr>
      </w:pPr>
    </w:p>
    <w:p w:rsidR="00000000" w:rsidRDefault="00D65F33">
      <w:pPr>
        <w:jc w:val="both"/>
        <w:rPr>
          <w:rFonts w:eastAsia="Times New Roman"/>
        </w:rPr>
      </w:pPr>
      <w:r>
        <w:rPr>
          <w:rFonts w:eastAsia="Times New Roman"/>
          <w:i/>
          <w:iCs/>
          <w:color w:val="000000"/>
          <w:sz w:val="20"/>
          <w:szCs w:val="20"/>
        </w:rPr>
        <w:t>Certain</w:t>
      </w:r>
      <w:r>
        <w:rPr>
          <w:rFonts w:eastAsia="Times New Roman"/>
          <w:i/>
          <w:iCs/>
          <w:color w:val="000000"/>
          <w:sz w:val="20"/>
          <w:szCs w:val="20"/>
          <w:shd w:val="clear" w:color="auto" w:fill="FFFFFF"/>
        </w:rPr>
        <w:t xml:space="preserve"> Restaurant Closures.</w:t>
      </w:r>
      <w:r>
        <w:rPr>
          <w:rFonts w:eastAsia="Times New Roman"/>
          <w:color w:val="000000"/>
          <w:sz w:val="20"/>
          <w:szCs w:val="20"/>
          <w:shd w:val="clear" w:color="auto" w:fill="FFFFFF"/>
        </w:rPr>
        <w:t xml:space="preserve"> We</w:t>
      </w:r>
      <w:r>
        <w:rPr>
          <w:rFonts w:eastAsia="Times New Roman"/>
          <w:color w:val="000000"/>
          <w:sz w:val="20"/>
          <w:szCs w:val="20"/>
          <w:shd w:val="clear" w:color="auto" w:fill="FFFFFF"/>
        </w:rPr>
        <w:t xml:space="preserve"> permanently closed two company-owned restaurants in the first quarter of 2022. We currently do not anticipate a significant number of permanent restaurant closures in the foreseeable future; however, we may from time to time permanently close certain rest</w:t>
      </w:r>
      <w:r>
        <w:rPr>
          <w:rFonts w:eastAsia="Times New Roman"/>
          <w:color w:val="000000"/>
          <w:sz w:val="20"/>
          <w:szCs w:val="20"/>
          <w:shd w:val="clear" w:color="auto" w:fill="FFFFFF"/>
        </w:rPr>
        <w:t>aurants, including permanent closures at, or near, the expiration of the leases for these restaurants.</w:t>
      </w: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rPr>
        <w:t>Key Measures We Use to Evaluate Our Performance</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To evaluate the performance of our business, we utilize a variety of financial and performance measur</w:t>
      </w:r>
      <w:r>
        <w:rPr>
          <w:rFonts w:eastAsia="Times New Roman"/>
          <w:color w:val="000000"/>
          <w:sz w:val="20"/>
          <w:szCs w:val="20"/>
        </w:rPr>
        <w:t>es. These key measures include revenue, average unit volume, comparable restaurant sales, restaurant contribution, restaurant contribution margin, EBITDA and adjusted EBITDA.</w:t>
      </w:r>
    </w:p>
    <w:p w:rsidR="00000000" w:rsidRDefault="00D65F33">
      <w:pPr>
        <w:jc w:val="both"/>
        <w:rPr>
          <w:rFonts w:eastAsia="Times New Roman"/>
        </w:rPr>
      </w:pPr>
    </w:p>
    <w:p w:rsidR="00000000" w:rsidRDefault="00D65F33">
      <w:pPr>
        <w:jc w:val="center"/>
        <w:divId w:val="262032222"/>
        <w:rPr>
          <w:rFonts w:eastAsia="Times New Roman"/>
        </w:rPr>
      </w:pPr>
      <w:r>
        <w:rPr>
          <w:rFonts w:eastAsia="Times New Roman"/>
          <w:color w:val="000000"/>
          <w:sz w:val="20"/>
          <w:szCs w:val="20"/>
        </w:rPr>
        <w:t>15</w:t>
      </w:r>
    </w:p>
    <w:p w:rsidR="00000000" w:rsidRDefault="00D65F33">
      <w:pPr>
        <w:rPr>
          <w:rFonts w:eastAsia="Times New Roman"/>
        </w:rPr>
      </w:pPr>
      <w:r>
        <w:rPr>
          <w:rFonts w:eastAsia="Times New Roman"/>
        </w:rPr>
        <w:pict>
          <v:rect id="_x0000_i1040" style="width:0;height:1.5pt" o:hralign="center" o:hrstd="t" o:hr="t" fillcolor="#a0a0a0" stroked="f"/>
        </w:pict>
      </w:r>
    </w:p>
    <w:p w:rsidR="00000000" w:rsidRDefault="00D65F33">
      <w:pPr>
        <w:divId w:val="1480532077"/>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r>
        <w:rPr>
          <w:rFonts w:eastAsia="Times New Roman"/>
          <w:b/>
          <w:bCs/>
          <w:i/>
          <w:iCs/>
          <w:color w:val="000000"/>
          <w:sz w:val="20"/>
          <w:szCs w:val="20"/>
        </w:rPr>
        <w:t>Revenue</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 xml:space="preserve">Revenue includes both restaurant revenue and franchise royalties and fees. Restaurant revenue represents sales of food and beverages in company-owned restaurants. Several factors affect our restaurant revenue </w:t>
      </w:r>
      <w:r>
        <w:rPr>
          <w:rFonts w:eastAsia="Times New Roman"/>
          <w:color w:val="000000"/>
          <w:sz w:val="20"/>
          <w:szCs w:val="20"/>
        </w:rPr>
        <w:t>in any period, including the number of restaurants in operation and per-restaurant sales. Franchise royalties and fees represent royalty income and initial franchise fees. While we expect that the majority of our revenue and net income growth will be drive</w:t>
      </w:r>
      <w:r>
        <w:rPr>
          <w:rFonts w:eastAsia="Times New Roman"/>
          <w:color w:val="000000"/>
          <w:sz w:val="20"/>
          <w:szCs w:val="20"/>
        </w:rPr>
        <w:t>n by company-owned restaurants, our franchise restaurants remain an important factor impacting our revenue and financial performance.</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Seasonal factors cause our revenue to fluctuate from quarter to quarter. Our revenue per restaurant is typically lower i</w:t>
      </w:r>
      <w:r>
        <w:rPr>
          <w:rFonts w:eastAsia="Times New Roman"/>
          <w:color w:val="000000"/>
          <w:sz w:val="20"/>
          <w:szCs w:val="20"/>
        </w:rPr>
        <w:t>n the first and fourth quarters, due to reduced winter and holiday traffic, and is typically higher in the second and third quarters. As a result of these fact</w:t>
      </w:r>
      <w:r>
        <w:rPr>
          <w:rFonts w:eastAsia="Times New Roman"/>
          <w:color w:val="000000"/>
          <w:sz w:val="20"/>
          <w:szCs w:val="20"/>
          <w:shd w:val="clear" w:color="auto" w:fill="FFFFFF"/>
        </w:rPr>
        <w:t xml:space="preserve">ors, as well as the magnitude of the COVID-19 pandemic on </w:t>
      </w:r>
      <w:r>
        <w:rPr>
          <w:rFonts w:eastAsia="Times New Roman"/>
          <w:color w:val="000000"/>
          <w:sz w:val="20"/>
          <w:szCs w:val="20"/>
        </w:rPr>
        <w:t>particular quarters, our quarterly oper</w:t>
      </w:r>
      <w:r>
        <w:rPr>
          <w:rFonts w:eastAsia="Times New Roman"/>
          <w:color w:val="000000"/>
          <w:sz w:val="20"/>
          <w:szCs w:val="20"/>
        </w:rPr>
        <w:t xml:space="preserve">ating results and comparable restaurant sales may fluctuate significantly.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Comparable Restaurant Sales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Comparable restaurant sales refer to year-over-year sales comparisons for the comparable restaurant base. We define the comparable restaurant base t</w:t>
      </w:r>
      <w:r>
        <w:rPr>
          <w:rFonts w:eastAsia="Times New Roman"/>
          <w:color w:val="000000"/>
          <w:sz w:val="20"/>
          <w:szCs w:val="20"/>
        </w:rPr>
        <w:t>o include restaurants open for at least 18 full periods. This measure highlights performance of existing restaurants, as the impact of new restaurant openings is excluded. Changes in comparable restaurant sales are generated by changes in traffic, which we</w:t>
      </w:r>
      <w:r>
        <w:rPr>
          <w:rFonts w:eastAsia="Times New Roman"/>
          <w:color w:val="000000"/>
          <w:sz w:val="20"/>
          <w:szCs w:val="20"/>
        </w:rPr>
        <w:t xml:space="preserve"> calculate as the number of entrées sold, or changes in per-person spend, calculated as sales divided by traffic. Per-person spend can be influenced by changes in menu prices and the mix and number of items sold per person. Restaurants that were temporaril</w:t>
      </w:r>
      <w:r>
        <w:rPr>
          <w:rFonts w:eastAsia="Times New Roman"/>
          <w:color w:val="000000"/>
          <w:sz w:val="20"/>
          <w:szCs w:val="20"/>
        </w:rPr>
        <w:t xml:space="preserve">y closed or operating at reduced hours or dining capacity due to the COVID-19 pandemic remained in comparable restaurant sales.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Measuring our comparable restaurant sales allows us to evaluate the performance of our existing restaurant base. Various fact</w:t>
      </w:r>
      <w:r>
        <w:rPr>
          <w:rFonts w:eastAsia="Times New Roman"/>
          <w:color w:val="000000"/>
          <w:sz w:val="20"/>
          <w:szCs w:val="20"/>
        </w:rPr>
        <w:t>ors impact comparable restaurant sales, including:</w:t>
      </w:r>
    </w:p>
    <w:p w:rsidR="00000000" w:rsidRDefault="00D65F33">
      <w:pPr>
        <w:jc w:val="both"/>
        <w:rPr>
          <w:rFonts w:eastAsia="Times New Roman"/>
        </w:rPr>
      </w:pPr>
    </w:p>
    <w:p w:rsidR="00000000" w:rsidRDefault="00D65F33">
      <w:pPr>
        <w:ind w:hanging="720"/>
        <w:divId w:val="879706843"/>
        <w:rPr>
          <w:rFonts w:eastAsia="Times New Roman"/>
        </w:rPr>
      </w:pPr>
      <w:r>
        <w:rPr>
          <w:rFonts w:eastAsia="Times New Roman"/>
          <w:color w:val="000000"/>
          <w:sz w:val="20"/>
          <w:szCs w:val="20"/>
        </w:rPr>
        <w:t>•consumer recognition of our brand and our ability to respond to changing consumer preferences;</w:t>
      </w:r>
    </w:p>
    <w:p w:rsidR="00000000" w:rsidRDefault="00D65F33">
      <w:pPr>
        <w:ind w:hanging="720"/>
        <w:divId w:val="1419256176"/>
        <w:rPr>
          <w:rFonts w:eastAsia="Times New Roman"/>
        </w:rPr>
      </w:pPr>
    </w:p>
    <w:p w:rsidR="00000000" w:rsidRDefault="00D65F33">
      <w:pPr>
        <w:ind w:hanging="720"/>
        <w:divId w:val="1617328120"/>
        <w:rPr>
          <w:rFonts w:eastAsia="Times New Roman"/>
        </w:rPr>
      </w:pPr>
      <w:r>
        <w:rPr>
          <w:rFonts w:eastAsia="Times New Roman"/>
          <w:color w:val="000000"/>
          <w:sz w:val="20"/>
          <w:szCs w:val="20"/>
        </w:rPr>
        <w:t>•</w:t>
      </w:r>
      <w:r>
        <w:rPr>
          <w:rFonts w:eastAsia="Times New Roman"/>
          <w:color w:val="000000"/>
          <w:sz w:val="20"/>
          <w:szCs w:val="20"/>
        </w:rPr>
        <w:t>overall economic trends, particularly those related to consumer spending;</w:t>
      </w:r>
    </w:p>
    <w:p w:rsidR="00000000" w:rsidRDefault="00D65F33">
      <w:pPr>
        <w:ind w:hanging="720"/>
        <w:divId w:val="2111897813"/>
        <w:rPr>
          <w:rFonts w:eastAsia="Times New Roman"/>
        </w:rPr>
      </w:pPr>
    </w:p>
    <w:p w:rsidR="00000000" w:rsidRDefault="00D65F33">
      <w:pPr>
        <w:ind w:hanging="720"/>
        <w:divId w:val="1130853"/>
        <w:rPr>
          <w:rFonts w:eastAsia="Times New Roman"/>
        </w:rPr>
      </w:pPr>
      <w:r>
        <w:rPr>
          <w:rFonts w:eastAsia="Times New Roman"/>
          <w:color w:val="000000"/>
          <w:sz w:val="20"/>
          <w:szCs w:val="20"/>
        </w:rPr>
        <w:t>•</w:t>
      </w:r>
      <w:r>
        <w:rPr>
          <w:rFonts w:eastAsia="Times New Roman"/>
          <w:color w:val="000000"/>
          <w:sz w:val="20"/>
          <w:szCs w:val="20"/>
        </w:rPr>
        <w:t>our ability to operate restaurants effectively and efficiently to meet consumer expectations;</w:t>
      </w:r>
    </w:p>
    <w:p w:rsidR="00000000" w:rsidRDefault="00D65F33">
      <w:pPr>
        <w:ind w:hanging="720"/>
        <w:divId w:val="1735932891"/>
        <w:rPr>
          <w:rFonts w:eastAsia="Times New Roman"/>
        </w:rPr>
      </w:pPr>
    </w:p>
    <w:p w:rsidR="00000000" w:rsidRDefault="00D65F33">
      <w:pPr>
        <w:ind w:hanging="720"/>
        <w:divId w:val="1493252806"/>
        <w:rPr>
          <w:rFonts w:eastAsia="Times New Roman"/>
        </w:rPr>
      </w:pPr>
      <w:r>
        <w:rPr>
          <w:rFonts w:eastAsia="Times New Roman"/>
          <w:color w:val="000000"/>
          <w:sz w:val="20"/>
          <w:szCs w:val="20"/>
        </w:rPr>
        <w:t>•pricing;</w:t>
      </w:r>
    </w:p>
    <w:p w:rsidR="00000000" w:rsidRDefault="00D65F33">
      <w:pPr>
        <w:ind w:hanging="720"/>
        <w:divId w:val="1390419863"/>
        <w:rPr>
          <w:rFonts w:eastAsia="Times New Roman"/>
        </w:rPr>
      </w:pPr>
    </w:p>
    <w:p w:rsidR="00000000" w:rsidRDefault="00D65F33">
      <w:pPr>
        <w:ind w:hanging="720"/>
        <w:divId w:val="2043170287"/>
        <w:rPr>
          <w:rFonts w:eastAsia="Times New Roman"/>
        </w:rPr>
      </w:pPr>
      <w:r>
        <w:rPr>
          <w:rFonts w:eastAsia="Times New Roman"/>
          <w:color w:val="000000"/>
          <w:sz w:val="20"/>
          <w:szCs w:val="20"/>
        </w:rPr>
        <w:t>•the number of restaurant transactions, per-person spend and average check amount;</w:t>
      </w:r>
    </w:p>
    <w:p w:rsidR="00000000" w:rsidRDefault="00D65F33">
      <w:pPr>
        <w:ind w:hanging="720"/>
        <w:divId w:val="1775442487"/>
        <w:rPr>
          <w:rFonts w:eastAsia="Times New Roman"/>
        </w:rPr>
      </w:pPr>
    </w:p>
    <w:p w:rsidR="00000000" w:rsidRDefault="00D65F33">
      <w:pPr>
        <w:ind w:hanging="720"/>
        <w:divId w:val="1161846402"/>
        <w:rPr>
          <w:rFonts w:eastAsia="Times New Roman"/>
        </w:rPr>
      </w:pPr>
      <w:r>
        <w:rPr>
          <w:rFonts w:eastAsia="Times New Roman"/>
          <w:color w:val="000000"/>
          <w:sz w:val="20"/>
          <w:szCs w:val="20"/>
        </w:rPr>
        <w:t>•marketing and promotional efforts;</w:t>
      </w:r>
    </w:p>
    <w:p w:rsidR="00000000" w:rsidRDefault="00D65F33">
      <w:pPr>
        <w:divId w:val="1244074218"/>
        <w:rPr>
          <w:rFonts w:eastAsia="Times New Roman"/>
        </w:rPr>
      </w:pPr>
    </w:p>
    <w:p w:rsidR="00000000" w:rsidRDefault="00D65F33">
      <w:pPr>
        <w:ind w:hanging="720"/>
        <w:divId w:val="1722024277"/>
        <w:rPr>
          <w:rFonts w:eastAsia="Times New Roman"/>
        </w:rPr>
      </w:pPr>
      <w:r>
        <w:rPr>
          <w:rFonts w:eastAsia="Times New Roman"/>
          <w:color w:val="000000"/>
          <w:sz w:val="20"/>
          <w:szCs w:val="20"/>
        </w:rPr>
        <w:t>•abnormal weather pattern</w:t>
      </w:r>
      <w:r>
        <w:rPr>
          <w:rFonts w:eastAsia="Times New Roman"/>
          <w:color w:val="000000"/>
          <w:sz w:val="20"/>
          <w:szCs w:val="20"/>
        </w:rPr>
        <w:t>s;</w:t>
      </w:r>
    </w:p>
    <w:p w:rsidR="00000000" w:rsidRDefault="00D65F33">
      <w:pPr>
        <w:divId w:val="343676496"/>
        <w:rPr>
          <w:rFonts w:eastAsia="Times New Roman"/>
        </w:rPr>
      </w:pPr>
    </w:p>
    <w:p w:rsidR="00000000" w:rsidRDefault="00D65F33">
      <w:pPr>
        <w:ind w:hanging="720"/>
        <w:divId w:val="332732737"/>
        <w:rPr>
          <w:rFonts w:eastAsia="Times New Roman"/>
        </w:rPr>
      </w:pPr>
      <w:r>
        <w:rPr>
          <w:rFonts w:eastAsia="Times New Roman"/>
          <w:color w:val="000000"/>
          <w:sz w:val="20"/>
          <w:szCs w:val="20"/>
        </w:rPr>
        <w:t>•food safety and foodborne illness concerns;</w:t>
      </w:r>
    </w:p>
    <w:p w:rsidR="00000000" w:rsidRDefault="00D65F33">
      <w:pPr>
        <w:divId w:val="1476214773"/>
        <w:rPr>
          <w:rFonts w:eastAsia="Times New Roman"/>
        </w:rPr>
      </w:pPr>
    </w:p>
    <w:p w:rsidR="00000000" w:rsidRDefault="00D65F33">
      <w:pPr>
        <w:ind w:hanging="720"/>
        <w:divId w:val="751005289"/>
        <w:rPr>
          <w:rFonts w:eastAsia="Times New Roman"/>
        </w:rPr>
      </w:pPr>
      <w:r>
        <w:rPr>
          <w:rFonts w:eastAsia="Times New Roman"/>
          <w:color w:val="000000"/>
          <w:sz w:val="20"/>
          <w:szCs w:val="20"/>
        </w:rPr>
        <w:t xml:space="preserve">•the impact of the COVID-19 pandemic; </w:t>
      </w:r>
    </w:p>
    <w:p w:rsidR="00000000" w:rsidRDefault="00D65F33">
      <w:pPr>
        <w:divId w:val="1554275448"/>
        <w:rPr>
          <w:rFonts w:eastAsia="Times New Roman"/>
        </w:rPr>
      </w:pPr>
    </w:p>
    <w:p w:rsidR="00000000" w:rsidRDefault="00D65F33">
      <w:pPr>
        <w:ind w:hanging="720"/>
        <w:divId w:val="488903546"/>
        <w:rPr>
          <w:rFonts w:eastAsia="Times New Roman"/>
        </w:rPr>
      </w:pPr>
      <w:r>
        <w:rPr>
          <w:rFonts w:eastAsia="Times New Roman"/>
          <w:color w:val="000000"/>
          <w:sz w:val="20"/>
          <w:szCs w:val="20"/>
        </w:rPr>
        <w:t>•local competition;</w:t>
      </w:r>
    </w:p>
    <w:p w:rsidR="00000000" w:rsidRDefault="00D65F33">
      <w:pPr>
        <w:ind w:hanging="720"/>
        <w:divId w:val="1148668255"/>
        <w:rPr>
          <w:rFonts w:eastAsia="Times New Roman"/>
        </w:rPr>
      </w:pPr>
    </w:p>
    <w:p w:rsidR="00000000" w:rsidRDefault="00D65F33">
      <w:pPr>
        <w:ind w:hanging="720"/>
        <w:divId w:val="1890145151"/>
        <w:rPr>
          <w:rFonts w:eastAsia="Times New Roman"/>
        </w:rPr>
      </w:pPr>
      <w:r>
        <w:rPr>
          <w:rFonts w:eastAsia="Times New Roman"/>
          <w:color w:val="000000"/>
          <w:sz w:val="20"/>
          <w:szCs w:val="20"/>
        </w:rPr>
        <w:t>•trade area dynamics;</w:t>
      </w:r>
    </w:p>
    <w:p w:rsidR="00000000" w:rsidRDefault="00D65F33">
      <w:pPr>
        <w:ind w:hanging="720"/>
        <w:divId w:val="1634023224"/>
        <w:rPr>
          <w:rFonts w:eastAsia="Times New Roman"/>
        </w:rPr>
      </w:pPr>
    </w:p>
    <w:p w:rsidR="00000000" w:rsidRDefault="00D65F33">
      <w:pPr>
        <w:ind w:hanging="720"/>
        <w:divId w:val="2055811850"/>
        <w:rPr>
          <w:rFonts w:eastAsia="Times New Roman"/>
        </w:rPr>
      </w:pPr>
      <w:r>
        <w:rPr>
          <w:rFonts w:eastAsia="Times New Roman"/>
          <w:color w:val="000000"/>
          <w:sz w:val="20"/>
          <w:szCs w:val="20"/>
        </w:rPr>
        <w:t>•introduction of new and seasonal menu items and limited time offerings; and</w:t>
      </w:r>
    </w:p>
    <w:p w:rsidR="00000000" w:rsidRDefault="00D65F33">
      <w:pPr>
        <w:ind w:hanging="720"/>
        <w:divId w:val="357708190"/>
        <w:rPr>
          <w:rFonts w:eastAsia="Times New Roman"/>
        </w:rPr>
      </w:pPr>
    </w:p>
    <w:p w:rsidR="00000000" w:rsidRDefault="00D65F33">
      <w:pPr>
        <w:ind w:hanging="720"/>
        <w:divId w:val="307365822"/>
        <w:rPr>
          <w:rFonts w:eastAsia="Times New Roman"/>
        </w:rPr>
      </w:pPr>
      <w:r>
        <w:rPr>
          <w:rFonts w:eastAsia="Times New Roman"/>
          <w:color w:val="000000"/>
          <w:sz w:val="20"/>
          <w:szCs w:val="20"/>
        </w:rPr>
        <w:t>•opening new restaurants in the vicini</w:t>
      </w:r>
      <w:r>
        <w:rPr>
          <w:rFonts w:eastAsia="Times New Roman"/>
          <w:color w:val="000000"/>
          <w:sz w:val="20"/>
          <w:szCs w:val="20"/>
        </w:rPr>
        <w:t>ty of existing locations.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Consistent with common industry practice, we present comparable restaurant sales on a calendar-adjusted basis that aligns current year sales weeks with comparable periods in the prior year, regardless of whether they belong to t</w:t>
      </w:r>
      <w:r>
        <w:rPr>
          <w:rFonts w:eastAsia="Times New Roman"/>
          <w:color w:val="000000"/>
          <w:sz w:val="20"/>
          <w:szCs w:val="20"/>
        </w:rPr>
        <w:t>he same fiscal period or not. Since opening new company-owned and franchise restaurants is a part of our long-term growth strategy and we anticipate new restaurants will be a component of our long-term revenue growth, comparable restaurant sales is only on</w:t>
      </w:r>
      <w:r>
        <w:rPr>
          <w:rFonts w:eastAsia="Times New Roman"/>
          <w:color w:val="000000"/>
          <w:sz w:val="20"/>
          <w:szCs w:val="20"/>
        </w:rPr>
        <w:t>e measure of how we evaluate our performance.</w:t>
      </w:r>
    </w:p>
    <w:p w:rsidR="00000000" w:rsidRDefault="00D65F33">
      <w:pPr>
        <w:jc w:val="center"/>
        <w:divId w:val="48190629"/>
        <w:rPr>
          <w:rFonts w:eastAsia="Times New Roman"/>
        </w:rPr>
      </w:pPr>
      <w:r>
        <w:rPr>
          <w:rFonts w:eastAsia="Times New Roman"/>
          <w:color w:val="000000"/>
          <w:sz w:val="20"/>
          <w:szCs w:val="20"/>
        </w:rPr>
        <w:t>16</w:t>
      </w:r>
    </w:p>
    <w:p w:rsidR="00000000" w:rsidRDefault="00D65F33">
      <w:pPr>
        <w:rPr>
          <w:rFonts w:eastAsia="Times New Roman"/>
        </w:rPr>
      </w:pPr>
      <w:r>
        <w:rPr>
          <w:rFonts w:eastAsia="Times New Roman"/>
        </w:rPr>
        <w:pict>
          <v:rect id="_x0000_i1041" style="width:0;height:1.5pt" o:hralign="center" o:hrstd="t" o:hr="t" fillcolor="#a0a0a0" stroked="f"/>
        </w:pict>
      </w:r>
    </w:p>
    <w:p w:rsidR="00000000" w:rsidRDefault="00D65F33">
      <w:pPr>
        <w:divId w:val="1269199136"/>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Average Unit Volumes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AUVs consist of the average annualized sales of all company-owned restaurants for a given time period. AUVs are calculated by dividing restaurant revenue by the number of operating days within each time period and multiplying by the number of operating day</w:t>
      </w:r>
      <w:r>
        <w:rPr>
          <w:rFonts w:eastAsia="Times New Roman"/>
          <w:color w:val="000000"/>
          <w:sz w:val="20"/>
          <w:szCs w:val="20"/>
        </w:rPr>
        <w:t xml:space="preserve">s we have in a typical year. </w:t>
      </w:r>
      <w:r>
        <w:rPr>
          <w:rFonts w:eastAsia="Times New Roman"/>
          <w:color w:val="000000"/>
          <w:sz w:val="20"/>
          <w:szCs w:val="20"/>
          <w:shd w:val="clear" w:color="auto" w:fill="FFFFFF"/>
        </w:rPr>
        <w:t xml:space="preserve">Based on this calculation, temporarily closed restaurants are excluded from the definition of AUV, however restaurants with temporarily reduced operating hours are included. </w:t>
      </w:r>
      <w:r>
        <w:rPr>
          <w:rFonts w:eastAsia="Times New Roman"/>
          <w:color w:val="000000"/>
          <w:sz w:val="20"/>
          <w:szCs w:val="20"/>
        </w:rPr>
        <w:t xml:space="preserve">This measurement allows management to assess changes </w:t>
      </w:r>
      <w:r>
        <w:rPr>
          <w:rFonts w:eastAsia="Times New Roman"/>
          <w:color w:val="000000"/>
          <w:sz w:val="20"/>
          <w:szCs w:val="20"/>
        </w:rPr>
        <w:t xml:space="preserve">in </w:t>
      </w:r>
      <w:r>
        <w:rPr>
          <w:rFonts w:eastAsia="Times New Roman"/>
          <w:color w:val="000000"/>
          <w:sz w:val="20"/>
          <w:szCs w:val="20"/>
          <w:shd w:val="clear" w:color="auto" w:fill="FFFFFF"/>
        </w:rPr>
        <w:t>consumer traffic and per person spending</w:t>
      </w:r>
      <w:r>
        <w:rPr>
          <w:rFonts w:eastAsia="Times New Roman"/>
          <w:color w:val="000000"/>
          <w:sz w:val="20"/>
          <w:szCs w:val="20"/>
        </w:rPr>
        <w:t xml:space="preserve"> patterns at our restaurants. In addition to the factors that impact comparable restaurant sales, AUVs can be further impacted by effective real estate site selection and maturity and trends within new markets.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Restaurant Contribution and Restaurant Contribution Margin</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Restaurant contribution represents restaurant revenue less restaurant operating costs which are cost of sales, labor, occupancy and other restaurant operating costs. Restaurant contribution marg</w:t>
      </w:r>
      <w:r>
        <w:rPr>
          <w:rFonts w:eastAsia="Times New Roman"/>
          <w:color w:val="000000"/>
          <w:sz w:val="20"/>
          <w:szCs w:val="20"/>
        </w:rPr>
        <w:t xml:space="preserve">in represents restaurant contribution as a percentage of restaurant revenue. We expect restaurant contribution to increase in proportion to the number of new restaurants we open and our comparable restaurant sales growth.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We believe that restaurant cont</w:t>
      </w:r>
      <w:r>
        <w:rPr>
          <w:rFonts w:eastAsia="Times New Roman"/>
          <w:color w:val="000000"/>
          <w:sz w:val="20"/>
          <w:szCs w:val="20"/>
        </w:rPr>
        <w:t>ribution and restaurant contribution margin are important tools for investors and other interested parties because they are widely-used metrics within the restaurant industry to evaluate restaurant-level productivity, efficiency and performance. We also us</w:t>
      </w:r>
      <w:r>
        <w:rPr>
          <w:rFonts w:eastAsia="Times New Roman"/>
          <w:color w:val="000000"/>
          <w:sz w:val="20"/>
          <w:szCs w:val="20"/>
        </w:rPr>
        <w:t xml:space="preserve">e restaurant contribution and restaurant contribution margin as metrics to evaluate the profitability of incremental sales at our restaurants, restaurant performance across periods and restaurant financial performance compared with competitors. Restaurant </w:t>
      </w:r>
      <w:r>
        <w:rPr>
          <w:rFonts w:eastAsia="Times New Roman"/>
          <w:color w:val="000000"/>
          <w:sz w:val="20"/>
          <w:szCs w:val="20"/>
        </w:rPr>
        <w:t>contribution and restaurant contribution margin are supplemental measures of the operating performance of our restaurants and are not reflective of the underlying performance of our business because corporate-level expenses are excluded from these measures</w:t>
      </w:r>
      <w:r>
        <w:rPr>
          <w:rFonts w:eastAsia="Times New Roman"/>
          <w:color w:val="000000"/>
          <w:sz w:val="20"/>
          <w:szCs w:val="20"/>
        </w:rPr>
        <w:t xml:space="preserve">.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EBITDA and Adjusted EBITDA</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We define EBITDA as net income (loss) before interest expense, provision (benefit) for income taxes and depreciation and amortization. We define adjusted EBITDA as net income (loss) before interest expense, provision (bene</w:t>
      </w:r>
      <w:r>
        <w:rPr>
          <w:rFonts w:eastAsia="Times New Roman"/>
          <w:color w:val="000000"/>
          <w:sz w:val="20"/>
          <w:szCs w:val="20"/>
        </w:rPr>
        <w:t xml:space="preserve">fit) for income taxes, depreciation and amortization, restaurant impairments, closure costs and asset disposals and stock-based compensation.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We believe that EBITDA and adjusted EBITDA provide clear pictures of our operating results by eliminating certa</w:t>
      </w:r>
      <w:r>
        <w:rPr>
          <w:rFonts w:eastAsia="Times New Roman"/>
          <w:color w:val="000000"/>
          <w:sz w:val="20"/>
          <w:szCs w:val="20"/>
        </w:rPr>
        <w:t xml:space="preserve">in non-recurring and non-cash expenses that may vary widely from period to period and are not reflective of the underlying business performance.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presentation of restaurant contribution, restaurant contribution margin, EBITDA and adjusted EBITDA is n</w:t>
      </w:r>
      <w:r>
        <w:rPr>
          <w:rFonts w:eastAsia="Times New Roman"/>
          <w:color w:val="000000"/>
          <w:sz w:val="20"/>
          <w:szCs w:val="20"/>
        </w:rPr>
        <w:t>ot intended to be considered in isolation or as a substitute for, or to be superior to, the financial information prepared and presented in accordance with accounting principles generally accepted in the United States of America (“GAAP”). We use these non-</w:t>
      </w:r>
      <w:r>
        <w:rPr>
          <w:rFonts w:eastAsia="Times New Roman"/>
          <w:color w:val="000000"/>
          <w:sz w:val="20"/>
          <w:szCs w:val="20"/>
        </w:rPr>
        <w:t>GAAP financial measures for financial and operational decision making and as a means to evaluate period-to-period comparisons. We believe that they provide useful information to management and investors about operating results, enhance the overall understa</w:t>
      </w:r>
      <w:r>
        <w:rPr>
          <w:rFonts w:eastAsia="Times New Roman"/>
          <w:color w:val="000000"/>
          <w:sz w:val="20"/>
          <w:szCs w:val="20"/>
        </w:rPr>
        <w:t>nding of past financial performance and future prospects and allow for greater transparency with respect to key metrics used by management in its financial and operational decision making.</w:t>
      </w:r>
    </w:p>
    <w:p w:rsidR="00000000" w:rsidRDefault="00D65F33">
      <w:pPr>
        <w:jc w:val="both"/>
        <w:rPr>
          <w:rFonts w:eastAsia="Times New Roman"/>
        </w:rPr>
      </w:pPr>
    </w:p>
    <w:p w:rsidR="00000000" w:rsidRDefault="00D65F33">
      <w:pPr>
        <w:jc w:val="center"/>
        <w:divId w:val="933629382"/>
        <w:rPr>
          <w:rFonts w:eastAsia="Times New Roman"/>
        </w:rPr>
      </w:pPr>
      <w:r>
        <w:rPr>
          <w:rFonts w:eastAsia="Times New Roman"/>
          <w:color w:val="000000"/>
          <w:sz w:val="20"/>
          <w:szCs w:val="20"/>
        </w:rPr>
        <w:t>17</w:t>
      </w:r>
    </w:p>
    <w:p w:rsidR="00000000" w:rsidRDefault="00D65F33">
      <w:pPr>
        <w:rPr>
          <w:rFonts w:eastAsia="Times New Roman"/>
        </w:rPr>
      </w:pPr>
      <w:r>
        <w:rPr>
          <w:rFonts w:eastAsia="Times New Roman"/>
        </w:rPr>
        <w:pict>
          <v:rect id="_x0000_i1042" style="width:0;height:1.5pt" o:hralign="center" o:hrstd="t" o:hr="t" fillcolor="#a0a0a0" stroked="f"/>
        </w:pict>
      </w:r>
    </w:p>
    <w:p w:rsidR="00000000" w:rsidRDefault="00D65F33">
      <w:pPr>
        <w:divId w:val="1914969259"/>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r>
        <w:rPr>
          <w:rFonts w:eastAsia="Times New Roman"/>
          <w:b/>
          <w:bCs/>
          <w:color w:val="000000"/>
          <w:sz w:val="20"/>
          <w:szCs w:val="20"/>
        </w:rPr>
        <w:t>Results of Operations</w:t>
      </w:r>
    </w:p>
    <w:p w:rsidR="00000000" w:rsidRDefault="00D65F33">
      <w:pPr>
        <w:jc w:val="both"/>
        <w:rPr>
          <w:rFonts w:eastAsia="Times New Roman"/>
        </w:rPr>
      </w:pPr>
    </w:p>
    <w:p w:rsidR="00000000" w:rsidRDefault="00D65F33">
      <w:pPr>
        <w:jc w:val="both"/>
        <w:divId w:val="665128598"/>
        <w:rPr>
          <w:rFonts w:eastAsia="Times New Roman"/>
        </w:rPr>
      </w:pPr>
      <w:r>
        <w:rPr>
          <w:rFonts w:eastAsia="Times New Roman"/>
          <w:color w:val="000000"/>
          <w:sz w:val="20"/>
          <w:szCs w:val="20"/>
        </w:rPr>
        <w:t>The following table presents a reconciliation of net loss to EBITDA and adjusted EBITDA:</w:t>
      </w:r>
    </w:p>
    <w:tbl>
      <w:tblPr>
        <w:tblW w:w="4978" w:type="pct"/>
        <w:tblCellMar>
          <w:top w:w="15" w:type="dxa"/>
          <w:left w:w="15" w:type="dxa"/>
          <w:bottom w:w="15" w:type="dxa"/>
          <w:right w:w="15" w:type="dxa"/>
        </w:tblCellMar>
        <w:tblLook w:val="04A0" w:firstRow="1" w:lastRow="0" w:firstColumn="1" w:lastColumn="0" w:noHBand="0" w:noVBand="1"/>
      </w:tblPr>
      <w:tblGrid>
        <w:gridCol w:w="39"/>
        <w:gridCol w:w="5616"/>
        <w:gridCol w:w="37"/>
        <w:gridCol w:w="36"/>
        <w:gridCol w:w="36"/>
        <w:gridCol w:w="36"/>
        <w:gridCol w:w="120"/>
        <w:gridCol w:w="826"/>
        <w:gridCol w:w="36"/>
        <w:gridCol w:w="36"/>
        <w:gridCol w:w="36"/>
        <w:gridCol w:w="36"/>
        <w:gridCol w:w="120"/>
        <w:gridCol w:w="791"/>
        <w:gridCol w:w="36"/>
        <w:gridCol w:w="36"/>
        <w:gridCol w:w="36"/>
        <w:gridCol w:w="36"/>
        <w:gridCol w:w="36"/>
        <w:gridCol w:w="36"/>
        <w:gridCol w:w="36"/>
        <w:gridCol w:w="36"/>
        <w:gridCol w:w="36"/>
        <w:gridCol w:w="36"/>
        <w:gridCol w:w="36"/>
        <w:gridCol w:w="36"/>
        <w:gridCol w:w="36"/>
      </w:tblGrid>
      <w:tr w:rsidR="00000000">
        <w:trPr>
          <w:divId w:val="805203349"/>
        </w:trPr>
        <w:tc>
          <w:tcPr>
            <w:tcW w:w="50" w:type="pct"/>
            <w:vAlign w:val="center"/>
            <w:hideMark/>
          </w:tcPr>
          <w:p w:rsidR="00000000" w:rsidRDefault="00D65F33">
            <w:pPr>
              <w:jc w:val="both"/>
              <w:rPr>
                <w:rFonts w:eastAsia="Times New Roman"/>
              </w:rPr>
            </w:pPr>
          </w:p>
        </w:tc>
        <w:tc>
          <w:tcPr>
            <w:tcW w:w="361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3"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6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c>
          <w:tcPr>
            <w:tcW w:w="0" w:type="auto"/>
            <w:gridSpan w:val="3"/>
            <w:vAlign w:val="center"/>
            <w:hideMark/>
          </w:tcPr>
          <w:p w:rsidR="00000000" w:rsidRDefault="00D65F33">
            <w:pPr>
              <w:spacing w:after="100"/>
              <w:jc w:val="center"/>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vAlign w:val="center"/>
            <w:hideMark/>
          </w:tcPr>
          <w:p w:rsidR="00000000" w:rsidRDefault="00D65F33">
            <w:pPr>
              <w:spacing w:after="100"/>
              <w:jc w:val="center"/>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(in thousands, unaudited)</w:t>
            </w: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loss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(6,429)</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(1,977)</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5,721 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5,587 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Interest expense, net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437 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622 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Benefit from income taxes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(83)</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EBITDA</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4,222 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ind w:hanging="180"/>
              <w:divId w:val="645667766"/>
              <w:rPr>
                <w:rFonts w:eastAsia="Times New Roman"/>
              </w:rPr>
            </w:pPr>
            <w:r>
              <w:rPr>
                <w:rFonts w:eastAsia="Times New Roman"/>
                <w:color w:val="000000"/>
                <w:sz w:val="20"/>
                <w:szCs w:val="20"/>
              </w:rPr>
              <w:t>Restaurant impairments, closure costs and asset disposals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1,389 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1,231 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1,169 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802 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805203349"/>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Adjusted EBITDA</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2,204 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6,255 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jc w:val="right"/>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bl>
    <w:p w:rsidR="00000000" w:rsidRDefault="00D65F33">
      <w:pPr>
        <w:divId w:val="291601350"/>
        <w:rPr>
          <w:rFonts w:eastAsia="Times New Roman"/>
        </w:rPr>
      </w:pPr>
      <w:r>
        <w:rPr>
          <w:rFonts w:eastAsia="Times New Roman"/>
          <w:color w:val="000000"/>
          <w:sz w:val="16"/>
          <w:szCs w:val="16"/>
        </w:rPr>
        <w:t>_____________________</w:t>
      </w:r>
    </w:p>
    <w:p w:rsidR="00000000" w:rsidRDefault="00D65F33">
      <w:pPr>
        <w:ind w:hanging="720"/>
        <w:jc w:val="both"/>
        <w:rPr>
          <w:rFonts w:eastAsia="Times New Roman"/>
        </w:rPr>
      </w:pPr>
      <w:r>
        <w:rPr>
          <w:rFonts w:eastAsia="Times New Roman"/>
          <w:color w:val="000000"/>
          <w:sz w:val="16"/>
          <w:szCs w:val="16"/>
        </w:rPr>
        <w:t>(1)Restaurant impairments and closure costs in all periods presented above include amounts related to restaurants previously impaired or closed. See Note 7, Restaurant Impairments, Closure Costs and Asset Disposals.</w:t>
      </w:r>
    </w:p>
    <w:p w:rsidR="00000000" w:rsidRDefault="00D65F33">
      <w:pPr>
        <w:divId w:val="223218099"/>
        <w:rPr>
          <w:rFonts w:eastAsia="Times New Roman"/>
        </w:rPr>
      </w:pPr>
    </w:p>
    <w:p w:rsidR="00000000" w:rsidRDefault="00D65F33">
      <w:pPr>
        <w:jc w:val="both"/>
        <w:divId w:val="587544454"/>
        <w:rPr>
          <w:rFonts w:eastAsia="Times New Roman"/>
        </w:rPr>
      </w:pPr>
      <w:r>
        <w:rPr>
          <w:rFonts w:eastAsia="Times New Roman"/>
          <w:b/>
          <w:bCs/>
          <w:i/>
          <w:iCs/>
          <w:color w:val="000000"/>
          <w:sz w:val="20"/>
          <w:szCs w:val="20"/>
        </w:rPr>
        <w:t>Restaurant</w:t>
      </w:r>
      <w:r>
        <w:rPr>
          <w:rFonts w:eastAsia="Times New Roman"/>
          <w:b/>
          <w:bCs/>
          <w:i/>
          <w:iCs/>
          <w:color w:val="000000"/>
          <w:sz w:val="20"/>
          <w:szCs w:val="20"/>
        </w:rPr>
        <w:t xml:space="preserve"> Openings, Closures and Relocations</w:t>
      </w:r>
    </w:p>
    <w:p w:rsidR="00000000" w:rsidRDefault="00D65F33">
      <w:pPr>
        <w:jc w:val="both"/>
        <w:rPr>
          <w:rFonts w:eastAsia="Times New Roman"/>
        </w:rPr>
      </w:pPr>
    </w:p>
    <w:p w:rsidR="00000000" w:rsidRDefault="00D65F33">
      <w:pPr>
        <w:jc w:val="both"/>
        <w:divId w:val="787966703"/>
        <w:rPr>
          <w:rFonts w:eastAsia="Times New Roman"/>
        </w:rPr>
      </w:pPr>
      <w:r>
        <w:rPr>
          <w:rFonts w:eastAsia="Times New Roman"/>
          <w:color w:val="000000"/>
          <w:sz w:val="20"/>
          <w:szCs w:val="20"/>
        </w:rPr>
        <w:t xml:space="preserve">The following table shows restaurants opened or closed during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55"/>
        <w:gridCol w:w="5751"/>
        <w:gridCol w:w="36"/>
        <w:gridCol w:w="36"/>
        <w:gridCol w:w="36"/>
        <w:gridCol w:w="36"/>
        <w:gridCol w:w="40"/>
        <w:gridCol w:w="901"/>
        <w:gridCol w:w="38"/>
        <w:gridCol w:w="37"/>
        <w:gridCol w:w="37"/>
        <w:gridCol w:w="36"/>
        <w:gridCol w:w="40"/>
        <w:gridCol w:w="902"/>
        <w:gridCol w:w="37"/>
        <w:gridCol w:w="36"/>
        <w:gridCol w:w="36"/>
        <w:gridCol w:w="36"/>
        <w:gridCol w:w="36"/>
        <w:gridCol w:w="36"/>
        <w:gridCol w:w="36"/>
        <w:gridCol w:w="36"/>
        <w:gridCol w:w="36"/>
      </w:tblGrid>
      <w:tr w:rsidR="00000000">
        <w:tc>
          <w:tcPr>
            <w:tcW w:w="50" w:type="pct"/>
            <w:vAlign w:val="center"/>
            <w:hideMark/>
          </w:tcPr>
          <w:p w:rsidR="00000000" w:rsidRDefault="00D65F33">
            <w:pPr>
              <w:jc w:val="both"/>
              <w:rPr>
                <w:rFonts w:eastAsia="Times New Roman"/>
              </w:rPr>
            </w:pPr>
          </w:p>
        </w:tc>
        <w:tc>
          <w:tcPr>
            <w:tcW w:w="359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0"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vAlign w:val="center"/>
            <w:hideMark/>
          </w:tcPr>
          <w:p w:rsidR="00000000" w:rsidRDefault="00D65F33">
            <w:pPr>
              <w:spacing w:after="100"/>
              <w:jc w:val="center"/>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20"/>
                <w:szCs w:val="20"/>
              </w:rPr>
              <w:t>Company-Owned Restaurant Activity</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vAlign w:val="center"/>
            <w:hideMark/>
          </w:tcPr>
          <w:p w:rsidR="00000000" w:rsidRDefault="00D65F33">
            <w:pPr>
              <w:spacing w:after="100"/>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378 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Openings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Closures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divId w:val="1851287121"/>
              <w:rPr>
                <w:rFonts w:eastAsia="Times New Roman"/>
              </w:rPr>
            </w:pPr>
            <w:r>
              <w:rPr>
                <w:rFonts w:eastAsia="Times New Roman"/>
                <w:color w:val="000000"/>
                <w:sz w:val="20"/>
                <w:szCs w:val="20"/>
              </w:rPr>
              <w:t>Divestitures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Restaurants at end of period</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20"/>
                <w:szCs w:val="20"/>
              </w:rPr>
              <w:t>Franchise Restaurant Activity</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vAlign w:val="center"/>
            <w:hideMark/>
          </w:tcPr>
          <w:p w:rsidR="00000000" w:rsidRDefault="00D65F33">
            <w:pPr>
              <w:spacing w:after="100"/>
              <w:rPr>
                <w:rFonts w:eastAsia="Times New Roman"/>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Beginning of period</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Openings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divId w:val="1245067173"/>
              <w:rPr>
                <w:rFonts w:eastAsia="Times New Roman"/>
              </w:rPr>
            </w:pPr>
            <w:r>
              <w:rPr>
                <w:rFonts w:eastAsia="Times New Roman"/>
                <w:color w:val="000000"/>
                <w:sz w:val="20"/>
                <w:szCs w:val="20"/>
              </w:rPr>
              <w:t>Acquisitions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Closures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Restaurants at end of period</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Total restaurants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vAlign w:val="center"/>
            <w:hideMark/>
          </w:tcPr>
          <w:p w:rsidR="00000000" w:rsidRDefault="00D65F33">
            <w:pPr>
              <w:spacing w:after="100"/>
              <w:jc w:val="right"/>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bl>
    <w:p w:rsidR="00000000" w:rsidRDefault="00D65F33">
      <w:pPr>
        <w:ind w:hanging="450"/>
        <w:divId w:val="554851265"/>
        <w:rPr>
          <w:rFonts w:eastAsia="Times New Roman"/>
        </w:rPr>
      </w:pPr>
      <w:r>
        <w:rPr>
          <w:rFonts w:eastAsia="Times New Roman"/>
          <w:color w:val="000000"/>
          <w:sz w:val="16"/>
          <w:szCs w:val="16"/>
        </w:rPr>
        <w:t>_____________________________</w:t>
      </w:r>
    </w:p>
    <w:p w:rsidR="00000000" w:rsidRDefault="00D65F33">
      <w:pPr>
        <w:ind w:hanging="720"/>
        <w:jc w:val="both"/>
        <w:rPr>
          <w:rFonts w:eastAsia="Times New Roman"/>
        </w:rPr>
      </w:pPr>
      <w:r>
        <w:rPr>
          <w:rFonts w:eastAsia="Times New Roman"/>
          <w:color w:val="000000"/>
          <w:sz w:val="16"/>
          <w:szCs w:val="16"/>
          <w:shd w:val="clear" w:color="auto" w:fill="FFFFFF"/>
        </w:rPr>
        <w:t>(1)</w:t>
      </w:r>
      <w:r>
        <w:rPr>
          <w:rFonts w:eastAsia="Times New Roman"/>
          <w:color w:val="000000"/>
          <w:sz w:val="16"/>
          <w:szCs w:val="16"/>
          <w:shd w:val="clear" w:color="auto" w:fill="FFFFFF"/>
        </w:rPr>
        <w:t xml:space="preserve">Represents fifteen company-owned restaurants sold to a franchisee in 2022. </w:t>
      </w:r>
    </w:p>
    <w:p w:rsidR="00000000" w:rsidRDefault="00D65F33">
      <w:pPr>
        <w:ind w:hanging="360"/>
        <w:jc w:val="both"/>
        <w:rPr>
          <w:rFonts w:eastAsia="Times New Roman"/>
        </w:rPr>
      </w:pPr>
    </w:p>
    <w:p w:rsidR="00000000" w:rsidRDefault="00D65F33">
      <w:pPr>
        <w:divId w:val="332798782"/>
        <w:rPr>
          <w:rFonts w:eastAsia="Times New Roman"/>
        </w:rPr>
      </w:pPr>
    </w:p>
    <w:p w:rsidR="00000000" w:rsidRDefault="00D65F33">
      <w:pPr>
        <w:jc w:val="center"/>
        <w:divId w:val="943733060"/>
        <w:rPr>
          <w:rFonts w:eastAsia="Times New Roman"/>
        </w:rPr>
      </w:pPr>
      <w:r>
        <w:rPr>
          <w:rFonts w:eastAsia="Times New Roman"/>
          <w:color w:val="000000"/>
          <w:sz w:val="20"/>
          <w:szCs w:val="20"/>
        </w:rPr>
        <w:t>18</w:t>
      </w:r>
    </w:p>
    <w:p w:rsidR="00000000" w:rsidRDefault="00D65F33">
      <w:pPr>
        <w:rPr>
          <w:rFonts w:eastAsia="Times New Roman"/>
        </w:rPr>
      </w:pPr>
      <w:r>
        <w:rPr>
          <w:rFonts w:eastAsia="Times New Roman"/>
        </w:rPr>
        <w:pict>
          <v:rect id="_x0000_i1043" style="width:0;height:1.5pt" o:hralign="center" o:hrstd="t" o:hr="t" fillcolor="#a0a0a0" stroked="f"/>
        </w:pict>
      </w:r>
    </w:p>
    <w:p w:rsidR="00000000" w:rsidRDefault="00D65F33">
      <w:pPr>
        <w:divId w:val="1807044060"/>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divId w:val="659310455"/>
        <w:rPr>
          <w:rFonts w:eastAsia="Times New Roman"/>
        </w:rPr>
      </w:pPr>
    </w:p>
    <w:p w:rsidR="00000000" w:rsidRDefault="00D65F33">
      <w:pPr>
        <w:divId w:val="803698763"/>
        <w:rPr>
          <w:rFonts w:eastAsia="Times New Roman"/>
        </w:rPr>
      </w:pPr>
      <w:r>
        <w:rPr>
          <w:rFonts w:eastAsia="Times New Roman"/>
          <w:b/>
          <w:bCs/>
          <w:i/>
          <w:iCs/>
          <w:color w:val="000000"/>
          <w:sz w:val="20"/>
          <w:szCs w:val="20"/>
        </w:rPr>
        <w:t>Statement of Operations as a Percentage of Revenue</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following table summarizes key components of our results of operations for the periods indicated as a percentage of our total revenue, except for the components of restaurant operating costs, which are expressed as a percentage of restaurant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5583"/>
        <w:gridCol w:w="38"/>
        <w:gridCol w:w="36"/>
        <w:gridCol w:w="36"/>
        <w:gridCol w:w="36"/>
        <w:gridCol w:w="42"/>
        <w:gridCol w:w="767"/>
        <w:gridCol w:w="188"/>
        <w:gridCol w:w="36"/>
        <w:gridCol w:w="36"/>
        <w:gridCol w:w="36"/>
        <w:gridCol w:w="42"/>
        <w:gridCol w:w="770"/>
        <w:gridCol w:w="188"/>
        <w:gridCol w:w="36"/>
        <w:gridCol w:w="36"/>
        <w:gridCol w:w="36"/>
        <w:gridCol w:w="36"/>
        <w:gridCol w:w="36"/>
        <w:gridCol w:w="36"/>
        <w:gridCol w:w="36"/>
        <w:gridCol w:w="36"/>
        <w:gridCol w:w="36"/>
        <w:gridCol w:w="36"/>
        <w:gridCol w:w="36"/>
        <w:gridCol w:w="36"/>
      </w:tblGrid>
      <w:tr w:rsidR="00000000">
        <w:trPr>
          <w:divId w:val="903369816"/>
        </w:trPr>
        <w:tc>
          <w:tcPr>
            <w:tcW w:w="50" w:type="pct"/>
            <w:vAlign w:val="center"/>
            <w:hideMark/>
          </w:tcPr>
          <w:p w:rsidR="00000000" w:rsidRDefault="00D65F33">
            <w:pPr>
              <w:jc w:val="both"/>
              <w:rPr>
                <w:rFonts w:eastAsia="Times New Roman"/>
              </w:rPr>
            </w:pPr>
          </w:p>
        </w:tc>
        <w:tc>
          <w:tcPr>
            <w:tcW w:w="3599"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0"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c>
          <w:tcPr>
            <w:tcW w:w="0" w:type="auto"/>
            <w:gridSpan w:val="3"/>
            <w:vAlign w:val="center"/>
            <w:hideMark/>
          </w:tcPr>
          <w:p w:rsidR="00000000" w:rsidRDefault="00D65F33">
            <w:pPr>
              <w:spacing w:after="100"/>
              <w:jc w:val="center"/>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vAlign w:val="center"/>
            <w:hideMark/>
          </w:tcPr>
          <w:p w:rsidR="00000000" w:rsidRDefault="00D65F33">
            <w:pPr>
              <w:spacing w:after="100"/>
              <w:jc w:val="center"/>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(unaudited)</w:t>
            </w: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c>
          <w:tcPr>
            <w:tcW w:w="0" w:type="auto"/>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vAlign w:val="center"/>
            <w:hideMark/>
          </w:tcPr>
          <w:p w:rsidR="00000000" w:rsidRDefault="00D65F33">
            <w:pPr>
              <w:spacing w:after="100"/>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97.7 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98.3 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CCEE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ind w:hanging="270"/>
              <w:divId w:val="1847355476"/>
              <w:rPr>
                <w:rFonts w:eastAsia="Times New Roman"/>
              </w:rPr>
            </w:pPr>
            <w:r>
              <w:rPr>
                <w:rFonts w:eastAsia="Times New Roman"/>
                <w:color w:val="000000"/>
                <w:sz w:val="20"/>
                <w:szCs w:val="20"/>
              </w:rPr>
              <w:t xml:space="preserve">Restaurant operating costs (exclusive of depreciation and amortization shown separately below): </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ind w:hanging="27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FFFF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28.0 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CCEE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32.3 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FFFF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CCEE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FFFF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Loss from operations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Loss before taxes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Benefit from income taxes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rPr>
          <w:divId w:val="903369816"/>
        </w:trPr>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loss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bl>
    <w:p w:rsidR="00000000" w:rsidRDefault="00D65F33">
      <w:pPr>
        <w:divId w:val="1591427435"/>
        <w:rPr>
          <w:rFonts w:eastAsia="Times New Roman"/>
        </w:rPr>
      </w:pPr>
    </w:p>
    <w:p w:rsidR="00000000" w:rsidRDefault="00D65F33">
      <w:pPr>
        <w:jc w:val="center"/>
        <w:divId w:val="1296330292"/>
        <w:rPr>
          <w:rFonts w:eastAsia="Times New Roman"/>
        </w:rPr>
      </w:pPr>
      <w:r>
        <w:rPr>
          <w:rFonts w:eastAsia="Times New Roman"/>
          <w:color w:val="000000"/>
          <w:sz w:val="20"/>
          <w:szCs w:val="20"/>
        </w:rPr>
        <w:t>19</w:t>
      </w:r>
    </w:p>
    <w:p w:rsidR="00000000" w:rsidRDefault="00D65F33">
      <w:pPr>
        <w:rPr>
          <w:rFonts w:eastAsia="Times New Roman"/>
        </w:rPr>
      </w:pPr>
      <w:r>
        <w:rPr>
          <w:rFonts w:eastAsia="Times New Roman"/>
        </w:rPr>
        <w:pict>
          <v:rect id="_x0000_i1044" style="width:0;height:1.5pt" o:hralign="center" o:hrstd="t" o:hr="t" fillcolor="#a0a0a0" stroked="f"/>
        </w:pict>
      </w:r>
    </w:p>
    <w:p w:rsidR="00000000" w:rsidRDefault="00D65F33">
      <w:pPr>
        <w:divId w:val="822771398"/>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r>
        <w:rPr>
          <w:rFonts w:eastAsia="Times New Roman"/>
          <w:b/>
          <w:bCs/>
          <w:color w:val="000000"/>
          <w:sz w:val="20"/>
          <w:szCs w:val="20"/>
        </w:rPr>
        <w:t xml:space="preserve">First Quarter Ended March 29, 2022 Compared to First Quarter Ended March 30, 2021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 xml:space="preserve">The table below presents our unaudited operating results for the first quarters of 2022 and 2021, and the related quarter-over-quarter changes. </w:t>
      </w:r>
    </w:p>
    <w:tbl>
      <w:tblPr>
        <w:tblW w:w="4992" w:type="pct"/>
        <w:tblCellMar>
          <w:top w:w="15" w:type="dxa"/>
          <w:left w:w="15" w:type="dxa"/>
          <w:bottom w:w="15" w:type="dxa"/>
          <w:right w:w="15" w:type="dxa"/>
        </w:tblCellMar>
        <w:tblLook w:val="04A0" w:firstRow="1" w:lastRow="0" w:firstColumn="1" w:lastColumn="0" w:noHBand="0" w:noVBand="1"/>
      </w:tblPr>
      <w:tblGrid>
        <w:gridCol w:w="41"/>
        <w:gridCol w:w="3609"/>
        <w:gridCol w:w="39"/>
        <w:gridCol w:w="36"/>
        <w:gridCol w:w="36"/>
        <w:gridCol w:w="36"/>
        <w:gridCol w:w="120"/>
        <w:gridCol w:w="802"/>
        <w:gridCol w:w="187"/>
        <w:gridCol w:w="36"/>
        <w:gridCol w:w="36"/>
        <w:gridCol w:w="36"/>
        <w:gridCol w:w="120"/>
        <w:gridCol w:w="804"/>
        <w:gridCol w:w="187"/>
        <w:gridCol w:w="36"/>
        <w:gridCol w:w="36"/>
        <w:gridCol w:w="36"/>
        <w:gridCol w:w="120"/>
        <w:gridCol w:w="804"/>
        <w:gridCol w:w="36"/>
        <w:gridCol w:w="36"/>
        <w:gridCol w:w="36"/>
        <w:gridCol w:w="36"/>
        <w:gridCol w:w="40"/>
        <w:gridCol w:w="765"/>
        <w:gridCol w:w="187"/>
      </w:tblGrid>
      <w:tr w:rsidR="00000000">
        <w:tc>
          <w:tcPr>
            <w:tcW w:w="50" w:type="pct"/>
            <w:vAlign w:val="center"/>
            <w:hideMark/>
          </w:tcPr>
          <w:p w:rsidR="00000000" w:rsidRDefault="00D65F33">
            <w:pPr>
              <w:jc w:val="both"/>
              <w:rPr>
                <w:rFonts w:eastAsia="Times New Roman"/>
              </w:rPr>
            </w:pPr>
          </w:p>
        </w:tc>
        <w:tc>
          <w:tcPr>
            <w:tcW w:w="225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1"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582"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Increase / (Decrease)</w:t>
            </w:r>
          </w:p>
        </w:tc>
      </w:tr>
      <w:tr w:rsidR="00000000">
        <w:trPr>
          <w:trHeight w:val="240"/>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c>
          <w:tcPr>
            <w:tcW w:w="0" w:type="auto"/>
            <w:gridSpan w:val="3"/>
            <w:vMerge w:val="restart"/>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vMerge w:val="restart"/>
            <w:tcBorders>
              <w:top w:val="single" w:sz="8" w:space="0" w:color="000000"/>
              <w:bottom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w:t>
            </w:r>
          </w:p>
        </w:tc>
      </w:tr>
      <w:tr w:rsidR="00000000">
        <w:trPr>
          <w:trHeight w:val="240"/>
        </w:trPr>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vMerge/>
            <w:tcBorders>
              <w:top w:val="single" w:sz="8" w:space="0" w:color="000000"/>
            </w:tcBorders>
            <w:vAlign w:val="center"/>
            <w:hideMark/>
          </w:tcPr>
          <w:p w:rsidR="00000000" w:rsidRDefault="00D65F3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D65F33">
            <w:pPr>
              <w:spacing w:after="100"/>
              <w:rPr>
                <w:rFonts w:eastAsia="Times New Roman"/>
              </w:rPr>
            </w:pPr>
          </w:p>
        </w:tc>
        <w:tc>
          <w:tcPr>
            <w:tcW w:w="0" w:type="auto"/>
            <w:gridSpan w:val="3"/>
            <w:vMerge/>
            <w:vAlign w:val="center"/>
            <w:hideMark/>
          </w:tcPr>
          <w:p w:rsidR="00000000" w:rsidRDefault="00D65F33">
            <w:pPr>
              <w:spacing w:after="100"/>
              <w:rPr>
                <w:rFonts w:eastAsia="Times New Roman"/>
              </w:rPr>
            </w:pPr>
          </w:p>
        </w:tc>
        <w:tc>
          <w:tcPr>
            <w:tcW w:w="0" w:type="auto"/>
            <w:gridSpan w:val="3"/>
            <w:vMerge/>
            <w:tcBorders>
              <w:top w:val="single" w:sz="8" w:space="0" w:color="000000"/>
              <w:bottom w:val="single" w:sz="8" w:space="0" w:color="000000"/>
            </w:tcBorders>
            <w:vAlign w:val="center"/>
            <w:hideMark/>
          </w:tcPr>
          <w:p w:rsidR="00000000" w:rsidRDefault="00D65F3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vMerge/>
            <w:tcBorders>
              <w:top w:val="single" w:sz="8" w:space="0" w:color="000000"/>
              <w:bottom w:val="single" w:sz="8" w:space="0" w:color="000000"/>
            </w:tcBorders>
            <w:vAlign w:val="center"/>
            <w:hideMark/>
          </w:tcPr>
          <w:p w:rsidR="00000000" w:rsidRDefault="00D65F33">
            <w:pPr>
              <w:spacing w:after="100"/>
              <w:rPr>
                <w:rFonts w:eastAsia="Times New Roman"/>
              </w:rPr>
            </w:pPr>
          </w:p>
        </w:tc>
      </w:tr>
      <w:tr w:rsidR="00000000">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(in thousands, unaudited)</w:t>
            </w:r>
          </w:p>
        </w:tc>
      </w:tr>
      <w:tr w:rsidR="00000000">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i/>
                <w:iCs/>
                <w:color w:val="000000"/>
                <w:sz w:val="20"/>
                <w:szCs w:val="20"/>
              </w:rPr>
              <w:t>Revenue:</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Restaurant revenue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109,961 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107,744 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2,217 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Franchising royalties and fees, and other</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2,601 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1,833 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768 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41.9 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Total revenue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112,562 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109,577 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2,985 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i/>
                <w:iCs/>
                <w:color w:val="000000"/>
                <w:sz w:val="20"/>
                <w:szCs w:val="20"/>
              </w:rPr>
              <w:t>Costs and expenses: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ind w:hanging="270"/>
              <w:divId w:val="1007634162"/>
              <w:rPr>
                <w:rFonts w:eastAsia="Times New Roman"/>
              </w:rPr>
            </w:pPr>
            <w:r>
              <w:rPr>
                <w:rFonts w:eastAsia="Times New Roman"/>
                <w:color w:val="000000"/>
                <w:sz w:val="20"/>
                <w:szCs w:val="20"/>
              </w:rPr>
              <w:t>Restaurant operating costs (exclusive of depreciation and amortization shown separately below):</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ind w:hanging="27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 </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30,771 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26,977 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3,794 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Labor</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35,493 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34,306 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1,187 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Occupancy</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11,149 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11,649 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(500)</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Other restaurant operating costs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21,866 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20,205 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1,661 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General and administrative</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11,840 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10,929 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911 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5,721 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5,587 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Pre-opening</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350 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Restaurant impairments, closure costs and asset disposals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1,389 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1,231 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158 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Total costs and expenses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118,637 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110,942 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7,695 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Loss from operations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(6,075)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(1,365)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(4,710)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vAlign w:val="center"/>
            <w:hideMark/>
          </w:tcPr>
          <w:p w:rsidR="00000000" w:rsidRDefault="00D65F33">
            <w:pPr>
              <w:spacing w:after="100"/>
              <w:jc w:val="right"/>
              <w:rPr>
                <w:rFonts w:eastAsia="Times New Roman"/>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c>
          <w:tcPr>
            <w:tcW w:w="0" w:type="auto"/>
            <w:gridSpan w:val="3"/>
            <w:vAlign w:val="center"/>
            <w:hideMark/>
          </w:tcPr>
          <w:p w:rsidR="00000000" w:rsidRDefault="00D65F33">
            <w:pPr>
              <w:spacing w:after="100"/>
              <w:rPr>
                <w:rFonts w:eastAsia="Times New Roman"/>
                <w:sz w:val="20"/>
                <w:szCs w:val="20"/>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Interest expense, net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437 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622 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(185)</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(29.7)</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Loss before taxes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(6,512)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(4,525)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Provision for income taxes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(83)</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loss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(6,429)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(1,977)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(4,452)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Company-owned:</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r>
      <w:tr w:rsidR="00000000">
        <w:tc>
          <w:tcPr>
            <w:tcW w:w="0" w:type="auto"/>
            <w:gridSpan w:val="3"/>
            <w:shd w:val="clear" w:color="auto" w:fill="CCEE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Average unit volume</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1,249 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1,170 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515"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Comparable restaurant sales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sz w:val="20"/>
                <w:szCs w:val="20"/>
              </w:rPr>
            </w:pPr>
          </w:p>
        </w:tc>
      </w:tr>
    </w:tbl>
    <w:p w:rsidR="00000000" w:rsidRDefault="00D65F33">
      <w:pPr>
        <w:divId w:val="1679917014"/>
        <w:rPr>
          <w:rFonts w:eastAsia="Times New Roman"/>
        </w:rPr>
      </w:pPr>
      <w:r>
        <w:rPr>
          <w:rFonts w:eastAsia="Times New Roman"/>
          <w:color w:val="000000"/>
          <w:sz w:val="16"/>
          <w:szCs w:val="16"/>
        </w:rPr>
        <w:t>________________</w:t>
      </w:r>
    </w:p>
    <w:p w:rsidR="00000000" w:rsidRDefault="00D65F33">
      <w:pPr>
        <w:ind w:hanging="1080"/>
        <w:divId w:val="1916667608"/>
        <w:rPr>
          <w:rFonts w:eastAsia="Times New Roman"/>
        </w:rPr>
      </w:pPr>
      <w:r>
        <w:rPr>
          <w:rFonts w:eastAsia="Times New Roman"/>
          <w:color w:val="000000"/>
          <w:sz w:val="16"/>
          <w:szCs w:val="16"/>
        </w:rPr>
        <w:t>*Not meaningful.</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Revenue</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Total revenue increased $3.0 million in the first quarter of 2022, or 2.7%, to $112.6 million, compared to $109.6 million in the first qu</w:t>
      </w:r>
      <w:r>
        <w:rPr>
          <w:rFonts w:eastAsia="Times New Roman"/>
          <w:color w:val="000000"/>
          <w:sz w:val="20"/>
          <w:szCs w:val="20"/>
          <w:shd w:val="clear" w:color="auto" w:fill="FFFFFF"/>
        </w:rPr>
        <w:t>arter of 2021. This increase was primarily due to sales growth in the comparable restaurant base in addition to new res</w:t>
      </w:r>
      <w:r>
        <w:rPr>
          <w:rFonts w:eastAsia="Times New Roman"/>
          <w:color w:val="000000"/>
          <w:sz w:val="20"/>
          <w:szCs w:val="20"/>
          <w:shd w:val="clear" w:color="auto" w:fill="FFFFFF"/>
        </w:rPr>
        <w:t>taurant openings, partially offset by temporary restaurant closures in the first part of the first quarter due to the Omicron variant of COVID-19, which accounted for a decline of sales of approximately $4.0 million. Total revenue was also partially offset</w:t>
      </w:r>
      <w:r>
        <w:rPr>
          <w:rFonts w:eastAsia="Times New Roman"/>
          <w:color w:val="000000"/>
          <w:sz w:val="20"/>
          <w:szCs w:val="20"/>
          <w:shd w:val="clear" w:color="auto" w:fill="FFFFFF"/>
        </w:rPr>
        <w:t xml:space="preserve"> by the refranchising of fifteen company-owned restaurants in January of 2022, which equated to approximately $3.0 million decline in sales in the first quarter of 2022. Sy</w:t>
      </w:r>
      <w:r>
        <w:rPr>
          <w:rFonts w:eastAsia="Times New Roman"/>
          <w:color w:val="000000"/>
          <w:sz w:val="20"/>
          <w:szCs w:val="20"/>
        </w:rPr>
        <w:t>stem-wide comparable restaurant sales increased</w:t>
      </w:r>
      <w:r>
        <w:rPr>
          <w:rFonts w:eastAsia="Times New Roman"/>
          <w:color w:val="000000"/>
          <w:sz w:val="20"/>
          <w:szCs w:val="20"/>
          <w:shd w:val="clear" w:color="auto" w:fill="FFFFFF"/>
        </w:rPr>
        <w:t xml:space="preserve"> 6.4%</w:t>
      </w:r>
      <w:r>
        <w:rPr>
          <w:rFonts w:eastAsia="Times New Roman"/>
          <w:color w:val="000000"/>
          <w:sz w:val="20"/>
          <w:szCs w:val="20"/>
        </w:rPr>
        <w:t xml:space="preserve"> in the first quarter of 2022 co</w:t>
      </w:r>
      <w:r>
        <w:rPr>
          <w:rFonts w:eastAsia="Times New Roman"/>
          <w:color w:val="000000"/>
          <w:sz w:val="20"/>
          <w:szCs w:val="20"/>
        </w:rPr>
        <w:t>mpared to the same period of 2021, comprise</w:t>
      </w:r>
      <w:r>
        <w:rPr>
          <w:rFonts w:eastAsia="Times New Roman"/>
          <w:color w:val="000000"/>
          <w:sz w:val="20"/>
          <w:szCs w:val="20"/>
          <w:shd w:val="clear" w:color="auto" w:fill="FFFFFF"/>
        </w:rPr>
        <w:t>d of a 5.3% increase at company-owned restaurants and an 11.9% increase at franchise-owned restaurants. The comparable restaurant sales increase in the first quarter of 2022 reflects continued momentum in both dig</w:t>
      </w:r>
      <w:r>
        <w:rPr>
          <w:rFonts w:eastAsia="Times New Roman"/>
          <w:color w:val="000000"/>
          <w:sz w:val="20"/>
          <w:szCs w:val="20"/>
          <w:shd w:val="clear" w:color="auto" w:fill="FFFFFF"/>
        </w:rPr>
        <w:t>ital and in-person channels.</w:t>
      </w:r>
    </w:p>
    <w:p w:rsidR="00000000" w:rsidRDefault="00D65F33">
      <w:pPr>
        <w:jc w:val="both"/>
        <w:rPr>
          <w:rFonts w:eastAsia="Times New Roman"/>
        </w:rPr>
      </w:pPr>
      <w:r>
        <w:rPr>
          <w:rFonts w:eastAsia="Times New Roman"/>
          <w:color w:val="000000"/>
          <w:sz w:val="20"/>
          <w:szCs w:val="20"/>
          <w:shd w:val="clear" w:color="auto" w:fill="FFFFFF"/>
        </w:rPr>
        <w:t xml:space="preserve">AUV increased year-over-year due to a pricing increase in the latter part of 2021, in addition to strong off-premise sales, including digital, and growth in dine-in sales.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Cost of Sales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Cost of sales increased by $3.8 mill</w:t>
      </w:r>
      <w:r>
        <w:rPr>
          <w:rFonts w:eastAsia="Times New Roman"/>
          <w:color w:val="000000"/>
          <w:sz w:val="20"/>
          <w:szCs w:val="20"/>
        </w:rPr>
        <w:t>ion, or 14.1%, in the first quarter of 2022 compared to the same period of 2021,</w:t>
      </w:r>
      <w:r>
        <w:rPr>
          <w:rFonts w:eastAsia="Times New Roman"/>
          <w:color w:val="000000"/>
          <w:sz w:val="20"/>
          <w:szCs w:val="20"/>
          <w:shd w:val="clear" w:color="auto" w:fill="FFFFFF"/>
        </w:rPr>
        <w:t xml:space="preserve"> due to the increase in restaurant revenue as well as increased commodity costs. As a percentage of restaurant revenue, cost of sales </w:t>
      </w:r>
    </w:p>
    <w:p w:rsidR="00000000" w:rsidRDefault="00D65F33">
      <w:pPr>
        <w:jc w:val="center"/>
        <w:divId w:val="549652826"/>
        <w:rPr>
          <w:rFonts w:eastAsia="Times New Roman"/>
        </w:rPr>
      </w:pPr>
      <w:r>
        <w:rPr>
          <w:rFonts w:eastAsia="Times New Roman"/>
          <w:color w:val="000000"/>
          <w:sz w:val="20"/>
          <w:szCs w:val="20"/>
        </w:rPr>
        <w:t>20</w:t>
      </w:r>
    </w:p>
    <w:p w:rsidR="00000000" w:rsidRDefault="00D65F33">
      <w:pPr>
        <w:rPr>
          <w:rFonts w:eastAsia="Times New Roman"/>
        </w:rPr>
      </w:pPr>
      <w:r>
        <w:rPr>
          <w:rFonts w:eastAsia="Times New Roman"/>
        </w:rPr>
        <w:pict>
          <v:rect id="_x0000_i1045" style="width:0;height:1.5pt" o:hralign="center" o:hrstd="t" o:hr="t" fillcolor="#a0a0a0" stroked="f"/>
        </w:pict>
      </w:r>
    </w:p>
    <w:p w:rsidR="00000000" w:rsidRDefault="00D65F33">
      <w:pPr>
        <w:divId w:val="55321377"/>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r>
        <w:rPr>
          <w:rFonts w:eastAsia="Times New Roman"/>
          <w:color w:val="000000"/>
          <w:sz w:val="20"/>
          <w:szCs w:val="20"/>
          <w:shd w:val="clear" w:color="auto" w:fill="FFFFFF"/>
        </w:rPr>
        <w:t>increased to 28.0% in the first quarter of 2022 compared to 25.0% in first quarter of 2021 primarily due to overall higher food and ingredient commodity pricing. particularly with o</w:t>
      </w:r>
      <w:r>
        <w:rPr>
          <w:rFonts w:eastAsia="Times New Roman"/>
          <w:color w:val="000000"/>
          <w:sz w:val="20"/>
          <w:szCs w:val="20"/>
          <w:shd w:val="clear" w:color="auto" w:fill="FFFFFF"/>
        </w:rPr>
        <w:t>ur chicken costs, offset slightly by supply chain savings initiatives</w:t>
      </w:r>
      <w:r>
        <w:rPr>
          <w:rFonts w:eastAsia="Times New Roman"/>
          <w:color w:val="000000"/>
          <w:sz w:val="20"/>
          <w:szCs w:val="20"/>
        </w:rPr>
        <w:t xml:space="preserve">.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Labor Costs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Labor costs increased by $1.2 million, or 3.5%, in the first quarter of 2022</w:t>
      </w:r>
      <w:r>
        <w:rPr>
          <w:rFonts w:eastAsia="Times New Roman"/>
          <w:color w:val="000000"/>
          <w:sz w:val="20"/>
          <w:szCs w:val="20"/>
          <w:shd w:val="clear" w:color="auto" w:fill="FFFFFF"/>
        </w:rPr>
        <w:t xml:space="preserve"> compared to the same period of 2021, due primarily to the increase in restaurant revenue as</w:t>
      </w:r>
      <w:r>
        <w:rPr>
          <w:rFonts w:eastAsia="Times New Roman"/>
          <w:color w:val="000000"/>
          <w:sz w:val="20"/>
          <w:szCs w:val="20"/>
          <w:shd w:val="clear" w:color="auto" w:fill="FFFFFF"/>
        </w:rPr>
        <w:t xml:space="preserve"> well as wage inflation. As a p</w:t>
      </w:r>
      <w:r>
        <w:rPr>
          <w:rFonts w:eastAsia="Times New Roman"/>
          <w:color w:val="000000"/>
          <w:sz w:val="20"/>
          <w:szCs w:val="20"/>
        </w:rPr>
        <w:t>erc</w:t>
      </w:r>
      <w:r>
        <w:rPr>
          <w:rFonts w:eastAsia="Times New Roman"/>
          <w:color w:val="000000"/>
          <w:sz w:val="20"/>
          <w:szCs w:val="20"/>
          <w:shd w:val="clear" w:color="auto" w:fill="FFFFFF"/>
        </w:rPr>
        <w:t>entage of restaurant revenue, labor costs increased to 32.3% in the first quarter of 2022 from 31.8% in the first quarter of 2021 as a result of increases in base wage inflation, which was partially offset by labor efficie</w:t>
      </w:r>
      <w:r>
        <w:rPr>
          <w:rFonts w:eastAsia="Times New Roman"/>
          <w:color w:val="000000"/>
          <w:sz w:val="20"/>
          <w:szCs w:val="20"/>
          <w:shd w:val="clear" w:color="auto" w:fill="FFFFFF"/>
        </w:rPr>
        <w:t>ncies. Further, due to the Omicron variant of COVID-19, we continued to experience a reduction in labor availability in some of the markets where we operate, which at times, resulted in inefficiencies in labor due to reduced operating hours and accelerated</w:t>
      </w:r>
      <w:r>
        <w:rPr>
          <w:rFonts w:eastAsia="Times New Roman"/>
          <w:color w:val="000000"/>
          <w:sz w:val="20"/>
          <w:szCs w:val="20"/>
          <w:shd w:val="clear" w:color="auto" w:fill="FFFFFF"/>
        </w:rPr>
        <w:t xml:space="preserve"> COVID-19 related sick-pay.</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Occupancy Costs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shd w:val="clear" w:color="auto" w:fill="FFFFFF"/>
        </w:rPr>
        <w:t xml:space="preserve">Occupancy costs decreased by $0.5 million, or 4.3%, in the first quarter of 2022 compared to the first quarter of 2021, primarily due to restaurants closed since the beginning of the first quarter of 2021 as </w:t>
      </w:r>
      <w:r>
        <w:rPr>
          <w:rFonts w:eastAsia="Times New Roman"/>
          <w:color w:val="000000"/>
          <w:sz w:val="20"/>
          <w:szCs w:val="20"/>
          <w:shd w:val="clear" w:color="auto" w:fill="FFFFFF"/>
        </w:rPr>
        <w:t>well as the impact of refranchising fifteen company-owned restaurants in January of 2022. As a percentage of revenue, occupancy costs decreased to 10.1% in the first quarter of 2022, compared to 10.8% in the first quarter of 2021 as a result of sales lever</w:t>
      </w:r>
      <w:r>
        <w:rPr>
          <w:rFonts w:eastAsia="Times New Roman"/>
          <w:color w:val="000000"/>
          <w:sz w:val="20"/>
          <w:szCs w:val="20"/>
          <w:shd w:val="clear" w:color="auto" w:fill="FFFFFF"/>
        </w:rPr>
        <w:t>age as well as the impact of the refranchising.</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Other Restaurant Operating Costs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Other restaura</w:t>
      </w:r>
      <w:r>
        <w:rPr>
          <w:rFonts w:eastAsia="Times New Roman"/>
          <w:color w:val="000000"/>
          <w:sz w:val="20"/>
          <w:szCs w:val="20"/>
          <w:shd w:val="clear" w:color="auto" w:fill="FFFFFF"/>
        </w:rPr>
        <w:t>nt operating costs increased by $1.7 million, or 8.2%, in the first quarter of 2022 compared to the first quarter of 2021, due to the increase in third-party</w:t>
      </w:r>
      <w:r>
        <w:rPr>
          <w:rFonts w:eastAsia="Times New Roman"/>
          <w:color w:val="000000"/>
          <w:sz w:val="20"/>
          <w:szCs w:val="20"/>
          <w:shd w:val="clear" w:color="auto" w:fill="FFFFFF"/>
        </w:rPr>
        <w:t xml:space="preserve"> delivery fees driven related to an increase in revenue, as well as in increases in utilities. As a percentage of restaurant revenue, other restaurant operating costs increased to 19.9% in the first quarter of 2022 compared to 18.8% in the first quarter of</w:t>
      </w:r>
      <w:r>
        <w:rPr>
          <w:rFonts w:eastAsia="Times New Roman"/>
          <w:color w:val="000000"/>
          <w:sz w:val="20"/>
          <w:szCs w:val="20"/>
          <w:shd w:val="clear" w:color="auto" w:fill="FFFFFF"/>
        </w:rPr>
        <w:t xml:space="preserve"> 2021. Third-party delivery fees were 6.2% and 5.7% of total revenue for the first quarters of 2022 and 2021, respectively.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General and Administrative Expense</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General and administrative expense increased by $0.9 million, or 8.3% in the first quarter of 2022 compared to the first quarter of 2021, du</w:t>
      </w:r>
      <w:r>
        <w:rPr>
          <w:rFonts w:eastAsia="Times New Roman"/>
          <w:color w:val="000000"/>
          <w:sz w:val="20"/>
          <w:szCs w:val="20"/>
          <w:shd w:val="clear" w:color="auto" w:fill="FFFFFF"/>
        </w:rPr>
        <w:t>e primarily to a return to normal business operations, partially offset by a decline in health insurance expense rel</w:t>
      </w:r>
      <w:r>
        <w:rPr>
          <w:rFonts w:eastAsia="Times New Roman"/>
          <w:color w:val="000000"/>
          <w:sz w:val="20"/>
          <w:szCs w:val="20"/>
          <w:shd w:val="clear" w:color="auto" w:fill="FFFFFF"/>
        </w:rPr>
        <w:t>ated to the Affordable Care Act (“ACA”). As a percentage of revenue, general and administrative expense increased to 10.5% in the first quarter of 2022 from 10.0% in the first quarter of 2021</w:t>
      </w:r>
      <w:r>
        <w:rPr>
          <w:rFonts w:eastAsia="Times New Roman"/>
          <w:color w:val="000000"/>
          <w:sz w:val="20"/>
          <w:szCs w:val="20"/>
        </w:rPr>
        <w:t>.</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Depreciation and Amortization</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shd w:val="clear" w:color="auto" w:fill="FFFFFF"/>
        </w:rPr>
        <w:t>Depreciation and amortization</w:t>
      </w:r>
      <w:r>
        <w:rPr>
          <w:rFonts w:eastAsia="Times New Roman"/>
          <w:color w:val="000000"/>
          <w:sz w:val="20"/>
          <w:szCs w:val="20"/>
          <w:shd w:val="clear" w:color="auto" w:fill="FFFFFF"/>
        </w:rPr>
        <w:t xml:space="preserve"> remained relatively flat in the first quarter of 2022 compared to the first quarter of 2021, due primarily to new asset additions for restaurants opened offsetting restaurant closures since the first quarter of 2021.</w:t>
      </w:r>
    </w:p>
    <w:p w:rsidR="00000000" w:rsidRDefault="00D65F33">
      <w:pPr>
        <w:divId w:val="753629641"/>
        <w:rPr>
          <w:rFonts w:eastAsia="Times New Roman"/>
        </w:rPr>
      </w:pPr>
    </w:p>
    <w:p w:rsidR="00000000" w:rsidRDefault="00D65F33">
      <w:pPr>
        <w:jc w:val="both"/>
        <w:rPr>
          <w:rFonts w:eastAsia="Times New Roman"/>
        </w:rPr>
      </w:pPr>
      <w:r>
        <w:rPr>
          <w:rFonts w:eastAsia="Times New Roman"/>
          <w:b/>
          <w:bCs/>
          <w:i/>
          <w:iCs/>
          <w:color w:val="000000"/>
          <w:sz w:val="20"/>
          <w:szCs w:val="20"/>
        </w:rPr>
        <w:t>Restaurant Impairments, Closure Cost</w:t>
      </w:r>
      <w:r>
        <w:rPr>
          <w:rFonts w:eastAsia="Times New Roman"/>
          <w:b/>
          <w:bCs/>
          <w:i/>
          <w:iCs/>
          <w:color w:val="000000"/>
          <w:sz w:val="20"/>
          <w:szCs w:val="20"/>
        </w:rPr>
        <w:t>s and Asset Disposals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shd w:val="clear" w:color="auto" w:fill="FFFFFF"/>
        </w:rPr>
        <w:t xml:space="preserve">Restaurant impairments, closure costs and asset disposals increased $0.2 million in the first quarter of 2022 compared to the first quarter of 2021. There were no restaurants impaired in the first quarter of 2022 and one restaurant </w:t>
      </w:r>
      <w:r>
        <w:rPr>
          <w:rFonts w:eastAsia="Times New Roman"/>
          <w:color w:val="000000"/>
          <w:sz w:val="20"/>
          <w:szCs w:val="20"/>
          <w:shd w:val="clear" w:color="auto" w:fill="FFFFFF"/>
        </w:rPr>
        <w:t xml:space="preserve">impaired in the first quarter of 2021. Both periods include disposals of assets in the normal course of business.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Interest Expense</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 xml:space="preserve">Interest expense decreased by $0.2 million in the first quarter of 2022 compared to the first quarter of 2021. </w:t>
      </w:r>
      <w:r>
        <w:rPr>
          <w:rFonts w:eastAsia="Times New Roman"/>
          <w:color w:val="000000"/>
          <w:sz w:val="20"/>
          <w:szCs w:val="20"/>
          <w:shd w:val="clear" w:color="auto" w:fill="FFFFFF"/>
        </w:rPr>
        <w:t>The decre</w:t>
      </w:r>
      <w:r>
        <w:rPr>
          <w:rFonts w:eastAsia="Times New Roman"/>
          <w:color w:val="000000"/>
          <w:sz w:val="20"/>
          <w:szCs w:val="20"/>
          <w:shd w:val="clear" w:color="auto" w:fill="FFFFFF"/>
        </w:rPr>
        <w:t xml:space="preserve">ase was due to lower average borrowings during the first quarter of 2022 compared to the first quarter of 2021.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Provision for Income Taxes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 effective tax rate for the first quarter of 2022 and for the first quarter of 2021 reflect the impact of the previously recorded valuation all</w:t>
      </w:r>
      <w:r>
        <w:rPr>
          <w:rFonts w:eastAsia="Times New Roman"/>
          <w:color w:val="000000"/>
          <w:sz w:val="20"/>
          <w:szCs w:val="20"/>
          <w:shd w:val="clear" w:color="auto" w:fill="FFFFFF"/>
        </w:rPr>
        <w:t>owance. For the remainder of fiscal 2022, we do not anticipate material income tax expense or benefit as a res</w:t>
      </w:r>
      <w:r>
        <w:rPr>
          <w:rFonts w:eastAsia="Times New Roman"/>
          <w:color w:val="000000"/>
          <w:sz w:val="20"/>
          <w:szCs w:val="20"/>
          <w:shd w:val="clear" w:color="auto" w:fill="FFFFFF"/>
        </w:rPr>
        <w:t>ult of the valuation allowance recorded. We will maintain a valuation allowance against deferred tax assets until there is sufficient evidence to support a full or partial reversal. The reversal of a previously recorded valuation allowance will generally r</w:t>
      </w:r>
      <w:r>
        <w:rPr>
          <w:rFonts w:eastAsia="Times New Roman"/>
          <w:color w:val="000000"/>
          <w:sz w:val="20"/>
          <w:szCs w:val="20"/>
          <w:shd w:val="clear" w:color="auto" w:fill="FFFFFF"/>
        </w:rPr>
        <w:t>esult in a benefit from income tax.</w:t>
      </w:r>
    </w:p>
    <w:p w:rsidR="00000000" w:rsidRDefault="00D65F33">
      <w:pPr>
        <w:jc w:val="both"/>
        <w:rPr>
          <w:rFonts w:eastAsia="Times New Roman"/>
        </w:rPr>
      </w:pPr>
    </w:p>
    <w:p w:rsidR="00000000" w:rsidRDefault="00D65F33">
      <w:pPr>
        <w:jc w:val="center"/>
        <w:divId w:val="941500639"/>
        <w:rPr>
          <w:rFonts w:eastAsia="Times New Roman"/>
        </w:rPr>
      </w:pPr>
      <w:r>
        <w:rPr>
          <w:rFonts w:eastAsia="Times New Roman"/>
          <w:color w:val="000000"/>
          <w:sz w:val="20"/>
          <w:szCs w:val="20"/>
        </w:rPr>
        <w:t>21</w:t>
      </w:r>
    </w:p>
    <w:p w:rsidR="00000000" w:rsidRDefault="00D65F33">
      <w:pPr>
        <w:rPr>
          <w:rFonts w:eastAsia="Times New Roman"/>
        </w:rPr>
      </w:pPr>
      <w:r>
        <w:rPr>
          <w:rFonts w:eastAsia="Times New Roman"/>
        </w:rPr>
        <w:pict>
          <v:rect id="_x0000_i1046" style="width:0;height:1.5pt" o:hralign="center" o:hrstd="t" o:hr="t" fillcolor="#a0a0a0" stroked="f"/>
        </w:pict>
      </w:r>
    </w:p>
    <w:p w:rsidR="00000000" w:rsidRDefault="00D65F33">
      <w:pPr>
        <w:divId w:val="1231305630"/>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r>
        <w:rPr>
          <w:rFonts w:eastAsia="Times New Roman"/>
          <w:b/>
          <w:bCs/>
          <w:color w:val="000000"/>
          <w:sz w:val="20"/>
          <w:szCs w:val="20"/>
        </w:rPr>
        <w:t>Liquidity and Capital Resources</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Summary of Cash Flows</w:t>
      </w:r>
    </w:p>
    <w:p w:rsidR="00000000" w:rsidRDefault="00D65F33">
      <w:pPr>
        <w:jc w:val="both"/>
        <w:divId w:val="1137187727"/>
        <w:rPr>
          <w:rFonts w:eastAsia="Times New Roman"/>
        </w:rPr>
      </w:pPr>
      <w:r>
        <w:rPr>
          <w:rFonts w:eastAsia="Times New Roman"/>
          <w:color w:val="000000"/>
          <w:sz w:val="20"/>
          <w:szCs w:val="20"/>
        </w:rPr>
        <w:t>As of March 29, 2022, our cash and cash equiv</w:t>
      </w:r>
      <w:r>
        <w:rPr>
          <w:rFonts w:eastAsia="Times New Roman"/>
          <w:color w:val="000000"/>
          <w:sz w:val="20"/>
          <w:szCs w:val="20"/>
        </w:rPr>
        <w:t xml:space="preserve">alents balance was $1.6 million and the amount available for future borrowings under our Second Amended Credit Facility was $58.0 million.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We have historically used cash and our revolving credit facility to fund capital expenditures for new restaurant openings, reinvest in our existing restaurants, invest in infrastructure and information technology and maintain working capital. Our working c</w:t>
      </w:r>
      <w:r>
        <w:rPr>
          <w:rFonts w:eastAsia="Times New Roman"/>
          <w:color w:val="000000"/>
          <w:sz w:val="20"/>
          <w:szCs w:val="20"/>
        </w:rPr>
        <w:t>apital position benefits from the fact that we generally collect cash from sales to customers the same day, or in the case of credit or debit card transactions, within several days of the related sale, and we typically have up to 30 days to pay our vendors</w:t>
      </w:r>
      <w:r>
        <w:rPr>
          <w:rFonts w:eastAsia="Times New Roman"/>
          <w:color w:val="000000"/>
          <w:sz w:val="20"/>
          <w:szCs w:val="20"/>
        </w:rPr>
        <w:t xml:space="preserve">.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We believe that we will be in compliance with our debt covenants and have sufficient sources of cash to meet our liquidity needs and capital resource requirements for at least the next twelve months, primarily through currently available cash and cash</w:t>
      </w:r>
      <w:r>
        <w:rPr>
          <w:rFonts w:eastAsia="Times New Roman"/>
          <w:color w:val="000000"/>
          <w:sz w:val="20"/>
          <w:szCs w:val="20"/>
        </w:rPr>
        <w:t xml:space="preserve"> equivalents and cash flows from operations.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Cash flows from operating, investing and financing activities are shown in the following table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112"/>
        <w:gridCol w:w="37"/>
        <w:gridCol w:w="36"/>
        <w:gridCol w:w="36"/>
        <w:gridCol w:w="36"/>
        <w:gridCol w:w="120"/>
        <w:gridCol w:w="1282"/>
        <w:gridCol w:w="36"/>
        <w:gridCol w:w="36"/>
        <w:gridCol w:w="36"/>
        <w:gridCol w:w="36"/>
        <w:gridCol w:w="120"/>
        <w:gridCol w:w="1284"/>
        <w:gridCol w:w="36"/>
      </w:tblGrid>
      <w:tr w:rsidR="00000000">
        <w:tc>
          <w:tcPr>
            <w:tcW w:w="50" w:type="pct"/>
            <w:vAlign w:val="center"/>
            <w:hideMark/>
          </w:tcPr>
          <w:p w:rsidR="00000000" w:rsidRDefault="00D65F33">
            <w:pPr>
              <w:jc w:val="both"/>
              <w:rPr>
                <w:rFonts w:eastAsia="Times New Roman"/>
              </w:rPr>
            </w:pPr>
          </w:p>
        </w:tc>
        <w:tc>
          <w:tcPr>
            <w:tcW w:w="3112"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24"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26"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824"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20"/>
                <w:szCs w:val="20"/>
              </w:rPr>
              <w:t> </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Fiscal Quarter Ended</w:t>
            </w:r>
          </w:p>
        </w:tc>
      </w:tr>
      <w:tr w:rsidR="00000000">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29,</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16"/>
                <w:szCs w:val="16"/>
              </w:rPr>
              <w:t>March 30,</w:t>
            </w:r>
            <w:r>
              <w:rPr>
                <w:rFonts w:eastAsia="Times New Roman"/>
                <w:b/>
                <w:bCs/>
                <w:color w:val="000000"/>
                <w:sz w:val="16"/>
                <w:szCs w:val="16"/>
              </w:rPr>
              <w:br/>
              <w:t>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cash (used in)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(6,060)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3,779 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cash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(6,835)</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(2,733)</w:t>
            </w:r>
          </w:p>
        </w:tc>
        <w:tc>
          <w:tcPr>
            <w:tcW w:w="0" w:type="auto"/>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12,241 </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(5,769)</w:t>
            </w:r>
          </w:p>
        </w:tc>
        <w:tc>
          <w:tcPr>
            <w:tcW w:w="0" w:type="auto"/>
            <w:shd w:val="clear" w:color="auto" w:fill="CCEEFF"/>
            <w:tcMar>
              <w:top w:w="30" w:type="dxa"/>
              <w:left w:w="0" w:type="dxa"/>
              <w:bottom w:w="30" w:type="dxa"/>
              <w:right w:w="20" w:type="dxa"/>
            </w:tcMar>
            <w:vAlign w:val="bottom"/>
            <w:hideMark/>
          </w:tcPr>
          <w:p w:rsidR="00000000" w:rsidRDefault="00D65F3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Net decrease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(654)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65F3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D65F33">
            <w:pPr>
              <w:spacing w:after="100"/>
              <w:jc w:val="right"/>
              <w:rPr>
                <w:rFonts w:eastAsia="Times New Roman"/>
              </w:rPr>
            </w:pPr>
            <w:r>
              <w:rPr>
                <w:rFonts w:eastAsia="Times New Roman"/>
                <w:color w:val="000000"/>
                <w:sz w:val="20"/>
                <w:szCs w:val="20"/>
              </w:rPr>
              <w:t>(4,723)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65F33">
            <w:pPr>
              <w:spacing w:after="100"/>
              <w:jc w:val="right"/>
              <w:rPr>
                <w:rFonts w:eastAsia="Times New Roman"/>
              </w:rPr>
            </w:pPr>
          </w:p>
        </w:tc>
      </w:tr>
    </w:tbl>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O</w:t>
      </w:r>
      <w:r>
        <w:rPr>
          <w:rFonts w:eastAsia="Times New Roman"/>
          <w:b/>
          <w:bCs/>
          <w:i/>
          <w:iCs/>
          <w:color w:val="000000"/>
          <w:sz w:val="20"/>
          <w:szCs w:val="20"/>
        </w:rPr>
        <w:t>perating Activities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shd w:val="clear" w:color="auto" w:fill="FFFFFF"/>
        </w:rPr>
        <w:t>Net cash used in operating activities was $6.1 million in the first quarter of 2022 compared to net cash provided by operating activities of $3.8 million in the first quarter of 2021. The decrease in operating cash flows resulted prim</w:t>
      </w:r>
      <w:r>
        <w:rPr>
          <w:rFonts w:eastAsia="Times New Roman"/>
          <w:color w:val="000000"/>
          <w:sz w:val="20"/>
          <w:szCs w:val="20"/>
          <w:shd w:val="clear" w:color="auto" w:fill="FFFFFF"/>
        </w:rPr>
        <w:t>arily from a decrease in net income, as well as working capital changes during the first quarter of 2022 compared to the prior period of 2021.</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shd w:val="clear" w:color="auto" w:fill="FFFFFF"/>
        </w:rPr>
        <w:t>Investing Activities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shd w:val="clear" w:color="auto" w:fill="FFFFFF"/>
        </w:rPr>
        <w:t>Net cash used in investing activities increased $4.1 million in the first quarter of 2022 from $2.7 million in the first quarter of 2021. This increase was primarily due to higher investments in new restaurant openings in the first quarter of 2022 compared</w:t>
      </w:r>
      <w:r>
        <w:rPr>
          <w:rFonts w:eastAsia="Times New Roman"/>
          <w:color w:val="000000"/>
          <w:sz w:val="20"/>
          <w:szCs w:val="20"/>
          <w:shd w:val="clear" w:color="auto" w:fill="FFFFFF"/>
        </w:rPr>
        <w:t xml:space="preserve"> to 2021.</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Financing Activities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shd w:val="clear" w:color="auto" w:fill="FFFFFF"/>
        </w:rPr>
        <w:t>Net cash provided by financing activities was $12.2 million in the first quarter of 2022 related to draws on our revolving credit facility of $13.8 million to fund new restaurant openings and seasonally lower restaurant o</w:t>
      </w:r>
      <w:r>
        <w:rPr>
          <w:rFonts w:eastAsia="Times New Roman"/>
          <w:color w:val="000000"/>
          <w:sz w:val="20"/>
          <w:szCs w:val="20"/>
          <w:shd w:val="clear" w:color="auto" w:fill="FFFFFF"/>
        </w:rPr>
        <w:t>perations, partially offset by repayments on our long-term debt and finance leases.</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Capital Resources</w:t>
      </w:r>
    </w:p>
    <w:p w:rsidR="00000000" w:rsidRDefault="00D65F33">
      <w:pPr>
        <w:jc w:val="both"/>
        <w:rPr>
          <w:rFonts w:eastAsia="Times New Roman"/>
        </w:rPr>
      </w:pPr>
    </w:p>
    <w:p w:rsidR="00000000" w:rsidRDefault="00D65F33">
      <w:pPr>
        <w:jc w:val="both"/>
        <w:rPr>
          <w:rFonts w:eastAsia="Times New Roman"/>
        </w:rPr>
      </w:pPr>
      <w:r>
        <w:rPr>
          <w:rFonts w:eastAsia="Times New Roman"/>
          <w:i/>
          <w:iCs/>
          <w:color w:val="000000"/>
          <w:sz w:val="20"/>
          <w:szCs w:val="20"/>
        </w:rPr>
        <w:t xml:space="preserve">Future Capital Expenditure Requirements. </w:t>
      </w:r>
      <w:r>
        <w:rPr>
          <w:rFonts w:eastAsia="Times New Roman"/>
          <w:color w:val="000000"/>
          <w:sz w:val="20"/>
          <w:szCs w:val="20"/>
        </w:rPr>
        <w:t>Our capital expenditure requirements are primarily dependent upon the pace of our real estate development pro</w:t>
      </w:r>
      <w:r>
        <w:rPr>
          <w:rFonts w:eastAsia="Times New Roman"/>
          <w:color w:val="000000"/>
          <w:sz w:val="20"/>
          <w:szCs w:val="20"/>
        </w:rPr>
        <w:t xml:space="preserve">gram and resulting new restaurant openings, costs for maintenance and remodeling of our existing restaurants as well as information technology expenses and other general corporate capital expenditures.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We estimate capital expenditures will be approximat</w:t>
      </w:r>
      <w:r>
        <w:rPr>
          <w:rFonts w:eastAsia="Times New Roman"/>
          <w:color w:val="000000"/>
          <w:sz w:val="20"/>
          <w:szCs w:val="20"/>
          <w:shd w:val="clear" w:color="auto" w:fill="FFFFFF"/>
        </w:rPr>
        <w:t>ely $30.0 million to $34.0 million for fi</w:t>
      </w:r>
      <w:r>
        <w:rPr>
          <w:rFonts w:eastAsia="Times New Roman"/>
          <w:color w:val="000000"/>
          <w:sz w:val="20"/>
          <w:szCs w:val="20"/>
        </w:rPr>
        <w:t xml:space="preserve">scal year 2022, primarily for the opening </w:t>
      </w:r>
      <w:r>
        <w:rPr>
          <w:rFonts w:eastAsia="Times New Roman"/>
          <w:color w:val="000000"/>
          <w:sz w:val="20"/>
          <w:szCs w:val="20"/>
          <w:shd w:val="clear" w:color="auto" w:fill="FFFFFF"/>
        </w:rPr>
        <w:t>of company-owned restaurants before any reductions for landlord reimbursements, reinvestment in existing restaurants and investments in technology. W</w:t>
      </w:r>
      <w:r>
        <w:rPr>
          <w:rFonts w:eastAsia="Times New Roman"/>
          <w:color w:val="000000"/>
          <w:sz w:val="20"/>
          <w:szCs w:val="20"/>
        </w:rPr>
        <w:t xml:space="preserve">e expect such capital expenditures to be funded by currently available cash and cash equivalents, cash flows from operations and if necessary, undrawn capacity under our revolving credit line. </w:t>
      </w:r>
    </w:p>
    <w:p w:rsidR="00000000" w:rsidRDefault="00D65F33">
      <w:pPr>
        <w:jc w:val="both"/>
        <w:rPr>
          <w:rFonts w:eastAsia="Times New Roman"/>
        </w:rPr>
      </w:pPr>
    </w:p>
    <w:p w:rsidR="00000000" w:rsidRDefault="00D65F33">
      <w:pPr>
        <w:jc w:val="both"/>
        <w:rPr>
          <w:rFonts w:eastAsia="Times New Roman"/>
        </w:rPr>
      </w:pPr>
      <w:r>
        <w:rPr>
          <w:rFonts w:eastAsia="Times New Roman"/>
          <w:i/>
          <w:iCs/>
          <w:color w:val="000000"/>
          <w:sz w:val="20"/>
          <w:szCs w:val="20"/>
        </w:rPr>
        <w:t xml:space="preserve">Current Resources. </w:t>
      </w:r>
      <w:r>
        <w:rPr>
          <w:rFonts w:eastAsia="Times New Roman"/>
          <w:color w:val="000000"/>
          <w:sz w:val="20"/>
          <w:szCs w:val="20"/>
        </w:rPr>
        <w:t>Our operations have not historically requ</w:t>
      </w:r>
      <w:r>
        <w:rPr>
          <w:rFonts w:eastAsia="Times New Roman"/>
          <w:color w:val="000000"/>
          <w:sz w:val="20"/>
          <w:szCs w:val="20"/>
        </w:rPr>
        <w:t xml:space="preserve">ired significant working capital and, like many restaurant companies, we operate with negative working capital. Restaurant sales are primarily paid for in cash or by credit or debit card, </w:t>
      </w:r>
    </w:p>
    <w:p w:rsidR="00000000" w:rsidRDefault="00D65F33">
      <w:pPr>
        <w:jc w:val="center"/>
        <w:divId w:val="1414283459"/>
        <w:rPr>
          <w:rFonts w:eastAsia="Times New Roman"/>
        </w:rPr>
      </w:pPr>
      <w:r>
        <w:rPr>
          <w:rFonts w:eastAsia="Times New Roman"/>
          <w:color w:val="000000"/>
          <w:sz w:val="20"/>
          <w:szCs w:val="20"/>
        </w:rPr>
        <w:t>22</w:t>
      </w:r>
    </w:p>
    <w:p w:rsidR="00000000" w:rsidRDefault="00D65F33">
      <w:pPr>
        <w:rPr>
          <w:rFonts w:eastAsia="Times New Roman"/>
        </w:rPr>
      </w:pPr>
      <w:r>
        <w:rPr>
          <w:rFonts w:eastAsia="Times New Roman"/>
        </w:rPr>
        <w:pict>
          <v:rect id="_x0000_i1047" style="width:0;height:1.5pt" o:hralign="center" o:hrstd="t" o:hr="t" fillcolor="#a0a0a0" stroked="f"/>
        </w:pict>
      </w:r>
    </w:p>
    <w:p w:rsidR="00000000" w:rsidRDefault="00D65F33">
      <w:pPr>
        <w:divId w:val="1119833287"/>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r>
        <w:rPr>
          <w:rFonts w:eastAsia="Times New Roman"/>
          <w:color w:val="000000"/>
          <w:sz w:val="20"/>
          <w:szCs w:val="20"/>
        </w:rPr>
        <w:t>and restaurant operations do not require significant inventories or receivables. In addition, we receive trade credit for the purchase of food, beverages and supplies, therefore reducing the need for increme</w:t>
      </w:r>
      <w:r>
        <w:rPr>
          <w:rFonts w:eastAsia="Times New Roman"/>
          <w:color w:val="000000"/>
          <w:sz w:val="20"/>
          <w:szCs w:val="20"/>
        </w:rPr>
        <w:t>ntal working capital to support growth.</w:t>
      </w:r>
    </w:p>
    <w:p w:rsidR="00000000" w:rsidRDefault="00D65F33">
      <w:pPr>
        <w:jc w:val="both"/>
        <w:rPr>
          <w:rFonts w:eastAsia="Times New Roman"/>
        </w:rPr>
      </w:pPr>
    </w:p>
    <w:p w:rsidR="00000000" w:rsidRDefault="00D65F33">
      <w:pPr>
        <w:jc w:val="both"/>
        <w:rPr>
          <w:rFonts w:eastAsia="Times New Roman"/>
        </w:rPr>
      </w:pPr>
      <w:r>
        <w:rPr>
          <w:rFonts w:eastAsia="Times New Roman"/>
          <w:i/>
          <w:iCs/>
          <w:color w:val="000000"/>
          <w:sz w:val="20"/>
          <w:szCs w:val="20"/>
        </w:rPr>
        <w:t>Liquidity</w:t>
      </w:r>
      <w:r>
        <w:rPr>
          <w:rFonts w:eastAsia="Times New Roman"/>
          <w:color w:val="000000"/>
          <w:sz w:val="20"/>
          <w:szCs w:val="20"/>
        </w:rPr>
        <w:t xml:space="preserve">. </w:t>
      </w:r>
      <w:r>
        <w:rPr>
          <w:rFonts w:eastAsia="Times New Roman"/>
          <w:color w:val="000000"/>
          <w:sz w:val="20"/>
          <w:szCs w:val="20"/>
          <w:shd w:val="clear" w:color="auto" w:fill="FFFFFF"/>
        </w:rPr>
        <w:t xml:space="preserve">As of </w:t>
      </w:r>
      <w:r>
        <w:rPr>
          <w:rFonts w:eastAsia="Times New Roman"/>
          <w:color w:val="000000"/>
          <w:sz w:val="20"/>
          <w:szCs w:val="20"/>
        </w:rPr>
        <w:t>March 29, 2022</w:t>
      </w:r>
      <w:r>
        <w:rPr>
          <w:rFonts w:eastAsia="Times New Roman"/>
          <w:color w:val="000000"/>
          <w:sz w:val="20"/>
          <w:szCs w:val="20"/>
          <w:shd w:val="clear" w:color="auto" w:fill="FFFFFF"/>
        </w:rPr>
        <w:t xml:space="preserve">, we had a cash balance of $1.6 million compared to $2.3 million as </w:t>
      </w:r>
      <w:r>
        <w:rPr>
          <w:rFonts w:eastAsia="Times New Roman"/>
          <w:color w:val="000000"/>
          <w:sz w:val="20"/>
          <w:szCs w:val="20"/>
        </w:rPr>
        <w:t>of December 28, 2021. The amount available for future borrowings under our Second Amended Credit Facility was $58.0</w:t>
      </w:r>
      <w:r>
        <w:rPr>
          <w:rFonts w:eastAsia="Times New Roman"/>
          <w:color w:val="000000"/>
          <w:sz w:val="20"/>
          <w:szCs w:val="20"/>
        </w:rPr>
        <w:t xml:space="preserve"> million. We believe that our current cash and cash equivalents, the expected cash flows from company-owned restaurant operations, the expected franchise fees and royalties and available borrowings under the credit facility will be sufficient to fund our c</w:t>
      </w:r>
      <w:r>
        <w:rPr>
          <w:rFonts w:eastAsia="Times New Roman"/>
          <w:color w:val="000000"/>
          <w:sz w:val="20"/>
          <w:szCs w:val="20"/>
        </w:rPr>
        <w:t xml:space="preserve">ash requirements for working capital needs, new restaurant openings, and capital improvements and maintenance of existing restaurants for at least the next twelve months.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Credit Facility</w:t>
      </w:r>
    </w:p>
    <w:p w:rsidR="00000000" w:rsidRDefault="00D65F33">
      <w:pPr>
        <w:jc w:val="both"/>
        <w:rPr>
          <w:rFonts w:eastAsia="Times New Roman"/>
        </w:rPr>
      </w:pPr>
    </w:p>
    <w:p w:rsidR="00000000" w:rsidRDefault="00D65F33">
      <w:pPr>
        <w:jc w:val="both"/>
        <w:divId w:val="144931964"/>
        <w:rPr>
          <w:rFonts w:eastAsia="Times New Roman"/>
        </w:rPr>
      </w:pPr>
      <w:r>
        <w:rPr>
          <w:rFonts w:eastAsia="Times New Roman"/>
          <w:color w:val="000000"/>
          <w:sz w:val="20"/>
          <w:szCs w:val="20"/>
        </w:rPr>
        <w:t>In November of 2019, we amended our 2018 Credit Facility by ente</w:t>
      </w:r>
      <w:r>
        <w:rPr>
          <w:rFonts w:eastAsia="Times New Roman"/>
          <w:color w:val="000000"/>
          <w:sz w:val="20"/>
          <w:szCs w:val="20"/>
        </w:rPr>
        <w:t>ring into that certain First Amendment to Credit Agreement (the “Amendment” and the 2018 Credit Facility, as amended, the “First Amended Credit Facility”). Among other things, the Amendment: (i) extended the maturity date to November 20, 2024; (ii) increas</w:t>
      </w:r>
      <w:r>
        <w:rPr>
          <w:rFonts w:eastAsia="Times New Roman"/>
          <w:color w:val="000000"/>
          <w:sz w:val="20"/>
          <w:szCs w:val="20"/>
        </w:rPr>
        <w:t>ed the revolving credit facility from $65.0 million to $75.0 million; (iii) delayed step downs of the Company’s leverage covenant; and (iv) increased the limit on capital expenditures to $37.0 million in 2020 and to $45.0 million in 2021 and each fiscal ye</w:t>
      </w:r>
      <w:r>
        <w:rPr>
          <w:rFonts w:eastAsia="Times New Roman"/>
          <w:color w:val="000000"/>
          <w:sz w:val="20"/>
          <w:szCs w:val="20"/>
        </w:rPr>
        <w:t>ar thereafter. Upon execution of the First Amended Credit Facility, the Company repaid in full its outstanding indebtedness under its prior credit facility using funds drawn on the First Amended Credit Facility. Upon repayment, the prior credit facility an</w:t>
      </w:r>
      <w:r>
        <w:rPr>
          <w:rFonts w:eastAsia="Times New Roman"/>
          <w:color w:val="000000"/>
          <w:sz w:val="20"/>
          <w:szCs w:val="20"/>
        </w:rPr>
        <w:t xml:space="preserve">d all related agreements were terminated. </w:t>
      </w:r>
    </w:p>
    <w:p w:rsidR="00000000" w:rsidRDefault="00D65F33">
      <w:pPr>
        <w:jc w:val="both"/>
        <w:rPr>
          <w:rFonts w:eastAsia="Times New Roman"/>
        </w:rPr>
      </w:pPr>
      <w:r>
        <w:rPr>
          <w:rFonts w:eastAsia="Times New Roman"/>
          <w:color w:val="000000"/>
          <w:sz w:val="20"/>
          <w:szCs w:val="20"/>
        </w:rPr>
        <w:t>On June 16, 2020 (the “Effective Date”), the Company amended its First Amended Credit Facility by entering into the Second Amendment to the Credit Agreement (the “Second Amendment” and the First Amended Credit Fac</w:t>
      </w:r>
      <w:r>
        <w:rPr>
          <w:rFonts w:eastAsia="Times New Roman"/>
          <w:color w:val="000000"/>
          <w:sz w:val="20"/>
          <w:szCs w:val="20"/>
        </w:rPr>
        <w:t>ility, as amended, the “Second Amended Credit Facility”). Beginning on the Effective Date and through the third quarter of 2021 (the “Amendment Period”), borrowings under the Second Amended Credit Facility, including the term loan facility, bore interest a</w:t>
      </w:r>
      <w:r>
        <w:rPr>
          <w:rFonts w:eastAsia="Times New Roman"/>
          <w:color w:val="000000"/>
          <w:sz w:val="20"/>
          <w:szCs w:val="20"/>
        </w:rPr>
        <w:t xml:space="preserve">t LIBOR plus 3.25% per annum. Following the Amendment Period, borrowings bore interest at LIBOR plus a margin of 2.00% to 3.00% per annum, based upon the consolidated total lease-adjusted leverage ratio. Among other things, the Second Amendment (i) waives </w:t>
      </w:r>
      <w:r>
        <w:rPr>
          <w:rFonts w:eastAsia="Times New Roman"/>
          <w:color w:val="000000"/>
          <w:sz w:val="20"/>
          <w:szCs w:val="20"/>
        </w:rPr>
        <w:t>the lease-adjusted leverage ratio and fixed charge ratio covenants through the first quarter of 2021; (ii) amends the Company’s lease-adjusted leverage ratio and fixed coverage ratio covenant thresholds beginning in the second quarter of 2021 through the t</w:t>
      </w:r>
      <w:r>
        <w:rPr>
          <w:rFonts w:eastAsia="Times New Roman"/>
          <w:color w:val="000000"/>
          <w:sz w:val="20"/>
          <w:szCs w:val="20"/>
        </w:rPr>
        <w:t>hird quarter of 2022 and the first quarter of 2022, respectively and (iii) limits capital expenditures to $12.0 million in 2020, $12.0 million plus a liquidity-based performance basket up to an additional $12.0 million in 2021, $34.0 million in 2022, $37.0</w:t>
      </w:r>
      <w:r>
        <w:rPr>
          <w:rFonts w:eastAsia="Times New Roman"/>
          <w:color w:val="000000"/>
          <w:sz w:val="20"/>
          <w:szCs w:val="20"/>
        </w:rPr>
        <w:t xml:space="preserve"> million in 2023 and $45.0 million annually thereafter.</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As of March 29, 2022, we had $35.3 million of indebtedness (excluding $1.2 million of unamortized debt issuance costs) and $3.2 million of letters of credit outstanding under the Second Amended Cred</w:t>
      </w:r>
      <w:r>
        <w:rPr>
          <w:rFonts w:eastAsia="Times New Roman"/>
          <w:color w:val="000000"/>
          <w:sz w:val="20"/>
          <w:szCs w:val="20"/>
        </w:rPr>
        <w:t xml:space="preserve">it Facility. The term loan requires principal payments of $375,000 per quarter through the third quarter of 2022, $531,250 per quarter through the third quarter of 2023 and $625,000 per quarter thereafter through maturity. </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Our Second Amended Credit Facility is secured by a pledge of stock of substantially all of our subsidiaries and a lien on substantially all of our and our subsidiaries’ personal property assets.</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Off-Balance Sheet Arrangements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We had no off-balance shee</w:t>
      </w:r>
      <w:r>
        <w:rPr>
          <w:rFonts w:eastAsia="Times New Roman"/>
          <w:color w:val="000000"/>
          <w:sz w:val="20"/>
          <w:szCs w:val="20"/>
        </w:rPr>
        <w:t>t arrangements or obligations as of March 29, 2022.</w:t>
      </w: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rPr>
        <w:t>Critical Accounting Policies and Estimates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Our condensed consolidated financial statements and accompanying notes are prepared in accordance with GAAP. Preparing consolidated financial statements requ</w:t>
      </w:r>
      <w:r>
        <w:rPr>
          <w:rFonts w:eastAsia="Times New Roman"/>
          <w:color w:val="000000"/>
          <w:sz w:val="20"/>
          <w:szCs w:val="20"/>
        </w:rPr>
        <w:t>ires us to make estimates and assumptions that affect the reported amounts of assets, liabilities, revenue and expenses. These estimates and assumptions are affected by the application of our accounting policies. Our significant accounting policies are des</w:t>
      </w:r>
      <w:r>
        <w:rPr>
          <w:rFonts w:eastAsia="Times New Roman"/>
          <w:color w:val="000000"/>
          <w:sz w:val="20"/>
          <w:szCs w:val="20"/>
        </w:rPr>
        <w:t>cribed in our Annual Report on Form 10-K for the year ended December 28, 2021. Critical accounting estimates are those that require application of management’s most difficult, subjective or complex judgments, often as a result of matters that are inherentl</w:t>
      </w:r>
      <w:r>
        <w:rPr>
          <w:rFonts w:eastAsia="Times New Roman"/>
          <w:color w:val="000000"/>
          <w:sz w:val="20"/>
          <w:szCs w:val="20"/>
        </w:rPr>
        <w:t>y uncertain and may change in subsequent periods. While we apply our judgment based on assumptions believed to be reasonable under the circumstances, actual results could vary from these assumptions. It is possible that materially different amounts would b</w:t>
      </w:r>
      <w:r>
        <w:rPr>
          <w:rFonts w:eastAsia="Times New Roman"/>
          <w:color w:val="000000"/>
          <w:sz w:val="20"/>
          <w:szCs w:val="20"/>
        </w:rPr>
        <w:t>e reported using different assumptions. Our critical accounting estimates are identified and described in our annual consolidated financial statements and the related notes included in our Annual Report on Form 10-K for our fiscal year ended December 28, 2</w:t>
      </w:r>
      <w:r>
        <w:rPr>
          <w:rFonts w:eastAsia="Times New Roman"/>
          <w:color w:val="000000"/>
          <w:sz w:val="20"/>
          <w:szCs w:val="20"/>
        </w:rPr>
        <w:t xml:space="preserve">021. </w:t>
      </w:r>
    </w:p>
    <w:p w:rsidR="00000000" w:rsidRDefault="00D65F33">
      <w:pPr>
        <w:jc w:val="both"/>
        <w:rPr>
          <w:rFonts w:eastAsia="Times New Roman"/>
        </w:rPr>
      </w:pPr>
    </w:p>
    <w:p w:rsidR="00000000" w:rsidRDefault="00D65F33">
      <w:pPr>
        <w:jc w:val="center"/>
        <w:divId w:val="1333140657"/>
        <w:rPr>
          <w:rFonts w:eastAsia="Times New Roman"/>
        </w:rPr>
      </w:pPr>
      <w:r>
        <w:rPr>
          <w:rFonts w:eastAsia="Times New Roman"/>
          <w:color w:val="000000"/>
          <w:sz w:val="20"/>
          <w:szCs w:val="20"/>
        </w:rPr>
        <w:t>23</w:t>
      </w:r>
    </w:p>
    <w:p w:rsidR="00000000" w:rsidRDefault="00D65F33">
      <w:pPr>
        <w:rPr>
          <w:rFonts w:eastAsia="Times New Roman"/>
        </w:rPr>
      </w:pPr>
      <w:r>
        <w:rPr>
          <w:rFonts w:eastAsia="Times New Roman"/>
        </w:rPr>
        <w:pict>
          <v:rect id="_x0000_i1048" style="width:0;height:1.5pt" o:hralign="center" o:hrstd="t" o:hr="t" fillcolor="#a0a0a0" stroked="f"/>
        </w:pict>
      </w:r>
    </w:p>
    <w:p w:rsidR="00000000" w:rsidRDefault="00D65F33">
      <w:pPr>
        <w:divId w:val="1352880468"/>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divId w:val="267542544"/>
        <w:rPr>
          <w:rFonts w:eastAsia="Times New Roman"/>
        </w:rPr>
      </w:pPr>
      <w:r>
        <w:rPr>
          <w:rFonts w:eastAsia="Times New Roman"/>
          <w:b/>
          <w:bCs/>
          <w:color w:val="000000"/>
          <w:sz w:val="20"/>
          <w:szCs w:val="20"/>
        </w:rPr>
        <w:t>Item 3. Quantitative and Qualitative Disclosures about Market Risk</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Interest Rate Risk</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 xml:space="preserve">We are exposed to market risk from changes in interest rates on debt. Our exposure to interest rate fluctuations is limited to our outstanding bank debt, which bears </w:t>
      </w:r>
      <w:r>
        <w:rPr>
          <w:rFonts w:eastAsia="Times New Roman"/>
          <w:color w:val="000000"/>
          <w:sz w:val="20"/>
          <w:szCs w:val="20"/>
        </w:rPr>
        <w:t>interest at variable rates. As of March 29, 2022, we had $35.3 million of outstanding borrowings under our credit facility. An increase or decrease of 1.0% in the effective interest rate applied on these loans would have resulted in a pre-tax interest expe</w:t>
      </w:r>
      <w:r>
        <w:rPr>
          <w:rFonts w:eastAsia="Times New Roman"/>
          <w:color w:val="000000"/>
          <w:sz w:val="20"/>
          <w:szCs w:val="20"/>
          <w:shd w:val="clear" w:color="auto" w:fill="FFFFFF"/>
        </w:rPr>
        <w:t xml:space="preserve">nse fluctuation of approximately $0.4 million on an annualized basis. </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Commodity Price Risk</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We purchase certain products that are affected by commodity prices and are, therefore, subject to price volatility caused by weather, market conditions and othe</w:t>
      </w:r>
      <w:r>
        <w:rPr>
          <w:rFonts w:eastAsia="Times New Roman"/>
          <w:color w:val="000000"/>
          <w:sz w:val="20"/>
          <w:szCs w:val="20"/>
        </w:rPr>
        <w:t>r factors which are not considered predictable or within our control. Although these products are subject to changes in commodity prices, certain purchasing contracts or pricing arrangements contain risk management techniques designed to minimize price vol</w:t>
      </w:r>
      <w:r>
        <w:rPr>
          <w:rFonts w:eastAsia="Times New Roman"/>
          <w:color w:val="000000"/>
          <w:sz w:val="20"/>
          <w:szCs w:val="20"/>
        </w:rPr>
        <w:t>atility. However, during the first quarter of 2022, due to the volatility in several commodity markets and driven by vendor availability, many of our contracts were shorter duration than typical and, in some cases, were based on floating rate prices rather</w:t>
      </w:r>
      <w:r>
        <w:rPr>
          <w:rFonts w:eastAsia="Times New Roman"/>
          <w:color w:val="000000"/>
          <w:sz w:val="20"/>
          <w:szCs w:val="20"/>
        </w:rPr>
        <w:t xml:space="preserve"> than fixed rate. As a result, we saw higher cost of food in the first quarter than in prior quarters. Despite these increases, we believe we have material pricing power with our guests that allows us to adjust our menu pricing or change our product delive</w:t>
      </w:r>
      <w:r>
        <w:rPr>
          <w:rFonts w:eastAsia="Times New Roman"/>
          <w:color w:val="000000"/>
          <w:sz w:val="20"/>
          <w:szCs w:val="20"/>
        </w:rPr>
        <w:t>ry strategy without impact to the demand for our brand. However, increases in commodity prices, without adjustments to our menu prices, have and could continue to increase restaurant operating costs as a percentage of restaurant revenue.</w:t>
      </w:r>
    </w:p>
    <w:p w:rsidR="00000000" w:rsidRDefault="00D65F33">
      <w:pPr>
        <w:jc w:val="both"/>
        <w:rPr>
          <w:rFonts w:eastAsia="Times New Roman"/>
        </w:rPr>
      </w:pPr>
    </w:p>
    <w:p w:rsidR="00000000" w:rsidRDefault="00D65F33">
      <w:pPr>
        <w:jc w:val="both"/>
        <w:rPr>
          <w:rFonts w:eastAsia="Times New Roman"/>
        </w:rPr>
      </w:pPr>
      <w:r>
        <w:rPr>
          <w:rFonts w:eastAsia="Times New Roman"/>
          <w:b/>
          <w:bCs/>
          <w:i/>
          <w:iCs/>
          <w:color w:val="000000"/>
          <w:sz w:val="20"/>
          <w:szCs w:val="20"/>
        </w:rPr>
        <w:t>Inflation</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 xml:space="preserve">The </w:t>
      </w:r>
      <w:r>
        <w:rPr>
          <w:rFonts w:eastAsia="Times New Roman"/>
          <w:color w:val="000000"/>
          <w:sz w:val="20"/>
          <w:szCs w:val="20"/>
        </w:rPr>
        <w:t>primary inflationary factors affecting our operations are food, labor costs, energy costs and materials used in the construction of new restaurants. Increases in the minimum wage requirements directly affect our labor costs. Many of our leases require us t</w:t>
      </w:r>
      <w:r>
        <w:rPr>
          <w:rFonts w:eastAsia="Times New Roman"/>
          <w:color w:val="000000"/>
          <w:sz w:val="20"/>
          <w:szCs w:val="20"/>
        </w:rPr>
        <w:t>o pay taxes, maintenance, repairs, insurance and utilities, all of which are generally subject</w:t>
      </w:r>
      <w:r>
        <w:rPr>
          <w:rFonts w:eastAsia="Times New Roman"/>
          <w:color w:val="000000"/>
          <w:sz w:val="20"/>
          <w:szCs w:val="20"/>
          <w:shd w:val="clear" w:color="auto" w:fill="FFFFFF"/>
        </w:rPr>
        <w:t xml:space="preserve"> to inflationary increases. Finally, the cost of constructing our restaurants is subject to inflationary increases in the costs of labor and material. Over the pa</w:t>
      </w:r>
      <w:r>
        <w:rPr>
          <w:rFonts w:eastAsia="Times New Roman"/>
          <w:color w:val="000000"/>
          <w:sz w:val="20"/>
          <w:szCs w:val="20"/>
          <w:shd w:val="clear" w:color="auto" w:fill="FFFFFF"/>
        </w:rPr>
        <w:t xml:space="preserve">st five years, inflation has not significantly affected our operating results with the exception of the current commodity inflation experienced in the first quarter of 2022 and increased wage inflation that affected our results from 2017 through the first </w:t>
      </w:r>
      <w:r>
        <w:rPr>
          <w:rFonts w:eastAsia="Times New Roman"/>
          <w:color w:val="000000"/>
          <w:sz w:val="20"/>
          <w:szCs w:val="20"/>
          <w:shd w:val="clear" w:color="auto" w:fill="FFFFFF"/>
        </w:rPr>
        <w:t xml:space="preserve">quarter of 2022. We expect wage inflation may continue to affect our results in the near future. </w:t>
      </w:r>
    </w:p>
    <w:p w:rsidR="00000000" w:rsidRDefault="00D65F33">
      <w:pPr>
        <w:jc w:val="both"/>
        <w:rPr>
          <w:rFonts w:eastAsia="Times New Roman"/>
        </w:rPr>
      </w:pPr>
    </w:p>
    <w:p w:rsidR="00000000" w:rsidRDefault="00D65F33">
      <w:pPr>
        <w:divId w:val="1481848866"/>
        <w:rPr>
          <w:rFonts w:eastAsia="Times New Roman"/>
        </w:rPr>
      </w:pPr>
      <w:r>
        <w:rPr>
          <w:rFonts w:eastAsia="Times New Roman"/>
          <w:b/>
          <w:bCs/>
          <w:color w:val="000000"/>
          <w:sz w:val="20"/>
          <w:szCs w:val="20"/>
        </w:rPr>
        <w:t>Item 4. Controls and Procedures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O</w:t>
      </w:r>
      <w:r>
        <w:rPr>
          <w:rFonts w:eastAsia="Times New Roman"/>
          <w:color w:val="000000"/>
          <w:sz w:val="20"/>
          <w:szCs w:val="20"/>
          <w:shd w:val="clear" w:color="auto" w:fill="FFFFFF"/>
        </w:rPr>
        <w:t>ur management carried out an evaluation, under the supervision and with the participation of our chief executive officer and chief financial officer, of the effectiven</w:t>
      </w:r>
      <w:r>
        <w:rPr>
          <w:rFonts w:eastAsia="Times New Roman"/>
          <w:color w:val="000000"/>
          <w:sz w:val="20"/>
          <w:szCs w:val="20"/>
        </w:rPr>
        <w:t>ess of the design and operation of our disclosure controls and procedures as of March 29,</w:t>
      </w:r>
      <w:r>
        <w:rPr>
          <w:rFonts w:eastAsia="Times New Roman"/>
          <w:color w:val="000000"/>
          <w:sz w:val="20"/>
          <w:szCs w:val="20"/>
        </w:rPr>
        <w:t xml:space="preserve"> 2022, pursuant to Rule 13a-15 under the Exchange Act. In designing and evaluating the disclosure controls and procedures, management recognized that any controls and procedures, no matter how well designed and operated, can provide only reasonable assuran</w:t>
      </w:r>
      <w:r>
        <w:rPr>
          <w:rFonts w:eastAsia="Times New Roman"/>
          <w:color w:val="000000"/>
          <w:sz w:val="20"/>
          <w:szCs w:val="20"/>
        </w:rPr>
        <w:t>ce of achieving the desired control objectives. In addition, the design of disclosure controls and procedures must reflect the fact that there are resource constraints and that management is required to apply its judgment in evaluating the benefits of poss</w:t>
      </w:r>
      <w:r>
        <w:rPr>
          <w:rFonts w:eastAsia="Times New Roman"/>
          <w:color w:val="000000"/>
          <w:sz w:val="20"/>
          <w:szCs w:val="20"/>
        </w:rPr>
        <w:t>ible controls and procedures relative to their costs.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Based on that evaluation, our chief executive officer and chief financial officer</w:t>
      </w:r>
      <w:r>
        <w:rPr>
          <w:rFonts w:eastAsia="Times New Roman"/>
          <w:color w:val="000000"/>
          <w:sz w:val="20"/>
          <w:szCs w:val="20"/>
          <w:shd w:val="clear" w:color="auto" w:fill="FFFFFF"/>
        </w:rPr>
        <w:t xml:space="preserve"> concluded</w:t>
      </w:r>
      <w:r>
        <w:rPr>
          <w:rFonts w:eastAsia="Times New Roman"/>
          <w:color w:val="000000"/>
          <w:sz w:val="20"/>
          <w:szCs w:val="20"/>
        </w:rPr>
        <w:t xml:space="preserve"> that our disclosure controls and procedures are effective to provide reasonable assurance that information w</w:t>
      </w:r>
      <w:r>
        <w:rPr>
          <w:rFonts w:eastAsia="Times New Roman"/>
          <w:color w:val="000000"/>
          <w:sz w:val="20"/>
          <w:szCs w:val="20"/>
        </w:rPr>
        <w:t>e are required to disclose in reports that we file or submit under the Exchange Act is recorded, processed, summarized and reported within the time periods specified in SEC rules and forms, and that such information is accumulated and communicated to our m</w:t>
      </w:r>
      <w:r>
        <w:rPr>
          <w:rFonts w:eastAsia="Times New Roman"/>
          <w:color w:val="000000"/>
          <w:sz w:val="20"/>
          <w:szCs w:val="20"/>
        </w:rPr>
        <w:t>anagement, including our chief executive officer and chief financial officer, as appropriate, to allow timely decisions regarding required disclosure.</w:t>
      </w:r>
    </w:p>
    <w:p w:rsidR="00000000" w:rsidRDefault="00D65F33">
      <w:pPr>
        <w:divId w:val="437262322"/>
        <w:rPr>
          <w:rFonts w:eastAsia="Times New Roman"/>
        </w:rPr>
      </w:pPr>
    </w:p>
    <w:p w:rsidR="00000000" w:rsidRDefault="00D65F33">
      <w:pPr>
        <w:divId w:val="1074821390"/>
        <w:rPr>
          <w:rFonts w:eastAsia="Times New Roman"/>
        </w:rPr>
      </w:pPr>
      <w:r>
        <w:rPr>
          <w:rFonts w:eastAsia="Times New Roman"/>
          <w:b/>
          <w:bCs/>
          <w:i/>
          <w:iCs/>
          <w:color w:val="000000"/>
          <w:sz w:val="20"/>
          <w:szCs w:val="20"/>
        </w:rPr>
        <w:t>Changes in Internal Control over Financial Reporting</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There have been no changes in our internal contr</w:t>
      </w:r>
      <w:r>
        <w:rPr>
          <w:rFonts w:eastAsia="Times New Roman"/>
          <w:color w:val="000000"/>
          <w:sz w:val="20"/>
          <w:szCs w:val="20"/>
        </w:rPr>
        <w:t>ol over financial reporting (as defined in Rule 13a-15(f) of the Exchange Act) that occurred during our most recent fiscal quarter that have materially affected, or are reasonably likely to materially affect, our internal control over financial reporting.</w:t>
      </w:r>
    </w:p>
    <w:p w:rsidR="00000000" w:rsidRDefault="00D65F33">
      <w:pPr>
        <w:divId w:val="967515469"/>
        <w:rPr>
          <w:rFonts w:eastAsia="Times New Roman"/>
        </w:rPr>
      </w:pPr>
    </w:p>
    <w:p w:rsidR="00000000" w:rsidRDefault="00D65F33">
      <w:pPr>
        <w:jc w:val="center"/>
        <w:divId w:val="479538522"/>
        <w:rPr>
          <w:rFonts w:eastAsia="Times New Roman"/>
        </w:rPr>
      </w:pPr>
      <w:r>
        <w:rPr>
          <w:rFonts w:eastAsia="Times New Roman"/>
          <w:color w:val="000000"/>
          <w:sz w:val="20"/>
          <w:szCs w:val="20"/>
        </w:rPr>
        <w:t>24</w:t>
      </w:r>
    </w:p>
    <w:p w:rsidR="00000000" w:rsidRDefault="00D65F33">
      <w:pPr>
        <w:rPr>
          <w:rFonts w:eastAsia="Times New Roman"/>
        </w:rPr>
      </w:pPr>
      <w:r>
        <w:rPr>
          <w:rFonts w:eastAsia="Times New Roman"/>
        </w:rPr>
        <w:pict>
          <v:rect id="_x0000_i1049" style="width:0;height:1.5pt" o:hralign="center" o:hrstd="t" o:hr="t" fillcolor="#a0a0a0" stroked="f"/>
        </w:pict>
      </w:r>
    </w:p>
    <w:p w:rsidR="00000000" w:rsidRDefault="00D65F33">
      <w:pPr>
        <w:divId w:val="1208687497"/>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rPr>
        <w:t>PART II</w:t>
      </w:r>
    </w:p>
    <w:p w:rsidR="00000000" w:rsidRDefault="00D65F33">
      <w:pPr>
        <w:divId w:val="1212229861"/>
        <w:rPr>
          <w:rFonts w:eastAsia="Times New Roman"/>
        </w:rPr>
      </w:pPr>
    </w:p>
    <w:p w:rsidR="00000000" w:rsidRDefault="00D65F33">
      <w:pPr>
        <w:jc w:val="both"/>
        <w:rPr>
          <w:rFonts w:eastAsia="Times New Roman"/>
        </w:rPr>
      </w:pPr>
      <w:r>
        <w:rPr>
          <w:rFonts w:eastAsia="Times New Roman"/>
          <w:b/>
          <w:bCs/>
          <w:color w:val="000000"/>
          <w:sz w:val="20"/>
          <w:szCs w:val="20"/>
        </w:rPr>
        <w:t>Item 1. Legal Proceedings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 xml:space="preserve">We are currently not a party to any material legal proceedings. From time to time, we may become </w:t>
      </w:r>
      <w:r>
        <w:rPr>
          <w:rFonts w:eastAsia="Times New Roman"/>
          <w:color w:val="000000"/>
          <w:sz w:val="20"/>
          <w:szCs w:val="20"/>
        </w:rPr>
        <w:t>involved in legal proceedings arising in the ordinary course of our business. Regardless of outcome, litigation can have an adverse impact on us due to defense and settlement costs, diversion of management resources, negative publicity, reputational harm a</w:t>
      </w:r>
      <w:r>
        <w:rPr>
          <w:rFonts w:eastAsia="Times New Roman"/>
          <w:color w:val="000000"/>
          <w:sz w:val="20"/>
          <w:szCs w:val="20"/>
        </w:rPr>
        <w:t>nd other factors, and there can be no assurances that favorable outcomes will be obtained.</w:t>
      </w: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rPr>
        <w:t>Item 1A. Risk Factors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A description of the risk factors associated with our business is contained in the “Risk Factors” section of our</w:t>
      </w:r>
      <w:r>
        <w:rPr>
          <w:rFonts w:eastAsia="Times New Roman"/>
          <w:i/>
          <w:iCs/>
          <w:color w:val="000000"/>
          <w:sz w:val="20"/>
          <w:szCs w:val="20"/>
        </w:rPr>
        <w:t xml:space="preserve"> </w:t>
      </w:r>
      <w:r>
        <w:rPr>
          <w:rFonts w:eastAsia="Times New Roman"/>
          <w:color w:val="000000"/>
          <w:sz w:val="20"/>
          <w:szCs w:val="20"/>
        </w:rPr>
        <w:t>Annual Report on Form 10-K for our fiscal year ended December 28, 2021. There have been no material changes to our Risk Factors as previously reported in our Annual Report on Form 10-K for our fiscal year ended December 28, 2021</w:t>
      </w:r>
      <w:r>
        <w:rPr>
          <w:rFonts w:eastAsia="Times New Roman"/>
          <w:color w:val="000000"/>
          <w:sz w:val="20"/>
          <w:szCs w:val="20"/>
          <w:shd w:val="clear" w:color="auto" w:fill="FFFFFF"/>
        </w:rPr>
        <w:t>.</w:t>
      </w: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rPr>
        <w:t>Item 2. Unregistered Sal</w:t>
      </w:r>
      <w:r>
        <w:rPr>
          <w:rFonts w:eastAsia="Times New Roman"/>
          <w:b/>
          <w:bCs/>
          <w:color w:val="000000"/>
          <w:sz w:val="20"/>
          <w:szCs w:val="20"/>
        </w:rPr>
        <w:t>es of Equity Securities and Use of Proceeds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None.</w:t>
      </w: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rPr>
        <w:t>Item 3. Defaults upon Senior Securities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None.</w:t>
      </w: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rPr>
        <w:t>Item 4. Mine Safety Disclosures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Not applicable.</w:t>
      </w:r>
    </w:p>
    <w:p w:rsidR="00000000" w:rsidRDefault="00D65F33">
      <w:pPr>
        <w:jc w:val="both"/>
        <w:rPr>
          <w:rFonts w:eastAsia="Times New Roman"/>
        </w:rPr>
      </w:pPr>
    </w:p>
    <w:p w:rsidR="00000000" w:rsidRDefault="00D65F33">
      <w:pPr>
        <w:jc w:val="both"/>
        <w:rPr>
          <w:rFonts w:eastAsia="Times New Roman"/>
        </w:rPr>
      </w:pPr>
      <w:r>
        <w:rPr>
          <w:rFonts w:eastAsia="Times New Roman"/>
          <w:b/>
          <w:bCs/>
          <w:color w:val="000000"/>
          <w:sz w:val="20"/>
          <w:szCs w:val="20"/>
        </w:rPr>
        <w:t>Item 5. Other Information</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 xml:space="preserve">None. </w:t>
      </w:r>
    </w:p>
    <w:p w:rsidR="00000000" w:rsidRDefault="00D65F33">
      <w:pPr>
        <w:jc w:val="both"/>
        <w:rPr>
          <w:rFonts w:eastAsia="Times New Roman"/>
        </w:rPr>
      </w:pPr>
    </w:p>
    <w:p w:rsidR="00000000" w:rsidRDefault="00D65F33">
      <w:pPr>
        <w:jc w:val="center"/>
        <w:divId w:val="1724406028"/>
        <w:rPr>
          <w:rFonts w:eastAsia="Times New Roman"/>
        </w:rPr>
      </w:pPr>
      <w:r>
        <w:rPr>
          <w:rFonts w:eastAsia="Times New Roman"/>
          <w:color w:val="000000"/>
          <w:sz w:val="20"/>
          <w:szCs w:val="20"/>
        </w:rPr>
        <w:t>25</w:t>
      </w:r>
    </w:p>
    <w:p w:rsidR="00000000" w:rsidRDefault="00D65F33">
      <w:pPr>
        <w:rPr>
          <w:rFonts w:eastAsia="Times New Roman"/>
        </w:rPr>
      </w:pPr>
      <w:r>
        <w:rPr>
          <w:rFonts w:eastAsia="Times New Roman"/>
        </w:rPr>
        <w:pict>
          <v:rect id="_x0000_i1050" style="width:0;height:1.5pt" o:hralign="center" o:hrstd="t" o:hr="t" fillcolor="#a0a0a0" stroked="f"/>
        </w:pict>
      </w:r>
    </w:p>
    <w:p w:rsidR="00000000" w:rsidRDefault="00D65F33">
      <w:pPr>
        <w:divId w:val="1545025647"/>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both"/>
        <w:rPr>
          <w:rFonts w:eastAsia="Times New Roman"/>
        </w:rPr>
      </w:pPr>
      <w:r>
        <w:rPr>
          <w:rFonts w:eastAsia="Times New Roman"/>
          <w:b/>
          <w:bCs/>
          <w:color w:val="000000"/>
          <w:sz w:val="20"/>
          <w:szCs w:val="20"/>
        </w:rPr>
        <w:t xml:space="preserve">Item 6. Exhibit Index </w:t>
      </w:r>
    </w:p>
    <w:tbl>
      <w:tblPr>
        <w:tblW w:w="4985" w:type="pct"/>
        <w:tblCellMar>
          <w:top w:w="15" w:type="dxa"/>
          <w:left w:w="15" w:type="dxa"/>
          <w:bottom w:w="15" w:type="dxa"/>
          <w:right w:w="15" w:type="dxa"/>
        </w:tblCellMar>
        <w:tblLook w:val="04A0" w:firstRow="1" w:lastRow="0" w:firstColumn="1" w:lastColumn="0" w:noHBand="0" w:noVBand="1"/>
      </w:tblPr>
      <w:tblGrid>
        <w:gridCol w:w="80"/>
        <w:gridCol w:w="703"/>
        <w:gridCol w:w="37"/>
        <w:gridCol w:w="36"/>
        <w:gridCol w:w="57"/>
        <w:gridCol w:w="36"/>
        <w:gridCol w:w="61"/>
        <w:gridCol w:w="7235"/>
        <w:gridCol w:w="36"/>
      </w:tblGrid>
      <w:tr w:rsidR="00000000">
        <w:tc>
          <w:tcPr>
            <w:tcW w:w="50" w:type="pct"/>
            <w:vAlign w:val="center"/>
            <w:hideMark/>
          </w:tcPr>
          <w:p w:rsidR="00000000" w:rsidRDefault="00D65F33">
            <w:pPr>
              <w:jc w:val="both"/>
              <w:rPr>
                <w:rFonts w:eastAsia="Times New Roman"/>
              </w:rPr>
            </w:pPr>
          </w:p>
        </w:tc>
        <w:tc>
          <w:tcPr>
            <w:tcW w:w="443"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5"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c>
          <w:tcPr>
            <w:tcW w:w="50" w:type="pct"/>
            <w:vAlign w:val="center"/>
            <w:hideMark/>
          </w:tcPr>
          <w:p w:rsidR="00000000" w:rsidRDefault="00D65F33">
            <w:pPr>
              <w:spacing w:after="100"/>
              <w:rPr>
                <w:rFonts w:eastAsia="Times New Roman"/>
                <w:sz w:val="20"/>
                <w:szCs w:val="20"/>
              </w:rPr>
            </w:pPr>
          </w:p>
        </w:tc>
        <w:tc>
          <w:tcPr>
            <w:tcW w:w="4380" w:type="pct"/>
            <w:vAlign w:val="center"/>
            <w:hideMark/>
          </w:tcPr>
          <w:p w:rsidR="00000000" w:rsidRDefault="00D65F33">
            <w:pPr>
              <w:spacing w:after="100"/>
              <w:rPr>
                <w:rFonts w:eastAsia="Times New Roman"/>
                <w:sz w:val="20"/>
                <w:szCs w:val="20"/>
              </w:rPr>
            </w:pPr>
          </w:p>
        </w:tc>
        <w:tc>
          <w:tcPr>
            <w:tcW w:w="5" w:type="pct"/>
            <w:vAlign w:val="center"/>
            <w:hideMark/>
          </w:tcPr>
          <w:p w:rsidR="00000000" w:rsidRDefault="00D65F33">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20"/>
                <w:szCs w:val="20"/>
              </w:rPr>
              <w:t>Exhibit Number</w:t>
            </w:r>
          </w:p>
        </w:tc>
        <w:tc>
          <w:tcPr>
            <w:tcW w:w="0" w:type="auto"/>
            <w:gridSpan w:val="3"/>
            <w:tcMar>
              <w:top w:w="0" w:type="dxa"/>
              <w:left w:w="20" w:type="dxa"/>
              <w:bottom w:w="0" w:type="dxa"/>
              <w:right w:w="20" w:type="dxa"/>
            </w:tcMar>
            <w:vAlign w:val="center"/>
            <w:hideMark/>
          </w:tcPr>
          <w:p w:rsidR="00000000" w:rsidRDefault="00D65F3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jc w:val="center"/>
              <w:rPr>
                <w:rFonts w:eastAsia="Times New Roman"/>
              </w:rPr>
            </w:pPr>
            <w:r>
              <w:rPr>
                <w:rFonts w:eastAsia="Times New Roman"/>
                <w:b/>
                <w:bCs/>
                <w:color w:val="000000"/>
                <w:sz w:val="20"/>
                <w:szCs w:val="20"/>
              </w:rPr>
              <w:t>Description of Exhibit</w:t>
            </w:r>
          </w:p>
        </w:tc>
      </w:tr>
      <w:tr w:rsidR="00000000">
        <w:tc>
          <w:tcPr>
            <w:tcW w:w="0" w:type="auto"/>
            <w:gridSpan w:val="2"/>
            <w:tcMar>
              <w:top w:w="30" w:type="dxa"/>
              <w:left w:w="20" w:type="dxa"/>
              <w:bottom w:w="30" w:type="dxa"/>
              <w:right w:w="0" w:type="dxa"/>
            </w:tcMar>
            <w:hideMark/>
          </w:tcPr>
          <w:p w:rsidR="00000000" w:rsidRDefault="00D65F33">
            <w:pPr>
              <w:spacing w:after="100"/>
              <w:jc w:val="right"/>
              <w:rPr>
                <w:rFonts w:eastAsia="Times New Roman"/>
              </w:rPr>
            </w:pPr>
            <w:r>
              <w:rPr>
                <w:rFonts w:eastAsia="Times New Roman"/>
                <w:color w:val="000000"/>
                <w:sz w:val="20"/>
                <w:szCs w:val="20"/>
              </w:rPr>
              <w:t>10.1 </w:t>
            </w:r>
          </w:p>
        </w:tc>
        <w:tc>
          <w:tcPr>
            <w:tcW w:w="0" w:type="auto"/>
            <w:tcMar>
              <w:top w:w="30" w:type="dxa"/>
              <w:left w:w="0" w:type="dxa"/>
              <w:bottom w:w="30" w:type="dxa"/>
              <w:right w:w="20" w:type="dxa"/>
            </w:tcMar>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D65F33">
            <w:pPr>
              <w:spacing w:after="100"/>
              <w:divId w:val="1680040141"/>
              <w:rPr>
                <w:rFonts w:eastAsia="Times New Roman"/>
              </w:rPr>
            </w:pPr>
            <w:hyperlink r:id="rId4" w:history="1">
              <w:r>
                <w:rPr>
                  <w:rStyle w:val="a3"/>
                  <w:rFonts w:eastAsia="Times New Roman"/>
                  <w:sz w:val="20"/>
                  <w:szCs w:val="20"/>
                </w:rPr>
                <w:t>Form of 2022 Performance Restricted Stock Unit Agreement</w:t>
              </w:r>
            </w:hyperlink>
          </w:p>
        </w:tc>
      </w:tr>
      <w:tr w:rsidR="00000000">
        <w:tc>
          <w:tcPr>
            <w:tcW w:w="0" w:type="auto"/>
            <w:gridSpan w:val="2"/>
            <w:tcMar>
              <w:top w:w="30" w:type="dxa"/>
              <w:left w:w="20" w:type="dxa"/>
              <w:bottom w:w="30" w:type="dxa"/>
              <w:right w:w="0" w:type="dxa"/>
            </w:tcMar>
            <w:hideMark/>
          </w:tcPr>
          <w:p w:rsidR="00000000" w:rsidRDefault="00D65F33">
            <w:pPr>
              <w:spacing w:after="100"/>
              <w:jc w:val="right"/>
              <w:rPr>
                <w:rFonts w:eastAsia="Times New Roman"/>
              </w:rPr>
            </w:pPr>
            <w:r>
              <w:rPr>
                <w:rFonts w:eastAsia="Times New Roman"/>
                <w:color w:val="000000"/>
                <w:sz w:val="20"/>
                <w:szCs w:val="20"/>
              </w:rPr>
              <w:t>31.1 </w:t>
            </w:r>
          </w:p>
        </w:tc>
        <w:tc>
          <w:tcPr>
            <w:tcW w:w="0" w:type="auto"/>
            <w:tcMar>
              <w:top w:w="30" w:type="dxa"/>
              <w:left w:w="0" w:type="dxa"/>
              <w:bottom w:w="30" w:type="dxa"/>
              <w:right w:w="20" w:type="dxa"/>
            </w:tcMar>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D65F33">
            <w:pPr>
              <w:spacing w:after="100"/>
              <w:divId w:val="826552120"/>
              <w:rPr>
                <w:rFonts w:eastAsia="Times New Roman"/>
              </w:rPr>
            </w:pPr>
            <w:hyperlink r:id="rId5" w:history="1">
              <w:r>
                <w:rPr>
                  <w:rStyle w:val="a3"/>
                  <w:rFonts w:eastAsia="Times New Roman"/>
                  <w:sz w:val="20"/>
                  <w:szCs w:val="20"/>
                </w:rPr>
                <w:t>Certification of Principal Executive Officer pursuant to Section 302 of the Sarbanes-Oxley Act of 2002</w:t>
              </w:r>
            </w:hyperlink>
          </w:p>
        </w:tc>
      </w:tr>
      <w:tr w:rsidR="00000000">
        <w:tc>
          <w:tcPr>
            <w:tcW w:w="0" w:type="auto"/>
            <w:gridSpan w:val="2"/>
            <w:tcMar>
              <w:top w:w="30" w:type="dxa"/>
              <w:left w:w="20" w:type="dxa"/>
              <w:bottom w:w="30" w:type="dxa"/>
              <w:right w:w="0" w:type="dxa"/>
            </w:tcMar>
            <w:hideMark/>
          </w:tcPr>
          <w:p w:rsidR="00000000" w:rsidRDefault="00D65F33">
            <w:pPr>
              <w:spacing w:after="100"/>
              <w:jc w:val="right"/>
              <w:rPr>
                <w:rFonts w:eastAsia="Times New Roman"/>
              </w:rPr>
            </w:pPr>
            <w:r>
              <w:rPr>
                <w:rFonts w:eastAsia="Times New Roman"/>
                <w:color w:val="000000"/>
                <w:sz w:val="20"/>
                <w:szCs w:val="20"/>
              </w:rPr>
              <w:t>31.2 </w:t>
            </w:r>
          </w:p>
        </w:tc>
        <w:tc>
          <w:tcPr>
            <w:tcW w:w="0" w:type="auto"/>
            <w:tcMar>
              <w:top w:w="30" w:type="dxa"/>
              <w:left w:w="0" w:type="dxa"/>
              <w:bottom w:w="30" w:type="dxa"/>
              <w:right w:w="20" w:type="dxa"/>
            </w:tcMar>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D65F33">
            <w:pPr>
              <w:spacing w:after="100"/>
              <w:divId w:val="213660518"/>
              <w:rPr>
                <w:rFonts w:eastAsia="Times New Roman"/>
              </w:rPr>
            </w:pPr>
            <w:hyperlink r:id="rId6" w:history="1">
              <w:r>
                <w:rPr>
                  <w:rStyle w:val="a3"/>
                  <w:rFonts w:eastAsia="Times New Roman"/>
                  <w:sz w:val="20"/>
                  <w:szCs w:val="20"/>
                </w:rPr>
                <w:t>Certification of Principal Financial Officer pursuant to Section 302 of the Sarbanes-Oxley Act of 200</w:t>
              </w:r>
              <w:r>
                <w:rPr>
                  <w:rStyle w:val="a3"/>
                  <w:rFonts w:eastAsia="Times New Roman"/>
                  <w:sz w:val="20"/>
                  <w:szCs w:val="20"/>
                </w:rPr>
                <w:t>2</w:t>
              </w:r>
            </w:hyperlink>
          </w:p>
        </w:tc>
      </w:tr>
      <w:tr w:rsidR="00000000">
        <w:tc>
          <w:tcPr>
            <w:tcW w:w="0" w:type="auto"/>
            <w:gridSpan w:val="2"/>
            <w:tcMar>
              <w:top w:w="30" w:type="dxa"/>
              <w:left w:w="20" w:type="dxa"/>
              <w:bottom w:w="30" w:type="dxa"/>
              <w:right w:w="0" w:type="dxa"/>
            </w:tcMar>
            <w:hideMark/>
          </w:tcPr>
          <w:p w:rsidR="00000000" w:rsidRDefault="00D65F33">
            <w:pPr>
              <w:spacing w:after="100"/>
              <w:jc w:val="right"/>
              <w:rPr>
                <w:rFonts w:eastAsia="Times New Roman"/>
              </w:rPr>
            </w:pPr>
            <w:r>
              <w:rPr>
                <w:rFonts w:eastAsia="Times New Roman"/>
                <w:color w:val="000000"/>
                <w:sz w:val="20"/>
                <w:szCs w:val="20"/>
              </w:rPr>
              <w:t>32.1 </w:t>
            </w:r>
          </w:p>
        </w:tc>
        <w:tc>
          <w:tcPr>
            <w:tcW w:w="0" w:type="auto"/>
            <w:tcMar>
              <w:top w:w="30" w:type="dxa"/>
              <w:left w:w="0" w:type="dxa"/>
              <w:bottom w:w="30" w:type="dxa"/>
              <w:right w:w="20" w:type="dxa"/>
            </w:tcMar>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D65F33">
            <w:pPr>
              <w:spacing w:after="100"/>
              <w:divId w:val="1946768781"/>
              <w:rPr>
                <w:rFonts w:eastAsia="Times New Roman"/>
              </w:rPr>
            </w:pPr>
            <w:hyperlink r:id="rId7" w:history="1">
              <w:r>
                <w:rPr>
                  <w:rStyle w:val="a3"/>
                  <w:rFonts w:eastAsia="Times New Roman"/>
                  <w:sz w:val="20"/>
                  <w:szCs w:val="20"/>
                </w:rPr>
                <w:t>Certification of Principal Executive Officer and Principal Financial Officer pursuant to Section 906 of the Sarbanes-Oxley Act of 2002</w:t>
              </w:r>
            </w:hyperlink>
            <w:r>
              <w:rPr>
                <w:rFonts w:eastAsia="Times New Roman"/>
                <w:color w:val="000000"/>
                <w:sz w:val="20"/>
                <w:szCs w:val="20"/>
              </w:rPr>
              <w:t xml:space="preserve"> (furnished herewith)</w:t>
            </w:r>
          </w:p>
        </w:tc>
      </w:tr>
      <w:tr w:rsidR="00000000">
        <w:tc>
          <w:tcPr>
            <w:tcW w:w="0" w:type="auto"/>
            <w:gridSpan w:val="3"/>
            <w:tcMar>
              <w:top w:w="30" w:type="dxa"/>
              <w:left w:w="20" w:type="dxa"/>
              <w:bottom w:w="30" w:type="dxa"/>
              <w:right w:w="20" w:type="dxa"/>
            </w:tcMar>
            <w:hideMark/>
          </w:tcPr>
          <w:p w:rsidR="00000000" w:rsidRDefault="00D65F33">
            <w:pPr>
              <w:spacing w:after="100"/>
              <w:jc w:val="right"/>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Inline XBRL Instance Document - the instance document does not appear in the Interac</w:t>
            </w:r>
            <w:r>
              <w:rPr>
                <w:rFonts w:eastAsia="Times New Roman"/>
                <w:color w:val="000000"/>
                <w:sz w:val="20"/>
                <w:szCs w:val="20"/>
              </w:rPr>
              <w:t>tive Data File because its XBRL tags are embedded within the Inline XBRL document</w:t>
            </w:r>
          </w:p>
        </w:tc>
      </w:tr>
      <w:tr w:rsidR="00000000">
        <w:tc>
          <w:tcPr>
            <w:tcW w:w="0" w:type="auto"/>
            <w:gridSpan w:val="3"/>
            <w:tcMar>
              <w:top w:w="30" w:type="dxa"/>
              <w:left w:w="20" w:type="dxa"/>
              <w:bottom w:w="30" w:type="dxa"/>
              <w:right w:w="20" w:type="dxa"/>
            </w:tcMar>
            <w:hideMark/>
          </w:tcPr>
          <w:p w:rsidR="00000000" w:rsidRDefault="00D65F33">
            <w:pPr>
              <w:spacing w:after="100"/>
              <w:jc w:val="right"/>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Inline XBRL Taxonomy Extension Schema Document</w:t>
            </w:r>
          </w:p>
        </w:tc>
      </w:tr>
      <w:tr w:rsidR="00000000">
        <w:tc>
          <w:tcPr>
            <w:tcW w:w="0" w:type="auto"/>
            <w:gridSpan w:val="3"/>
            <w:tcMar>
              <w:top w:w="30" w:type="dxa"/>
              <w:left w:w="20" w:type="dxa"/>
              <w:bottom w:w="30" w:type="dxa"/>
              <w:right w:w="20" w:type="dxa"/>
            </w:tcMar>
            <w:hideMark/>
          </w:tcPr>
          <w:p w:rsidR="00000000" w:rsidRDefault="00D65F33">
            <w:pPr>
              <w:spacing w:after="100"/>
              <w:jc w:val="right"/>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Inline XBRL Taxonomy Extension Calculation Linkbase Document</w:t>
            </w:r>
          </w:p>
        </w:tc>
      </w:tr>
      <w:tr w:rsidR="00000000">
        <w:tc>
          <w:tcPr>
            <w:tcW w:w="0" w:type="auto"/>
            <w:gridSpan w:val="3"/>
            <w:tcMar>
              <w:top w:w="30" w:type="dxa"/>
              <w:left w:w="20" w:type="dxa"/>
              <w:bottom w:w="30" w:type="dxa"/>
              <w:right w:w="20" w:type="dxa"/>
            </w:tcMar>
            <w:hideMark/>
          </w:tcPr>
          <w:p w:rsidR="00000000" w:rsidRDefault="00D65F33">
            <w:pPr>
              <w:spacing w:after="100"/>
              <w:jc w:val="right"/>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Inline XBRL Taxonomy Extension Definition Linkbase Document</w:t>
            </w:r>
          </w:p>
        </w:tc>
      </w:tr>
      <w:tr w:rsidR="00000000">
        <w:tc>
          <w:tcPr>
            <w:tcW w:w="0" w:type="auto"/>
            <w:gridSpan w:val="3"/>
            <w:tcMar>
              <w:top w:w="30" w:type="dxa"/>
              <w:left w:w="20" w:type="dxa"/>
              <w:bottom w:w="30" w:type="dxa"/>
              <w:right w:w="20" w:type="dxa"/>
            </w:tcMar>
            <w:hideMark/>
          </w:tcPr>
          <w:p w:rsidR="00000000" w:rsidRDefault="00D65F33">
            <w:pPr>
              <w:spacing w:after="100"/>
              <w:jc w:val="right"/>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Inline XBRL Taxonomy Extension Label Linkbase Document</w:t>
            </w:r>
          </w:p>
        </w:tc>
      </w:tr>
      <w:tr w:rsidR="00000000">
        <w:tc>
          <w:tcPr>
            <w:tcW w:w="0" w:type="auto"/>
            <w:gridSpan w:val="3"/>
            <w:tcMar>
              <w:top w:w="30" w:type="dxa"/>
              <w:left w:w="20" w:type="dxa"/>
              <w:bottom w:w="30" w:type="dxa"/>
              <w:right w:w="20" w:type="dxa"/>
            </w:tcMar>
            <w:hideMark/>
          </w:tcPr>
          <w:p w:rsidR="00000000" w:rsidRDefault="00D65F33">
            <w:pPr>
              <w:spacing w:after="100"/>
              <w:jc w:val="right"/>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Inline XBRL Taxonomy Extension Presentation Linkbase Document</w:t>
            </w:r>
          </w:p>
        </w:tc>
      </w:tr>
      <w:tr w:rsidR="00000000">
        <w:tc>
          <w:tcPr>
            <w:tcW w:w="0" w:type="auto"/>
            <w:gridSpan w:val="2"/>
            <w:tcMar>
              <w:top w:w="30" w:type="dxa"/>
              <w:left w:w="20" w:type="dxa"/>
              <w:bottom w:w="30" w:type="dxa"/>
              <w:right w:w="0" w:type="dxa"/>
            </w:tcMar>
            <w:hideMark/>
          </w:tcPr>
          <w:p w:rsidR="00000000" w:rsidRDefault="00D65F33">
            <w:pPr>
              <w:spacing w:after="100"/>
              <w:jc w:val="right"/>
              <w:rPr>
                <w:rFonts w:eastAsia="Times New Roman"/>
              </w:rPr>
            </w:pPr>
            <w:r>
              <w:rPr>
                <w:rFonts w:eastAsia="Times New Roman"/>
                <w:color w:val="000000"/>
                <w:sz w:val="20"/>
                <w:szCs w:val="20"/>
              </w:rPr>
              <w:t>104.0 </w:t>
            </w:r>
          </w:p>
        </w:tc>
        <w:tc>
          <w:tcPr>
            <w:tcW w:w="0" w:type="auto"/>
            <w:tcMar>
              <w:top w:w="30" w:type="dxa"/>
              <w:left w:w="0" w:type="dxa"/>
              <w:bottom w:w="30" w:type="dxa"/>
              <w:right w:w="20" w:type="dxa"/>
            </w:tcMar>
            <w:hideMark/>
          </w:tcPr>
          <w:p w:rsidR="00000000" w:rsidRDefault="00D65F3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65F33">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Cover Page Interactive Data File (formatted as Inline XBRL and contained in Exhibit 101)</w:t>
            </w:r>
          </w:p>
        </w:tc>
      </w:tr>
    </w:tbl>
    <w:p w:rsidR="00000000" w:rsidRDefault="00D65F33">
      <w:pPr>
        <w:divId w:val="1733891784"/>
        <w:rPr>
          <w:rFonts w:eastAsia="Times New Roman"/>
        </w:rPr>
      </w:pPr>
    </w:p>
    <w:p w:rsidR="00000000" w:rsidRDefault="00D65F33">
      <w:pPr>
        <w:jc w:val="center"/>
        <w:divId w:val="399058610"/>
        <w:rPr>
          <w:rFonts w:eastAsia="Times New Roman"/>
        </w:rPr>
      </w:pPr>
      <w:r>
        <w:rPr>
          <w:rFonts w:eastAsia="Times New Roman"/>
          <w:color w:val="000000"/>
          <w:sz w:val="20"/>
          <w:szCs w:val="20"/>
        </w:rPr>
        <w:t>26</w:t>
      </w:r>
    </w:p>
    <w:p w:rsidR="00000000" w:rsidRDefault="00D65F33">
      <w:pPr>
        <w:rPr>
          <w:rFonts w:eastAsia="Times New Roman"/>
        </w:rPr>
      </w:pPr>
      <w:r>
        <w:rPr>
          <w:rFonts w:eastAsia="Times New Roman"/>
        </w:rPr>
        <w:pict>
          <v:rect id="_x0000_i1051" style="width:0;height:1.5pt" o:hralign="center" o:hrstd="t" o:hr="t" fillcolor="#a0a0a0" stroked="f"/>
        </w:pict>
      </w:r>
    </w:p>
    <w:p w:rsidR="00000000" w:rsidRDefault="00D65F33">
      <w:pPr>
        <w:divId w:val="1904557097"/>
        <w:rPr>
          <w:rFonts w:eastAsia="Times New Roman"/>
        </w:rPr>
      </w:pPr>
      <w:hyperlink w:anchor="i3d7bb63af67c4f529089ca6fd197305b_10" w:history="1">
        <w:r>
          <w:rPr>
            <w:rStyle w:val="a3"/>
            <w:rFonts w:eastAsia="Times New Roman"/>
            <w:sz w:val="20"/>
            <w:szCs w:val="20"/>
          </w:rPr>
          <w:t>Table of Contents</w:t>
        </w:r>
      </w:hyperlink>
    </w:p>
    <w:p w:rsidR="00000000" w:rsidRDefault="00D65F33">
      <w:pPr>
        <w:jc w:val="center"/>
        <w:rPr>
          <w:rFonts w:eastAsia="Times New Roman"/>
        </w:rPr>
      </w:pPr>
      <w:r>
        <w:rPr>
          <w:rFonts w:eastAsia="Times New Roman"/>
          <w:b/>
          <w:bCs/>
          <w:color w:val="000000"/>
          <w:sz w:val="20"/>
          <w:szCs w:val="20"/>
        </w:rPr>
        <w:t>SIGNATURES</w:t>
      </w:r>
    </w:p>
    <w:p w:rsidR="00000000" w:rsidRDefault="00D65F33">
      <w:pPr>
        <w:jc w:val="both"/>
        <w:rPr>
          <w:rFonts w:eastAsia="Times New Roman"/>
        </w:rPr>
      </w:pPr>
    </w:p>
    <w:p w:rsidR="00000000" w:rsidRDefault="00D65F33">
      <w:pPr>
        <w:jc w:val="both"/>
        <w:rPr>
          <w:rFonts w:eastAsia="Times New Roman"/>
        </w:rPr>
      </w:pPr>
      <w:r>
        <w:rPr>
          <w:rFonts w:eastAsia="Times New Roman"/>
          <w:color w:val="000000"/>
          <w:sz w:val="20"/>
          <w:szCs w:val="20"/>
        </w:rPr>
        <w:t>Pursuant to the requirements of the Securities Act of 1934, the Registrant has duly caused this report to be signed on its behalf by the undersigned, thereunto duly authorized.</w:t>
      </w:r>
    </w:p>
    <w:p w:rsidR="00000000" w:rsidRDefault="00D65F33">
      <w:pPr>
        <w:jc w:val="both"/>
        <w:rPr>
          <w:rFonts w:eastAsia="Times New Roman"/>
        </w:rPr>
      </w:pPr>
    </w:p>
    <w:tbl>
      <w:tblPr>
        <w:tblW w:w="10005" w:type="dxa"/>
        <w:tblCellMar>
          <w:top w:w="15" w:type="dxa"/>
          <w:left w:w="15" w:type="dxa"/>
          <w:bottom w:w="15" w:type="dxa"/>
          <w:right w:w="15" w:type="dxa"/>
        </w:tblCellMar>
        <w:tblLook w:val="04A0" w:firstRow="1" w:lastRow="0" w:firstColumn="1" w:lastColumn="0" w:noHBand="0" w:noVBand="1"/>
      </w:tblPr>
      <w:tblGrid>
        <w:gridCol w:w="36"/>
        <w:gridCol w:w="721"/>
        <w:gridCol w:w="36"/>
        <w:gridCol w:w="36"/>
        <w:gridCol w:w="9140"/>
        <w:gridCol w:w="36"/>
      </w:tblGrid>
      <w:tr w:rsidR="00000000">
        <w:tc>
          <w:tcPr>
            <w:tcW w:w="20" w:type="dxa"/>
            <w:vAlign w:val="center"/>
            <w:hideMark/>
          </w:tcPr>
          <w:p w:rsidR="00000000" w:rsidRDefault="00D65F33">
            <w:pPr>
              <w:jc w:val="both"/>
              <w:rPr>
                <w:rFonts w:eastAsia="Times New Roman"/>
              </w:rPr>
            </w:pPr>
          </w:p>
        </w:tc>
        <w:tc>
          <w:tcPr>
            <w:tcW w:w="725" w:type="dxa"/>
            <w:vAlign w:val="center"/>
            <w:hideMark/>
          </w:tcPr>
          <w:p w:rsidR="00000000" w:rsidRDefault="00D65F33">
            <w:pPr>
              <w:spacing w:after="100"/>
              <w:rPr>
                <w:rFonts w:eastAsia="Times New Roman"/>
                <w:sz w:val="20"/>
                <w:szCs w:val="20"/>
              </w:rPr>
            </w:pPr>
          </w:p>
        </w:tc>
        <w:tc>
          <w:tcPr>
            <w:tcW w:w="20" w:type="dxa"/>
            <w:vAlign w:val="center"/>
            <w:hideMark/>
          </w:tcPr>
          <w:p w:rsidR="00000000" w:rsidRDefault="00D65F33">
            <w:pPr>
              <w:spacing w:after="100"/>
              <w:rPr>
                <w:rFonts w:eastAsia="Times New Roman"/>
                <w:sz w:val="20"/>
                <w:szCs w:val="20"/>
              </w:rPr>
            </w:pPr>
          </w:p>
        </w:tc>
        <w:tc>
          <w:tcPr>
            <w:tcW w:w="20" w:type="dxa"/>
            <w:vAlign w:val="center"/>
            <w:hideMark/>
          </w:tcPr>
          <w:p w:rsidR="00000000" w:rsidRDefault="00D65F33">
            <w:pPr>
              <w:spacing w:after="100"/>
              <w:rPr>
                <w:rFonts w:eastAsia="Times New Roman"/>
                <w:sz w:val="20"/>
                <w:szCs w:val="20"/>
              </w:rPr>
            </w:pPr>
          </w:p>
        </w:tc>
        <w:tc>
          <w:tcPr>
            <w:tcW w:w="9200" w:type="dxa"/>
            <w:vAlign w:val="center"/>
            <w:hideMark/>
          </w:tcPr>
          <w:p w:rsidR="00000000" w:rsidRDefault="00D65F33">
            <w:pPr>
              <w:spacing w:after="100"/>
              <w:rPr>
                <w:rFonts w:eastAsia="Times New Roman"/>
                <w:sz w:val="20"/>
                <w:szCs w:val="20"/>
              </w:rPr>
            </w:pPr>
          </w:p>
        </w:tc>
        <w:tc>
          <w:tcPr>
            <w:tcW w:w="20" w:type="dxa"/>
            <w:vAlign w:val="center"/>
            <w:hideMark/>
          </w:tcPr>
          <w:p w:rsidR="00000000" w:rsidRDefault="00D65F33">
            <w:pPr>
              <w:spacing w:after="100"/>
              <w:rPr>
                <w:rFonts w:eastAsia="Times New Roman"/>
                <w:sz w:val="20"/>
                <w:szCs w:val="20"/>
              </w:rPr>
            </w:pPr>
          </w:p>
        </w:tc>
      </w:tr>
      <w:tr w:rsidR="00000000">
        <w:trPr>
          <w:trHeight w:val="300"/>
        </w:trPr>
        <w:tc>
          <w:tcPr>
            <w:tcW w:w="0" w:type="auto"/>
            <w:gridSpan w:val="6"/>
            <w:tcMar>
              <w:top w:w="30" w:type="dxa"/>
              <w:left w:w="20" w:type="dxa"/>
              <w:bottom w:w="30" w:type="dxa"/>
              <w:right w:w="20" w:type="dxa"/>
            </w:tcMar>
            <w:hideMark/>
          </w:tcPr>
          <w:p w:rsidR="00000000" w:rsidRDefault="00D65F33">
            <w:pPr>
              <w:spacing w:after="100"/>
              <w:rPr>
                <w:rFonts w:eastAsia="Times New Roman"/>
              </w:rPr>
            </w:pPr>
            <w:r>
              <w:rPr>
                <w:rFonts w:eastAsia="Times New Roman"/>
                <w:b/>
                <w:bCs/>
                <w:color w:val="000000"/>
                <w:sz w:val="20"/>
                <w:szCs w:val="20"/>
              </w:rPr>
              <w:t>NOODLES &amp; COMPANY</w:t>
            </w:r>
          </w:p>
        </w:tc>
      </w:tr>
      <w:tr w:rsidR="00000000">
        <w:trPr>
          <w:trHeight w:val="300"/>
        </w:trPr>
        <w:tc>
          <w:tcPr>
            <w:tcW w:w="0" w:type="auto"/>
            <w:gridSpan w:val="3"/>
            <w:tcMar>
              <w:top w:w="30" w:type="dxa"/>
              <w:left w:w="20" w:type="dxa"/>
              <w:bottom w:w="30" w:type="dxa"/>
              <w:right w:w="20" w:type="dxa"/>
            </w:tcMar>
            <w:hideMark/>
          </w:tcPr>
          <w:p w:rsidR="00000000" w:rsidRDefault="00D65F33">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/s/  CARL LUKACH</w:t>
            </w:r>
          </w:p>
        </w:tc>
      </w:tr>
      <w:tr w:rsidR="00000000">
        <w:trPr>
          <w:trHeight w:val="700"/>
        </w:trPr>
        <w:tc>
          <w:tcPr>
            <w:tcW w:w="0" w:type="auto"/>
            <w:gridSpan w:val="3"/>
            <w:tcMar>
              <w:top w:w="0" w:type="dxa"/>
              <w:left w:w="20" w:type="dxa"/>
              <w:bottom w:w="0" w:type="dxa"/>
              <w:right w:w="20" w:type="dxa"/>
            </w:tcMar>
            <w:vAlign w:val="center"/>
            <w:hideMark/>
          </w:tcPr>
          <w:p w:rsidR="00000000" w:rsidRDefault="00D65F3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65F33">
            <w:pPr>
              <w:spacing w:after="100"/>
              <w:divId w:val="255214613"/>
              <w:rPr>
                <w:rFonts w:eastAsia="Times New Roman"/>
              </w:rPr>
            </w:pPr>
            <w:r>
              <w:rPr>
                <w:rFonts w:eastAsia="Times New Roman"/>
                <w:color w:val="000000"/>
                <w:sz w:val="20"/>
                <w:szCs w:val="20"/>
              </w:rPr>
              <w:t>Carl Lukach</w:t>
            </w:r>
          </w:p>
          <w:p w:rsidR="00000000" w:rsidRDefault="00D65F33">
            <w:pPr>
              <w:spacing w:after="100"/>
              <w:divId w:val="1722634276"/>
              <w:rPr>
                <w:rFonts w:eastAsia="Times New Roman"/>
              </w:rPr>
            </w:pPr>
            <w:r>
              <w:rPr>
                <w:rFonts w:eastAsia="Times New Roman"/>
                <w:i/>
                <w:iCs/>
                <w:color w:val="000000"/>
                <w:sz w:val="20"/>
                <w:szCs w:val="20"/>
              </w:rPr>
              <w:t>Chief Financial Officer (principal financial officer and duly authorized signatory for the registrant)</w:t>
            </w:r>
          </w:p>
        </w:tc>
      </w:tr>
      <w:tr w:rsidR="00000000">
        <w:trPr>
          <w:trHeight w:val="300"/>
        </w:trPr>
        <w:tc>
          <w:tcPr>
            <w:tcW w:w="0" w:type="auto"/>
            <w:gridSpan w:val="3"/>
            <w:tcMar>
              <w:top w:w="30" w:type="dxa"/>
              <w:left w:w="20" w:type="dxa"/>
              <w:bottom w:w="30" w:type="dxa"/>
              <w:right w:w="20" w:type="dxa"/>
            </w:tcMar>
            <w:hideMark/>
          </w:tcPr>
          <w:p w:rsidR="00000000" w:rsidRDefault="00D65F33">
            <w:pPr>
              <w:spacing w:after="100"/>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D65F33">
            <w:pPr>
              <w:spacing w:after="100"/>
              <w:rPr>
                <w:rFonts w:eastAsia="Times New Roman"/>
              </w:rPr>
            </w:pPr>
            <w:r>
              <w:rPr>
                <w:rFonts w:eastAsia="Times New Roman"/>
                <w:color w:val="000000"/>
                <w:sz w:val="20"/>
                <w:szCs w:val="20"/>
              </w:rPr>
              <w:t>April 28, 2022</w:t>
            </w:r>
          </w:p>
        </w:tc>
      </w:tr>
    </w:tbl>
    <w:p w:rsidR="00000000" w:rsidRDefault="00D65F33">
      <w:pPr>
        <w:divId w:val="1507865488"/>
        <w:rPr>
          <w:rFonts w:eastAsia="Times New Roman"/>
        </w:rPr>
      </w:pPr>
    </w:p>
    <w:p w:rsidR="00000000" w:rsidRDefault="00D65F33">
      <w:pPr>
        <w:jc w:val="center"/>
        <w:divId w:val="909265220"/>
        <w:rPr>
          <w:rFonts w:eastAsia="Times New Roman"/>
        </w:rPr>
      </w:pPr>
    </w:p>
    <w:p w:rsidR="00D65F33" w:rsidRDefault="00D65F33">
      <w:pPr>
        <w:jc w:val="center"/>
        <w:divId w:val="1125391763"/>
        <w:rPr>
          <w:rFonts w:eastAsia="Times New Roman"/>
        </w:rPr>
      </w:pPr>
      <w:r>
        <w:rPr>
          <w:rFonts w:eastAsia="Times New Roman"/>
          <w:color w:val="000000"/>
          <w:sz w:val="20"/>
          <w:szCs w:val="20"/>
        </w:rPr>
        <w:t>27</w:t>
      </w:r>
    </w:p>
    <w:sectPr w:rsidR="00D65F3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65F33"/>
    <w:rsid w:val="00D65F33"/>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www.xbrl.org/2013/inlineXBRL"/>
  <w:attachedSchema w:val="http://www.xbrl.org/2003/iso4217"/>
  <w:attachedSchema w:val="http://www.w3.org/1999/xlink"/>
  <w:attachedSchema w:val="http://www.noodles.com/20220329"/>
  <w:attachedSchema w:val="http://fasb.org/us-gaap/2021-01-31"/>
  <w:attachedSchema w:val="http://www.xbrl.org/2003/linkbase"/>
  <w:attachedSchema w:val="http://fasb.org/srt/2021-01-31"/>
  <w:attachedSchema w:val="http://xbrl.org/2006/xbrldi"/>
  <w:attachedSchema w:val="http://www.xbrl.org/inlineXBRL/transformation/2020-02-12"/>
  <w:attachedSchema w:val="http://xbrl.sec.gov/dei/2021"/>
  <w:attachedSchema w:val="http://www.xbrl.org/2003/instance"/>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853">
      <w:marLeft w:val="0"/>
      <w:marRight w:val="0"/>
      <w:marTop w:val="0"/>
      <w:marBottom w:val="0"/>
      <w:divBdr>
        <w:top w:val="none" w:sz="0" w:space="0" w:color="auto"/>
        <w:left w:val="none" w:sz="0" w:space="0" w:color="auto"/>
        <w:bottom w:val="none" w:sz="0" w:space="0" w:color="auto"/>
        <w:right w:val="none" w:sz="0" w:space="0" w:color="auto"/>
      </w:divBdr>
    </w:div>
    <w:div w:id="20519262">
      <w:marLeft w:val="0"/>
      <w:marRight w:val="0"/>
      <w:marTop w:val="100"/>
      <w:marBottom w:val="0"/>
      <w:divBdr>
        <w:top w:val="none" w:sz="0" w:space="0" w:color="auto"/>
        <w:left w:val="none" w:sz="0" w:space="0" w:color="auto"/>
        <w:bottom w:val="none" w:sz="0" w:space="0" w:color="auto"/>
        <w:right w:val="none" w:sz="0" w:space="0" w:color="auto"/>
      </w:divBdr>
    </w:div>
    <w:div w:id="23411452">
      <w:marLeft w:val="0"/>
      <w:marRight w:val="0"/>
      <w:marTop w:val="100"/>
      <w:marBottom w:val="0"/>
      <w:divBdr>
        <w:top w:val="none" w:sz="0" w:space="0" w:color="auto"/>
        <w:left w:val="none" w:sz="0" w:space="0" w:color="auto"/>
        <w:bottom w:val="none" w:sz="0" w:space="0" w:color="auto"/>
        <w:right w:val="none" w:sz="0" w:space="0" w:color="auto"/>
      </w:divBdr>
    </w:div>
    <w:div w:id="26373746">
      <w:marLeft w:val="0"/>
      <w:marRight w:val="0"/>
      <w:marTop w:val="0"/>
      <w:marBottom w:val="0"/>
      <w:divBdr>
        <w:top w:val="none" w:sz="0" w:space="0" w:color="auto"/>
        <w:left w:val="none" w:sz="0" w:space="0" w:color="auto"/>
        <w:bottom w:val="none" w:sz="0" w:space="0" w:color="auto"/>
        <w:right w:val="none" w:sz="0" w:space="0" w:color="auto"/>
      </w:divBdr>
    </w:div>
    <w:div w:id="72314270">
      <w:marLeft w:val="0"/>
      <w:marRight w:val="0"/>
      <w:marTop w:val="0"/>
      <w:marBottom w:val="0"/>
      <w:divBdr>
        <w:top w:val="none" w:sz="0" w:space="0" w:color="auto"/>
        <w:left w:val="none" w:sz="0" w:space="0" w:color="auto"/>
        <w:bottom w:val="none" w:sz="0" w:space="0" w:color="auto"/>
        <w:right w:val="none" w:sz="0" w:space="0" w:color="auto"/>
      </w:divBdr>
      <w:divsChild>
        <w:div w:id="399058610">
          <w:marLeft w:val="0"/>
          <w:marRight w:val="0"/>
          <w:marTop w:val="0"/>
          <w:marBottom w:val="0"/>
          <w:divBdr>
            <w:top w:val="none" w:sz="0" w:space="0" w:color="auto"/>
            <w:left w:val="none" w:sz="0" w:space="0" w:color="auto"/>
            <w:bottom w:val="none" w:sz="0" w:space="0" w:color="auto"/>
            <w:right w:val="none" w:sz="0" w:space="0" w:color="auto"/>
          </w:divBdr>
        </w:div>
      </w:divsChild>
    </w:div>
    <w:div w:id="84110443">
      <w:marLeft w:val="0"/>
      <w:marRight w:val="0"/>
      <w:marTop w:val="0"/>
      <w:marBottom w:val="0"/>
      <w:divBdr>
        <w:top w:val="none" w:sz="0" w:space="0" w:color="auto"/>
        <w:left w:val="none" w:sz="0" w:space="0" w:color="auto"/>
        <w:bottom w:val="none" w:sz="0" w:space="0" w:color="auto"/>
        <w:right w:val="none" w:sz="0" w:space="0" w:color="auto"/>
      </w:divBdr>
    </w:div>
    <w:div w:id="84113020">
      <w:marLeft w:val="0"/>
      <w:marRight w:val="0"/>
      <w:marTop w:val="0"/>
      <w:marBottom w:val="0"/>
      <w:divBdr>
        <w:top w:val="none" w:sz="0" w:space="0" w:color="auto"/>
        <w:left w:val="none" w:sz="0" w:space="0" w:color="auto"/>
        <w:bottom w:val="none" w:sz="0" w:space="0" w:color="auto"/>
        <w:right w:val="none" w:sz="0" w:space="0" w:color="auto"/>
      </w:divBdr>
      <w:divsChild>
        <w:div w:id="809442116">
          <w:marLeft w:val="0"/>
          <w:marRight w:val="0"/>
          <w:marTop w:val="160"/>
          <w:marBottom w:val="160"/>
          <w:divBdr>
            <w:top w:val="none" w:sz="0" w:space="0" w:color="auto"/>
            <w:left w:val="none" w:sz="0" w:space="0" w:color="auto"/>
            <w:bottom w:val="none" w:sz="0" w:space="0" w:color="auto"/>
            <w:right w:val="none" w:sz="0" w:space="0" w:color="auto"/>
          </w:divBdr>
        </w:div>
      </w:divsChild>
    </w:div>
    <w:div w:id="98110745">
      <w:marLeft w:val="0"/>
      <w:marRight w:val="0"/>
      <w:marTop w:val="0"/>
      <w:marBottom w:val="0"/>
      <w:divBdr>
        <w:top w:val="none" w:sz="0" w:space="0" w:color="auto"/>
        <w:left w:val="none" w:sz="0" w:space="0" w:color="auto"/>
        <w:bottom w:val="none" w:sz="0" w:space="0" w:color="auto"/>
        <w:right w:val="none" w:sz="0" w:space="0" w:color="auto"/>
      </w:divBdr>
    </w:div>
    <w:div w:id="101606851">
      <w:marLeft w:val="0"/>
      <w:marRight w:val="0"/>
      <w:marTop w:val="120"/>
      <w:marBottom w:val="0"/>
      <w:divBdr>
        <w:top w:val="none" w:sz="0" w:space="0" w:color="auto"/>
        <w:left w:val="none" w:sz="0" w:space="0" w:color="auto"/>
        <w:bottom w:val="none" w:sz="0" w:space="0" w:color="auto"/>
        <w:right w:val="none" w:sz="0" w:space="0" w:color="auto"/>
      </w:divBdr>
    </w:div>
    <w:div w:id="103614980">
      <w:marLeft w:val="0"/>
      <w:marRight w:val="0"/>
      <w:marTop w:val="0"/>
      <w:marBottom w:val="0"/>
      <w:divBdr>
        <w:top w:val="none" w:sz="0" w:space="0" w:color="auto"/>
        <w:left w:val="none" w:sz="0" w:space="0" w:color="auto"/>
        <w:bottom w:val="none" w:sz="0" w:space="0" w:color="auto"/>
        <w:right w:val="none" w:sz="0" w:space="0" w:color="auto"/>
      </w:divBdr>
      <w:divsChild>
        <w:div w:id="262032222">
          <w:marLeft w:val="0"/>
          <w:marRight w:val="0"/>
          <w:marTop w:val="0"/>
          <w:marBottom w:val="0"/>
          <w:divBdr>
            <w:top w:val="none" w:sz="0" w:space="0" w:color="auto"/>
            <w:left w:val="none" w:sz="0" w:space="0" w:color="auto"/>
            <w:bottom w:val="none" w:sz="0" w:space="0" w:color="auto"/>
            <w:right w:val="none" w:sz="0" w:space="0" w:color="auto"/>
          </w:divBdr>
        </w:div>
      </w:divsChild>
    </w:div>
    <w:div w:id="113256642">
      <w:marLeft w:val="0"/>
      <w:marRight w:val="0"/>
      <w:marTop w:val="0"/>
      <w:marBottom w:val="0"/>
      <w:divBdr>
        <w:top w:val="none" w:sz="0" w:space="0" w:color="auto"/>
        <w:left w:val="none" w:sz="0" w:space="0" w:color="auto"/>
        <w:bottom w:val="none" w:sz="0" w:space="0" w:color="auto"/>
        <w:right w:val="none" w:sz="0" w:space="0" w:color="auto"/>
      </w:divBdr>
      <w:divsChild>
        <w:div w:id="1961378043">
          <w:marLeft w:val="0"/>
          <w:marRight w:val="0"/>
          <w:marTop w:val="0"/>
          <w:marBottom w:val="0"/>
          <w:divBdr>
            <w:top w:val="none" w:sz="0" w:space="0" w:color="auto"/>
            <w:left w:val="none" w:sz="0" w:space="0" w:color="auto"/>
            <w:bottom w:val="none" w:sz="0" w:space="0" w:color="auto"/>
            <w:right w:val="none" w:sz="0" w:space="0" w:color="auto"/>
          </w:divBdr>
        </w:div>
      </w:divsChild>
    </w:div>
    <w:div w:id="144931964">
      <w:marLeft w:val="0"/>
      <w:marRight w:val="0"/>
      <w:marTop w:val="0"/>
      <w:marBottom w:val="240"/>
      <w:divBdr>
        <w:top w:val="none" w:sz="0" w:space="0" w:color="auto"/>
        <w:left w:val="none" w:sz="0" w:space="0" w:color="auto"/>
        <w:bottom w:val="none" w:sz="0" w:space="0" w:color="auto"/>
        <w:right w:val="none" w:sz="0" w:space="0" w:color="auto"/>
      </w:divBdr>
    </w:div>
    <w:div w:id="147327329">
      <w:marLeft w:val="0"/>
      <w:marRight w:val="0"/>
      <w:marTop w:val="0"/>
      <w:marBottom w:val="0"/>
      <w:divBdr>
        <w:top w:val="none" w:sz="0" w:space="0" w:color="auto"/>
        <w:left w:val="none" w:sz="0" w:space="0" w:color="auto"/>
        <w:bottom w:val="none" w:sz="0" w:space="0" w:color="auto"/>
        <w:right w:val="none" w:sz="0" w:space="0" w:color="auto"/>
      </w:divBdr>
      <w:divsChild>
        <w:div w:id="941500639">
          <w:marLeft w:val="0"/>
          <w:marRight w:val="0"/>
          <w:marTop w:val="0"/>
          <w:marBottom w:val="0"/>
          <w:divBdr>
            <w:top w:val="none" w:sz="0" w:space="0" w:color="auto"/>
            <w:left w:val="none" w:sz="0" w:space="0" w:color="auto"/>
            <w:bottom w:val="none" w:sz="0" w:space="0" w:color="auto"/>
            <w:right w:val="none" w:sz="0" w:space="0" w:color="auto"/>
          </w:divBdr>
        </w:div>
      </w:divsChild>
    </w:div>
    <w:div w:id="148788829">
      <w:marLeft w:val="0"/>
      <w:marRight w:val="0"/>
      <w:marTop w:val="0"/>
      <w:marBottom w:val="0"/>
      <w:divBdr>
        <w:top w:val="none" w:sz="0" w:space="0" w:color="auto"/>
        <w:left w:val="none" w:sz="0" w:space="0" w:color="auto"/>
        <w:bottom w:val="none" w:sz="0" w:space="0" w:color="auto"/>
        <w:right w:val="none" w:sz="0" w:space="0" w:color="auto"/>
      </w:divBdr>
      <w:divsChild>
        <w:div w:id="1401364949">
          <w:marLeft w:val="0"/>
          <w:marRight w:val="0"/>
          <w:marTop w:val="0"/>
          <w:marBottom w:val="0"/>
          <w:divBdr>
            <w:top w:val="none" w:sz="0" w:space="0" w:color="auto"/>
            <w:left w:val="none" w:sz="0" w:space="0" w:color="auto"/>
            <w:bottom w:val="none" w:sz="0" w:space="0" w:color="auto"/>
            <w:right w:val="none" w:sz="0" w:space="0" w:color="auto"/>
          </w:divBdr>
        </w:div>
      </w:divsChild>
    </w:div>
    <w:div w:id="149908227">
      <w:marLeft w:val="0"/>
      <w:marRight w:val="0"/>
      <w:marTop w:val="0"/>
      <w:marBottom w:val="0"/>
      <w:divBdr>
        <w:top w:val="none" w:sz="0" w:space="0" w:color="auto"/>
        <w:left w:val="none" w:sz="0" w:space="0" w:color="auto"/>
        <w:bottom w:val="none" w:sz="0" w:space="0" w:color="auto"/>
        <w:right w:val="none" w:sz="0" w:space="0" w:color="auto"/>
      </w:divBdr>
      <w:divsChild>
        <w:div w:id="943733060">
          <w:marLeft w:val="0"/>
          <w:marRight w:val="0"/>
          <w:marTop w:val="0"/>
          <w:marBottom w:val="0"/>
          <w:divBdr>
            <w:top w:val="none" w:sz="0" w:space="0" w:color="auto"/>
            <w:left w:val="none" w:sz="0" w:space="0" w:color="auto"/>
            <w:bottom w:val="none" w:sz="0" w:space="0" w:color="auto"/>
            <w:right w:val="none" w:sz="0" w:space="0" w:color="auto"/>
          </w:divBdr>
        </w:div>
      </w:divsChild>
    </w:div>
    <w:div w:id="153910935">
      <w:marLeft w:val="0"/>
      <w:marRight w:val="0"/>
      <w:marTop w:val="0"/>
      <w:marBottom w:val="0"/>
      <w:divBdr>
        <w:top w:val="none" w:sz="0" w:space="0" w:color="auto"/>
        <w:left w:val="none" w:sz="0" w:space="0" w:color="auto"/>
        <w:bottom w:val="none" w:sz="0" w:space="0" w:color="auto"/>
        <w:right w:val="none" w:sz="0" w:space="0" w:color="auto"/>
      </w:divBdr>
      <w:divsChild>
        <w:div w:id="1244801067">
          <w:marLeft w:val="0"/>
          <w:marRight w:val="0"/>
          <w:marTop w:val="0"/>
          <w:marBottom w:val="0"/>
          <w:divBdr>
            <w:top w:val="none" w:sz="0" w:space="0" w:color="auto"/>
            <w:left w:val="none" w:sz="0" w:space="0" w:color="auto"/>
            <w:bottom w:val="none" w:sz="0" w:space="0" w:color="auto"/>
            <w:right w:val="none" w:sz="0" w:space="0" w:color="auto"/>
          </w:divBdr>
        </w:div>
      </w:divsChild>
    </w:div>
    <w:div w:id="156461158">
      <w:marLeft w:val="0"/>
      <w:marRight w:val="0"/>
      <w:marTop w:val="0"/>
      <w:marBottom w:val="60"/>
      <w:divBdr>
        <w:top w:val="none" w:sz="0" w:space="0" w:color="auto"/>
        <w:left w:val="none" w:sz="0" w:space="0" w:color="auto"/>
        <w:bottom w:val="none" w:sz="0" w:space="0" w:color="auto"/>
        <w:right w:val="none" w:sz="0" w:space="0" w:color="auto"/>
      </w:divBdr>
    </w:div>
    <w:div w:id="163665278">
      <w:marLeft w:val="0"/>
      <w:marRight w:val="0"/>
      <w:marTop w:val="0"/>
      <w:marBottom w:val="0"/>
      <w:divBdr>
        <w:top w:val="none" w:sz="0" w:space="0" w:color="auto"/>
        <w:left w:val="none" w:sz="0" w:space="0" w:color="auto"/>
        <w:bottom w:val="none" w:sz="0" w:space="0" w:color="auto"/>
        <w:right w:val="none" w:sz="0" w:space="0" w:color="auto"/>
      </w:divBdr>
      <w:divsChild>
        <w:div w:id="992222961">
          <w:marLeft w:val="0"/>
          <w:marRight w:val="0"/>
          <w:marTop w:val="160"/>
          <w:marBottom w:val="160"/>
          <w:divBdr>
            <w:top w:val="none" w:sz="0" w:space="0" w:color="auto"/>
            <w:left w:val="none" w:sz="0" w:space="0" w:color="auto"/>
            <w:bottom w:val="none" w:sz="0" w:space="0" w:color="auto"/>
            <w:right w:val="none" w:sz="0" w:space="0" w:color="auto"/>
          </w:divBdr>
        </w:div>
      </w:divsChild>
    </w:div>
    <w:div w:id="172572436">
      <w:marLeft w:val="0"/>
      <w:marRight w:val="0"/>
      <w:marTop w:val="0"/>
      <w:marBottom w:val="120"/>
      <w:divBdr>
        <w:top w:val="none" w:sz="0" w:space="0" w:color="auto"/>
        <w:left w:val="none" w:sz="0" w:space="0" w:color="auto"/>
        <w:bottom w:val="none" w:sz="0" w:space="0" w:color="auto"/>
        <w:right w:val="none" w:sz="0" w:space="0" w:color="auto"/>
      </w:divBdr>
    </w:div>
    <w:div w:id="181434554">
      <w:marLeft w:val="0"/>
      <w:marRight w:val="0"/>
      <w:marTop w:val="0"/>
      <w:marBottom w:val="0"/>
      <w:divBdr>
        <w:top w:val="none" w:sz="0" w:space="0" w:color="auto"/>
        <w:left w:val="none" w:sz="0" w:space="0" w:color="auto"/>
        <w:bottom w:val="none" w:sz="0" w:space="0" w:color="auto"/>
        <w:right w:val="none" w:sz="0" w:space="0" w:color="auto"/>
      </w:divBdr>
    </w:div>
    <w:div w:id="188494221">
      <w:marLeft w:val="0"/>
      <w:marRight w:val="0"/>
      <w:marTop w:val="0"/>
      <w:marBottom w:val="0"/>
      <w:divBdr>
        <w:top w:val="none" w:sz="0" w:space="0" w:color="auto"/>
        <w:left w:val="none" w:sz="0" w:space="0" w:color="auto"/>
        <w:bottom w:val="none" w:sz="0" w:space="0" w:color="auto"/>
        <w:right w:val="none" w:sz="0" w:space="0" w:color="auto"/>
      </w:divBdr>
      <w:divsChild>
        <w:div w:id="1495991416">
          <w:marLeft w:val="0"/>
          <w:marRight w:val="0"/>
          <w:marTop w:val="0"/>
          <w:marBottom w:val="0"/>
          <w:divBdr>
            <w:top w:val="none" w:sz="0" w:space="0" w:color="auto"/>
            <w:left w:val="none" w:sz="0" w:space="0" w:color="auto"/>
            <w:bottom w:val="none" w:sz="0" w:space="0" w:color="auto"/>
            <w:right w:val="none" w:sz="0" w:space="0" w:color="auto"/>
          </w:divBdr>
        </w:div>
      </w:divsChild>
    </w:div>
    <w:div w:id="188643560">
      <w:marLeft w:val="0"/>
      <w:marRight w:val="0"/>
      <w:marTop w:val="60"/>
      <w:marBottom w:val="0"/>
      <w:divBdr>
        <w:top w:val="none" w:sz="0" w:space="0" w:color="auto"/>
        <w:left w:val="none" w:sz="0" w:space="0" w:color="auto"/>
        <w:bottom w:val="none" w:sz="0" w:space="0" w:color="auto"/>
        <w:right w:val="none" w:sz="0" w:space="0" w:color="auto"/>
      </w:divBdr>
    </w:div>
    <w:div w:id="202405412">
      <w:marLeft w:val="0"/>
      <w:marRight w:val="0"/>
      <w:marTop w:val="0"/>
      <w:marBottom w:val="60"/>
      <w:divBdr>
        <w:top w:val="none" w:sz="0" w:space="0" w:color="auto"/>
        <w:left w:val="none" w:sz="0" w:space="0" w:color="auto"/>
        <w:bottom w:val="none" w:sz="0" w:space="0" w:color="auto"/>
        <w:right w:val="none" w:sz="0" w:space="0" w:color="auto"/>
      </w:divBdr>
    </w:div>
    <w:div w:id="208953747">
      <w:marLeft w:val="0"/>
      <w:marRight w:val="0"/>
      <w:marTop w:val="100"/>
      <w:marBottom w:val="0"/>
      <w:divBdr>
        <w:top w:val="none" w:sz="0" w:space="0" w:color="auto"/>
        <w:left w:val="none" w:sz="0" w:space="0" w:color="auto"/>
        <w:bottom w:val="none" w:sz="0" w:space="0" w:color="auto"/>
        <w:right w:val="none" w:sz="0" w:space="0" w:color="auto"/>
      </w:divBdr>
      <w:divsChild>
        <w:div w:id="1549875268">
          <w:marLeft w:val="0"/>
          <w:marRight w:val="0"/>
          <w:marTop w:val="0"/>
          <w:marBottom w:val="0"/>
          <w:divBdr>
            <w:top w:val="none" w:sz="0" w:space="0" w:color="auto"/>
            <w:left w:val="none" w:sz="0" w:space="0" w:color="auto"/>
            <w:bottom w:val="none" w:sz="0" w:space="0" w:color="auto"/>
            <w:right w:val="none" w:sz="0" w:space="0" w:color="auto"/>
          </w:divBdr>
        </w:div>
      </w:divsChild>
    </w:div>
    <w:div w:id="213660518">
      <w:marLeft w:val="0"/>
      <w:marRight w:val="0"/>
      <w:marTop w:val="0"/>
      <w:marBottom w:val="0"/>
      <w:divBdr>
        <w:top w:val="none" w:sz="0" w:space="0" w:color="auto"/>
        <w:left w:val="none" w:sz="0" w:space="0" w:color="auto"/>
        <w:bottom w:val="none" w:sz="0" w:space="0" w:color="auto"/>
        <w:right w:val="none" w:sz="0" w:space="0" w:color="auto"/>
      </w:divBdr>
    </w:div>
    <w:div w:id="223218099">
      <w:marLeft w:val="0"/>
      <w:marRight w:val="0"/>
      <w:marTop w:val="0"/>
      <w:marBottom w:val="0"/>
      <w:divBdr>
        <w:top w:val="none" w:sz="0" w:space="0" w:color="auto"/>
        <w:left w:val="none" w:sz="0" w:space="0" w:color="auto"/>
        <w:bottom w:val="none" w:sz="0" w:space="0" w:color="auto"/>
        <w:right w:val="none" w:sz="0" w:space="0" w:color="auto"/>
      </w:divBdr>
    </w:div>
    <w:div w:id="227959565">
      <w:marLeft w:val="0"/>
      <w:marRight w:val="0"/>
      <w:marTop w:val="0"/>
      <w:marBottom w:val="0"/>
      <w:divBdr>
        <w:top w:val="none" w:sz="0" w:space="0" w:color="auto"/>
        <w:left w:val="none" w:sz="0" w:space="0" w:color="auto"/>
        <w:bottom w:val="none" w:sz="0" w:space="0" w:color="auto"/>
        <w:right w:val="none" w:sz="0" w:space="0" w:color="auto"/>
      </w:divBdr>
      <w:divsChild>
        <w:div w:id="1904557097">
          <w:marLeft w:val="0"/>
          <w:marRight w:val="0"/>
          <w:marTop w:val="160"/>
          <w:marBottom w:val="160"/>
          <w:divBdr>
            <w:top w:val="none" w:sz="0" w:space="0" w:color="auto"/>
            <w:left w:val="none" w:sz="0" w:space="0" w:color="auto"/>
            <w:bottom w:val="none" w:sz="0" w:space="0" w:color="auto"/>
            <w:right w:val="none" w:sz="0" w:space="0" w:color="auto"/>
          </w:divBdr>
        </w:div>
      </w:divsChild>
    </w:div>
    <w:div w:id="227964796">
      <w:marLeft w:val="0"/>
      <w:marRight w:val="0"/>
      <w:marTop w:val="100"/>
      <w:marBottom w:val="0"/>
      <w:divBdr>
        <w:top w:val="none" w:sz="0" w:space="0" w:color="auto"/>
        <w:left w:val="none" w:sz="0" w:space="0" w:color="auto"/>
        <w:bottom w:val="none" w:sz="0" w:space="0" w:color="auto"/>
        <w:right w:val="none" w:sz="0" w:space="0" w:color="auto"/>
      </w:divBdr>
    </w:div>
    <w:div w:id="255214613">
      <w:marLeft w:val="0"/>
      <w:marRight w:val="0"/>
      <w:marTop w:val="0"/>
      <w:marBottom w:val="0"/>
      <w:divBdr>
        <w:top w:val="none" w:sz="0" w:space="0" w:color="auto"/>
        <w:left w:val="none" w:sz="0" w:space="0" w:color="auto"/>
        <w:bottom w:val="none" w:sz="0" w:space="0" w:color="auto"/>
        <w:right w:val="none" w:sz="0" w:space="0" w:color="auto"/>
      </w:divBdr>
    </w:div>
    <w:div w:id="256327502">
      <w:marLeft w:val="0"/>
      <w:marRight w:val="0"/>
      <w:marTop w:val="0"/>
      <w:marBottom w:val="0"/>
      <w:divBdr>
        <w:top w:val="none" w:sz="0" w:space="0" w:color="auto"/>
        <w:left w:val="none" w:sz="0" w:space="0" w:color="auto"/>
        <w:bottom w:val="none" w:sz="0" w:space="0" w:color="auto"/>
        <w:right w:val="none" w:sz="0" w:space="0" w:color="auto"/>
      </w:divBdr>
      <w:divsChild>
        <w:div w:id="1807044060">
          <w:marLeft w:val="0"/>
          <w:marRight w:val="0"/>
          <w:marTop w:val="160"/>
          <w:marBottom w:val="160"/>
          <w:divBdr>
            <w:top w:val="none" w:sz="0" w:space="0" w:color="auto"/>
            <w:left w:val="none" w:sz="0" w:space="0" w:color="auto"/>
            <w:bottom w:val="none" w:sz="0" w:space="0" w:color="auto"/>
            <w:right w:val="none" w:sz="0" w:space="0" w:color="auto"/>
          </w:divBdr>
        </w:div>
      </w:divsChild>
    </w:div>
    <w:div w:id="257910721">
      <w:marLeft w:val="0"/>
      <w:marRight w:val="0"/>
      <w:marTop w:val="0"/>
      <w:marBottom w:val="0"/>
      <w:divBdr>
        <w:top w:val="none" w:sz="0" w:space="0" w:color="auto"/>
        <w:left w:val="none" w:sz="0" w:space="0" w:color="auto"/>
        <w:bottom w:val="none" w:sz="0" w:space="0" w:color="auto"/>
        <w:right w:val="none" w:sz="0" w:space="0" w:color="auto"/>
      </w:divBdr>
    </w:div>
    <w:div w:id="260377637">
      <w:marLeft w:val="0"/>
      <w:marRight w:val="0"/>
      <w:marTop w:val="0"/>
      <w:marBottom w:val="0"/>
      <w:divBdr>
        <w:top w:val="none" w:sz="0" w:space="0" w:color="auto"/>
        <w:left w:val="none" w:sz="0" w:space="0" w:color="auto"/>
        <w:bottom w:val="none" w:sz="0" w:space="0" w:color="auto"/>
        <w:right w:val="none" w:sz="0" w:space="0" w:color="auto"/>
      </w:divBdr>
    </w:div>
    <w:div w:id="261031417">
      <w:marLeft w:val="0"/>
      <w:marRight w:val="0"/>
      <w:marTop w:val="0"/>
      <w:marBottom w:val="0"/>
      <w:divBdr>
        <w:top w:val="none" w:sz="0" w:space="0" w:color="auto"/>
        <w:left w:val="none" w:sz="0" w:space="0" w:color="auto"/>
        <w:bottom w:val="none" w:sz="0" w:space="0" w:color="auto"/>
        <w:right w:val="none" w:sz="0" w:space="0" w:color="auto"/>
      </w:divBdr>
      <w:divsChild>
        <w:div w:id="1568345716">
          <w:marLeft w:val="0"/>
          <w:marRight w:val="0"/>
          <w:marTop w:val="160"/>
          <w:marBottom w:val="160"/>
          <w:divBdr>
            <w:top w:val="none" w:sz="0" w:space="0" w:color="auto"/>
            <w:left w:val="none" w:sz="0" w:space="0" w:color="auto"/>
            <w:bottom w:val="none" w:sz="0" w:space="0" w:color="auto"/>
            <w:right w:val="none" w:sz="0" w:space="0" w:color="auto"/>
          </w:divBdr>
        </w:div>
      </w:divsChild>
    </w:div>
    <w:div w:id="267542544">
      <w:marLeft w:val="0"/>
      <w:marRight w:val="0"/>
      <w:marTop w:val="0"/>
      <w:marBottom w:val="0"/>
      <w:divBdr>
        <w:top w:val="none" w:sz="0" w:space="0" w:color="auto"/>
        <w:left w:val="none" w:sz="0" w:space="0" w:color="auto"/>
        <w:bottom w:val="none" w:sz="0" w:space="0" w:color="auto"/>
        <w:right w:val="none" w:sz="0" w:space="0" w:color="auto"/>
      </w:divBdr>
    </w:div>
    <w:div w:id="268895264">
      <w:marLeft w:val="0"/>
      <w:marRight w:val="0"/>
      <w:marTop w:val="0"/>
      <w:marBottom w:val="0"/>
      <w:divBdr>
        <w:top w:val="none" w:sz="0" w:space="0" w:color="auto"/>
        <w:left w:val="none" w:sz="0" w:space="0" w:color="auto"/>
        <w:bottom w:val="none" w:sz="0" w:space="0" w:color="auto"/>
        <w:right w:val="none" w:sz="0" w:space="0" w:color="auto"/>
      </w:divBdr>
      <w:divsChild>
        <w:div w:id="1170022840">
          <w:marLeft w:val="0"/>
          <w:marRight w:val="0"/>
          <w:marTop w:val="160"/>
          <w:marBottom w:val="160"/>
          <w:divBdr>
            <w:top w:val="none" w:sz="0" w:space="0" w:color="auto"/>
            <w:left w:val="none" w:sz="0" w:space="0" w:color="auto"/>
            <w:bottom w:val="none" w:sz="0" w:space="0" w:color="auto"/>
            <w:right w:val="none" w:sz="0" w:space="0" w:color="auto"/>
          </w:divBdr>
        </w:div>
      </w:divsChild>
    </w:div>
    <w:div w:id="287392622">
      <w:marLeft w:val="0"/>
      <w:marRight w:val="0"/>
      <w:marTop w:val="100"/>
      <w:marBottom w:val="0"/>
      <w:divBdr>
        <w:top w:val="none" w:sz="0" w:space="0" w:color="auto"/>
        <w:left w:val="none" w:sz="0" w:space="0" w:color="auto"/>
        <w:bottom w:val="none" w:sz="0" w:space="0" w:color="auto"/>
        <w:right w:val="none" w:sz="0" w:space="0" w:color="auto"/>
      </w:divBdr>
    </w:div>
    <w:div w:id="289166715">
      <w:marLeft w:val="0"/>
      <w:marRight w:val="0"/>
      <w:marTop w:val="0"/>
      <w:marBottom w:val="0"/>
      <w:divBdr>
        <w:top w:val="none" w:sz="0" w:space="0" w:color="auto"/>
        <w:left w:val="none" w:sz="0" w:space="0" w:color="auto"/>
        <w:bottom w:val="none" w:sz="0" w:space="0" w:color="auto"/>
        <w:right w:val="none" w:sz="0" w:space="0" w:color="auto"/>
      </w:divBdr>
    </w:div>
    <w:div w:id="291601350">
      <w:marLeft w:val="0"/>
      <w:marRight w:val="0"/>
      <w:marTop w:val="0"/>
      <w:marBottom w:val="0"/>
      <w:divBdr>
        <w:top w:val="none" w:sz="0" w:space="0" w:color="auto"/>
        <w:left w:val="none" w:sz="0" w:space="0" w:color="auto"/>
        <w:bottom w:val="none" w:sz="0" w:space="0" w:color="auto"/>
        <w:right w:val="none" w:sz="0" w:space="0" w:color="auto"/>
      </w:divBdr>
    </w:div>
    <w:div w:id="293683166">
      <w:marLeft w:val="0"/>
      <w:marRight w:val="0"/>
      <w:marTop w:val="0"/>
      <w:marBottom w:val="160"/>
      <w:divBdr>
        <w:top w:val="none" w:sz="0" w:space="0" w:color="auto"/>
        <w:left w:val="none" w:sz="0" w:space="0" w:color="auto"/>
        <w:bottom w:val="none" w:sz="0" w:space="0" w:color="auto"/>
        <w:right w:val="none" w:sz="0" w:space="0" w:color="auto"/>
      </w:divBdr>
    </w:div>
    <w:div w:id="293945996">
      <w:marLeft w:val="0"/>
      <w:marRight w:val="0"/>
      <w:marTop w:val="0"/>
      <w:marBottom w:val="0"/>
      <w:divBdr>
        <w:top w:val="none" w:sz="0" w:space="0" w:color="auto"/>
        <w:left w:val="none" w:sz="0" w:space="0" w:color="auto"/>
        <w:bottom w:val="none" w:sz="0" w:space="0" w:color="auto"/>
        <w:right w:val="none" w:sz="0" w:space="0" w:color="auto"/>
      </w:divBdr>
      <w:divsChild>
        <w:div w:id="1232931467">
          <w:marLeft w:val="0"/>
          <w:marRight w:val="0"/>
          <w:marTop w:val="0"/>
          <w:marBottom w:val="0"/>
          <w:divBdr>
            <w:top w:val="none" w:sz="0" w:space="0" w:color="auto"/>
            <w:left w:val="none" w:sz="0" w:space="0" w:color="auto"/>
            <w:bottom w:val="none" w:sz="0" w:space="0" w:color="auto"/>
            <w:right w:val="none" w:sz="0" w:space="0" w:color="auto"/>
          </w:divBdr>
        </w:div>
      </w:divsChild>
    </w:div>
    <w:div w:id="300618299">
      <w:marLeft w:val="0"/>
      <w:marRight w:val="0"/>
      <w:marTop w:val="0"/>
      <w:marBottom w:val="0"/>
      <w:divBdr>
        <w:top w:val="none" w:sz="0" w:space="0" w:color="auto"/>
        <w:left w:val="none" w:sz="0" w:space="0" w:color="auto"/>
        <w:bottom w:val="none" w:sz="0" w:space="0" w:color="auto"/>
        <w:right w:val="none" w:sz="0" w:space="0" w:color="auto"/>
      </w:divBdr>
      <w:divsChild>
        <w:div w:id="522288164">
          <w:marLeft w:val="0"/>
          <w:marRight w:val="0"/>
          <w:marTop w:val="160"/>
          <w:marBottom w:val="160"/>
          <w:divBdr>
            <w:top w:val="none" w:sz="0" w:space="0" w:color="auto"/>
            <w:left w:val="none" w:sz="0" w:space="0" w:color="auto"/>
            <w:bottom w:val="none" w:sz="0" w:space="0" w:color="auto"/>
            <w:right w:val="none" w:sz="0" w:space="0" w:color="auto"/>
          </w:divBdr>
        </w:div>
      </w:divsChild>
    </w:div>
    <w:div w:id="307365822">
      <w:marLeft w:val="0"/>
      <w:marRight w:val="0"/>
      <w:marTop w:val="0"/>
      <w:marBottom w:val="0"/>
      <w:divBdr>
        <w:top w:val="none" w:sz="0" w:space="0" w:color="auto"/>
        <w:left w:val="none" w:sz="0" w:space="0" w:color="auto"/>
        <w:bottom w:val="none" w:sz="0" w:space="0" w:color="auto"/>
        <w:right w:val="none" w:sz="0" w:space="0" w:color="auto"/>
      </w:divBdr>
    </w:div>
    <w:div w:id="318384232">
      <w:marLeft w:val="0"/>
      <w:marRight w:val="0"/>
      <w:marTop w:val="180"/>
      <w:marBottom w:val="0"/>
      <w:divBdr>
        <w:top w:val="none" w:sz="0" w:space="0" w:color="auto"/>
        <w:left w:val="none" w:sz="0" w:space="0" w:color="auto"/>
        <w:bottom w:val="none" w:sz="0" w:space="0" w:color="auto"/>
        <w:right w:val="none" w:sz="0" w:space="0" w:color="auto"/>
      </w:divBdr>
    </w:div>
    <w:div w:id="319315007">
      <w:marLeft w:val="0"/>
      <w:marRight w:val="0"/>
      <w:marTop w:val="0"/>
      <w:marBottom w:val="60"/>
      <w:divBdr>
        <w:top w:val="none" w:sz="0" w:space="0" w:color="auto"/>
        <w:left w:val="none" w:sz="0" w:space="0" w:color="auto"/>
        <w:bottom w:val="none" w:sz="0" w:space="0" w:color="auto"/>
        <w:right w:val="none" w:sz="0" w:space="0" w:color="auto"/>
      </w:divBdr>
    </w:div>
    <w:div w:id="319891104">
      <w:marLeft w:val="0"/>
      <w:marRight w:val="0"/>
      <w:marTop w:val="0"/>
      <w:marBottom w:val="60"/>
      <w:divBdr>
        <w:top w:val="none" w:sz="0" w:space="0" w:color="auto"/>
        <w:left w:val="none" w:sz="0" w:space="0" w:color="auto"/>
        <w:bottom w:val="none" w:sz="0" w:space="0" w:color="auto"/>
        <w:right w:val="none" w:sz="0" w:space="0" w:color="auto"/>
      </w:divBdr>
    </w:div>
    <w:div w:id="332732737">
      <w:marLeft w:val="0"/>
      <w:marRight w:val="0"/>
      <w:marTop w:val="0"/>
      <w:marBottom w:val="0"/>
      <w:divBdr>
        <w:top w:val="none" w:sz="0" w:space="0" w:color="auto"/>
        <w:left w:val="none" w:sz="0" w:space="0" w:color="auto"/>
        <w:bottom w:val="none" w:sz="0" w:space="0" w:color="auto"/>
        <w:right w:val="none" w:sz="0" w:space="0" w:color="auto"/>
      </w:divBdr>
    </w:div>
    <w:div w:id="332798782">
      <w:marLeft w:val="0"/>
      <w:marRight w:val="0"/>
      <w:marTop w:val="0"/>
      <w:marBottom w:val="0"/>
      <w:divBdr>
        <w:top w:val="none" w:sz="0" w:space="0" w:color="auto"/>
        <w:left w:val="none" w:sz="0" w:space="0" w:color="auto"/>
        <w:bottom w:val="none" w:sz="0" w:space="0" w:color="auto"/>
        <w:right w:val="none" w:sz="0" w:space="0" w:color="auto"/>
      </w:divBdr>
    </w:div>
    <w:div w:id="343676496">
      <w:marLeft w:val="0"/>
      <w:marRight w:val="0"/>
      <w:marTop w:val="0"/>
      <w:marBottom w:val="0"/>
      <w:divBdr>
        <w:top w:val="none" w:sz="0" w:space="0" w:color="auto"/>
        <w:left w:val="none" w:sz="0" w:space="0" w:color="auto"/>
        <w:bottom w:val="none" w:sz="0" w:space="0" w:color="auto"/>
        <w:right w:val="none" w:sz="0" w:space="0" w:color="auto"/>
      </w:divBdr>
    </w:div>
    <w:div w:id="350224679">
      <w:marLeft w:val="0"/>
      <w:marRight w:val="0"/>
      <w:marTop w:val="240"/>
      <w:marBottom w:val="160"/>
      <w:divBdr>
        <w:top w:val="none" w:sz="0" w:space="0" w:color="auto"/>
        <w:left w:val="none" w:sz="0" w:space="0" w:color="auto"/>
        <w:bottom w:val="none" w:sz="0" w:space="0" w:color="auto"/>
        <w:right w:val="none" w:sz="0" w:space="0" w:color="auto"/>
      </w:divBdr>
    </w:div>
    <w:div w:id="356548012">
      <w:marLeft w:val="0"/>
      <w:marRight w:val="0"/>
      <w:marTop w:val="0"/>
      <w:marBottom w:val="0"/>
      <w:divBdr>
        <w:top w:val="none" w:sz="0" w:space="0" w:color="auto"/>
        <w:left w:val="none" w:sz="0" w:space="0" w:color="auto"/>
        <w:bottom w:val="none" w:sz="0" w:space="0" w:color="auto"/>
        <w:right w:val="none" w:sz="0" w:space="0" w:color="auto"/>
      </w:divBdr>
    </w:div>
    <w:div w:id="357708190">
      <w:marLeft w:val="0"/>
      <w:marRight w:val="0"/>
      <w:marTop w:val="0"/>
      <w:marBottom w:val="0"/>
      <w:divBdr>
        <w:top w:val="none" w:sz="0" w:space="0" w:color="auto"/>
        <w:left w:val="none" w:sz="0" w:space="0" w:color="auto"/>
        <w:bottom w:val="none" w:sz="0" w:space="0" w:color="auto"/>
        <w:right w:val="none" w:sz="0" w:space="0" w:color="auto"/>
      </w:divBdr>
    </w:div>
    <w:div w:id="361974624">
      <w:marLeft w:val="0"/>
      <w:marRight w:val="0"/>
      <w:marTop w:val="0"/>
      <w:marBottom w:val="0"/>
      <w:divBdr>
        <w:top w:val="none" w:sz="0" w:space="0" w:color="auto"/>
        <w:left w:val="none" w:sz="0" w:space="0" w:color="auto"/>
        <w:bottom w:val="none" w:sz="0" w:space="0" w:color="auto"/>
        <w:right w:val="none" w:sz="0" w:space="0" w:color="auto"/>
      </w:divBdr>
    </w:div>
    <w:div w:id="390614737">
      <w:marLeft w:val="0"/>
      <w:marRight w:val="0"/>
      <w:marTop w:val="0"/>
      <w:marBottom w:val="60"/>
      <w:divBdr>
        <w:top w:val="none" w:sz="0" w:space="0" w:color="auto"/>
        <w:left w:val="none" w:sz="0" w:space="0" w:color="auto"/>
        <w:bottom w:val="none" w:sz="0" w:space="0" w:color="auto"/>
        <w:right w:val="none" w:sz="0" w:space="0" w:color="auto"/>
      </w:divBdr>
    </w:div>
    <w:div w:id="396250992">
      <w:marLeft w:val="0"/>
      <w:marRight w:val="0"/>
      <w:marTop w:val="0"/>
      <w:marBottom w:val="0"/>
      <w:divBdr>
        <w:top w:val="none" w:sz="0" w:space="0" w:color="auto"/>
        <w:left w:val="none" w:sz="0" w:space="0" w:color="auto"/>
        <w:bottom w:val="none" w:sz="0" w:space="0" w:color="auto"/>
        <w:right w:val="none" w:sz="0" w:space="0" w:color="auto"/>
      </w:divBdr>
    </w:div>
    <w:div w:id="412245109">
      <w:marLeft w:val="0"/>
      <w:marRight w:val="0"/>
      <w:marTop w:val="0"/>
      <w:marBottom w:val="0"/>
      <w:divBdr>
        <w:top w:val="none" w:sz="0" w:space="0" w:color="auto"/>
        <w:left w:val="none" w:sz="0" w:space="0" w:color="auto"/>
        <w:bottom w:val="none" w:sz="0" w:space="0" w:color="auto"/>
        <w:right w:val="none" w:sz="0" w:space="0" w:color="auto"/>
      </w:divBdr>
    </w:div>
    <w:div w:id="417141813">
      <w:marLeft w:val="0"/>
      <w:marRight w:val="0"/>
      <w:marTop w:val="0"/>
      <w:marBottom w:val="160"/>
      <w:divBdr>
        <w:top w:val="none" w:sz="0" w:space="0" w:color="auto"/>
        <w:left w:val="none" w:sz="0" w:space="0" w:color="auto"/>
        <w:bottom w:val="none" w:sz="0" w:space="0" w:color="auto"/>
        <w:right w:val="none" w:sz="0" w:space="0" w:color="auto"/>
      </w:divBdr>
    </w:div>
    <w:div w:id="437262322">
      <w:marLeft w:val="0"/>
      <w:marRight w:val="0"/>
      <w:marTop w:val="0"/>
      <w:marBottom w:val="0"/>
      <w:divBdr>
        <w:top w:val="none" w:sz="0" w:space="0" w:color="auto"/>
        <w:left w:val="none" w:sz="0" w:space="0" w:color="auto"/>
        <w:bottom w:val="none" w:sz="0" w:space="0" w:color="auto"/>
        <w:right w:val="none" w:sz="0" w:space="0" w:color="auto"/>
      </w:divBdr>
    </w:div>
    <w:div w:id="452600419">
      <w:marLeft w:val="0"/>
      <w:marRight w:val="0"/>
      <w:marTop w:val="0"/>
      <w:marBottom w:val="0"/>
      <w:divBdr>
        <w:top w:val="none" w:sz="0" w:space="0" w:color="auto"/>
        <w:left w:val="none" w:sz="0" w:space="0" w:color="auto"/>
        <w:bottom w:val="none" w:sz="0" w:space="0" w:color="auto"/>
        <w:right w:val="none" w:sz="0" w:space="0" w:color="auto"/>
      </w:divBdr>
      <w:divsChild>
        <w:div w:id="1414283459">
          <w:marLeft w:val="0"/>
          <w:marRight w:val="0"/>
          <w:marTop w:val="0"/>
          <w:marBottom w:val="0"/>
          <w:divBdr>
            <w:top w:val="none" w:sz="0" w:space="0" w:color="auto"/>
            <w:left w:val="none" w:sz="0" w:space="0" w:color="auto"/>
            <w:bottom w:val="none" w:sz="0" w:space="0" w:color="auto"/>
            <w:right w:val="none" w:sz="0" w:space="0" w:color="auto"/>
          </w:divBdr>
        </w:div>
      </w:divsChild>
    </w:div>
    <w:div w:id="457377210">
      <w:marLeft w:val="0"/>
      <w:marRight w:val="0"/>
      <w:marTop w:val="0"/>
      <w:marBottom w:val="0"/>
      <w:divBdr>
        <w:top w:val="none" w:sz="0" w:space="0" w:color="auto"/>
        <w:left w:val="none" w:sz="0" w:space="0" w:color="auto"/>
        <w:bottom w:val="none" w:sz="0" w:space="0" w:color="auto"/>
        <w:right w:val="none" w:sz="0" w:space="0" w:color="auto"/>
      </w:divBdr>
      <w:divsChild>
        <w:div w:id="822771398">
          <w:marLeft w:val="0"/>
          <w:marRight w:val="0"/>
          <w:marTop w:val="160"/>
          <w:marBottom w:val="160"/>
          <w:divBdr>
            <w:top w:val="none" w:sz="0" w:space="0" w:color="auto"/>
            <w:left w:val="none" w:sz="0" w:space="0" w:color="auto"/>
            <w:bottom w:val="none" w:sz="0" w:space="0" w:color="auto"/>
            <w:right w:val="none" w:sz="0" w:space="0" w:color="auto"/>
          </w:divBdr>
        </w:div>
      </w:divsChild>
    </w:div>
    <w:div w:id="460002320">
      <w:marLeft w:val="0"/>
      <w:marRight w:val="0"/>
      <w:marTop w:val="0"/>
      <w:marBottom w:val="0"/>
      <w:divBdr>
        <w:top w:val="none" w:sz="0" w:space="0" w:color="auto"/>
        <w:left w:val="none" w:sz="0" w:space="0" w:color="auto"/>
        <w:bottom w:val="none" w:sz="0" w:space="0" w:color="auto"/>
        <w:right w:val="none" w:sz="0" w:space="0" w:color="auto"/>
      </w:divBdr>
    </w:div>
    <w:div w:id="474028503">
      <w:marLeft w:val="0"/>
      <w:marRight w:val="0"/>
      <w:marTop w:val="0"/>
      <w:marBottom w:val="0"/>
      <w:divBdr>
        <w:top w:val="none" w:sz="0" w:space="0" w:color="auto"/>
        <w:left w:val="none" w:sz="0" w:space="0" w:color="auto"/>
        <w:bottom w:val="none" w:sz="0" w:space="0" w:color="auto"/>
        <w:right w:val="none" w:sz="0" w:space="0" w:color="auto"/>
      </w:divBdr>
    </w:div>
    <w:div w:id="486433035">
      <w:marLeft w:val="0"/>
      <w:marRight w:val="0"/>
      <w:marTop w:val="0"/>
      <w:marBottom w:val="0"/>
      <w:divBdr>
        <w:top w:val="none" w:sz="0" w:space="0" w:color="auto"/>
        <w:left w:val="none" w:sz="0" w:space="0" w:color="auto"/>
        <w:bottom w:val="none" w:sz="0" w:space="0" w:color="auto"/>
        <w:right w:val="none" w:sz="0" w:space="0" w:color="auto"/>
      </w:divBdr>
    </w:div>
    <w:div w:id="488903546">
      <w:marLeft w:val="0"/>
      <w:marRight w:val="0"/>
      <w:marTop w:val="0"/>
      <w:marBottom w:val="0"/>
      <w:divBdr>
        <w:top w:val="none" w:sz="0" w:space="0" w:color="auto"/>
        <w:left w:val="none" w:sz="0" w:space="0" w:color="auto"/>
        <w:bottom w:val="none" w:sz="0" w:space="0" w:color="auto"/>
        <w:right w:val="none" w:sz="0" w:space="0" w:color="auto"/>
      </w:divBdr>
    </w:div>
    <w:div w:id="517819986">
      <w:marLeft w:val="0"/>
      <w:marRight w:val="0"/>
      <w:marTop w:val="0"/>
      <w:marBottom w:val="60"/>
      <w:divBdr>
        <w:top w:val="none" w:sz="0" w:space="0" w:color="auto"/>
        <w:left w:val="none" w:sz="0" w:space="0" w:color="auto"/>
        <w:bottom w:val="none" w:sz="0" w:space="0" w:color="auto"/>
        <w:right w:val="none" w:sz="0" w:space="0" w:color="auto"/>
      </w:divBdr>
    </w:div>
    <w:div w:id="536503852">
      <w:marLeft w:val="0"/>
      <w:marRight w:val="0"/>
      <w:marTop w:val="240"/>
      <w:marBottom w:val="100"/>
      <w:divBdr>
        <w:top w:val="none" w:sz="0" w:space="0" w:color="auto"/>
        <w:left w:val="none" w:sz="0" w:space="0" w:color="auto"/>
        <w:bottom w:val="none" w:sz="0" w:space="0" w:color="auto"/>
        <w:right w:val="none" w:sz="0" w:space="0" w:color="auto"/>
      </w:divBdr>
    </w:div>
    <w:div w:id="539629612">
      <w:marLeft w:val="0"/>
      <w:marRight w:val="0"/>
      <w:marTop w:val="0"/>
      <w:marBottom w:val="0"/>
      <w:divBdr>
        <w:top w:val="none" w:sz="0" w:space="0" w:color="auto"/>
        <w:left w:val="none" w:sz="0" w:space="0" w:color="auto"/>
        <w:bottom w:val="none" w:sz="0" w:space="0" w:color="auto"/>
        <w:right w:val="none" w:sz="0" w:space="0" w:color="auto"/>
      </w:divBdr>
      <w:divsChild>
        <w:div w:id="2113931809">
          <w:marLeft w:val="0"/>
          <w:marRight w:val="0"/>
          <w:marTop w:val="160"/>
          <w:marBottom w:val="160"/>
          <w:divBdr>
            <w:top w:val="none" w:sz="0" w:space="0" w:color="auto"/>
            <w:left w:val="none" w:sz="0" w:space="0" w:color="auto"/>
            <w:bottom w:val="none" w:sz="0" w:space="0" w:color="auto"/>
            <w:right w:val="none" w:sz="0" w:space="0" w:color="auto"/>
          </w:divBdr>
        </w:div>
      </w:divsChild>
    </w:div>
    <w:div w:id="539979788">
      <w:marLeft w:val="0"/>
      <w:marRight w:val="0"/>
      <w:marTop w:val="0"/>
      <w:marBottom w:val="0"/>
      <w:divBdr>
        <w:top w:val="none" w:sz="0" w:space="0" w:color="auto"/>
        <w:left w:val="none" w:sz="0" w:space="0" w:color="auto"/>
        <w:bottom w:val="none" w:sz="0" w:space="0" w:color="auto"/>
        <w:right w:val="none" w:sz="0" w:space="0" w:color="auto"/>
      </w:divBdr>
      <w:divsChild>
        <w:div w:id="1125391763">
          <w:marLeft w:val="0"/>
          <w:marRight w:val="0"/>
          <w:marTop w:val="0"/>
          <w:marBottom w:val="0"/>
          <w:divBdr>
            <w:top w:val="none" w:sz="0" w:space="0" w:color="auto"/>
            <w:left w:val="none" w:sz="0" w:space="0" w:color="auto"/>
            <w:bottom w:val="none" w:sz="0" w:space="0" w:color="auto"/>
            <w:right w:val="none" w:sz="0" w:space="0" w:color="auto"/>
          </w:divBdr>
        </w:div>
      </w:divsChild>
    </w:div>
    <w:div w:id="551385430">
      <w:marLeft w:val="0"/>
      <w:marRight w:val="0"/>
      <w:marTop w:val="0"/>
      <w:marBottom w:val="0"/>
      <w:divBdr>
        <w:top w:val="none" w:sz="0" w:space="0" w:color="auto"/>
        <w:left w:val="none" w:sz="0" w:space="0" w:color="auto"/>
        <w:bottom w:val="none" w:sz="0" w:space="0" w:color="auto"/>
        <w:right w:val="none" w:sz="0" w:space="0" w:color="auto"/>
      </w:divBdr>
      <w:divsChild>
        <w:div w:id="1700282423">
          <w:marLeft w:val="0"/>
          <w:marRight w:val="0"/>
          <w:marTop w:val="160"/>
          <w:marBottom w:val="160"/>
          <w:divBdr>
            <w:top w:val="none" w:sz="0" w:space="0" w:color="auto"/>
            <w:left w:val="none" w:sz="0" w:space="0" w:color="auto"/>
            <w:bottom w:val="none" w:sz="0" w:space="0" w:color="auto"/>
            <w:right w:val="none" w:sz="0" w:space="0" w:color="auto"/>
          </w:divBdr>
        </w:div>
      </w:divsChild>
    </w:div>
    <w:div w:id="551431423">
      <w:marLeft w:val="0"/>
      <w:marRight w:val="0"/>
      <w:marTop w:val="0"/>
      <w:marBottom w:val="0"/>
      <w:divBdr>
        <w:top w:val="none" w:sz="0" w:space="0" w:color="auto"/>
        <w:left w:val="none" w:sz="0" w:space="0" w:color="auto"/>
        <w:bottom w:val="none" w:sz="0" w:space="0" w:color="auto"/>
        <w:right w:val="none" w:sz="0" w:space="0" w:color="auto"/>
      </w:divBdr>
    </w:div>
    <w:div w:id="551699779">
      <w:marLeft w:val="0"/>
      <w:marRight w:val="0"/>
      <w:marTop w:val="0"/>
      <w:marBottom w:val="240"/>
      <w:divBdr>
        <w:top w:val="none" w:sz="0" w:space="0" w:color="auto"/>
        <w:left w:val="none" w:sz="0" w:space="0" w:color="auto"/>
        <w:bottom w:val="none" w:sz="0" w:space="0" w:color="auto"/>
        <w:right w:val="none" w:sz="0" w:space="0" w:color="auto"/>
      </w:divBdr>
    </w:div>
    <w:div w:id="554851265">
      <w:marLeft w:val="0"/>
      <w:marRight w:val="0"/>
      <w:marTop w:val="0"/>
      <w:marBottom w:val="0"/>
      <w:divBdr>
        <w:top w:val="none" w:sz="0" w:space="0" w:color="auto"/>
        <w:left w:val="none" w:sz="0" w:space="0" w:color="auto"/>
        <w:bottom w:val="none" w:sz="0" w:space="0" w:color="auto"/>
        <w:right w:val="none" w:sz="0" w:space="0" w:color="auto"/>
      </w:divBdr>
    </w:div>
    <w:div w:id="564149693">
      <w:marLeft w:val="0"/>
      <w:marRight w:val="0"/>
      <w:marTop w:val="0"/>
      <w:marBottom w:val="0"/>
      <w:divBdr>
        <w:top w:val="none" w:sz="0" w:space="0" w:color="auto"/>
        <w:left w:val="none" w:sz="0" w:space="0" w:color="auto"/>
        <w:bottom w:val="none" w:sz="0" w:space="0" w:color="auto"/>
        <w:right w:val="none" w:sz="0" w:space="0" w:color="auto"/>
      </w:divBdr>
      <w:divsChild>
        <w:div w:id="1352880468">
          <w:marLeft w:val="0"/>
          <w:marRight w:val="0"/>
          <w:marTop w:val="160"/>
          <w:marBottom w:val="160"/>
          <w:divBdr>
            <w:top w:val="none" w:sz="0" w:space="0" w:color="auto"/>
            <w:left w:val="none" w:sz="0" w:space="0" w:color="auto"/>
            <w:bottom w:val="none" w:sz="0" w:space="0" w:color="auto"/>
            <w:right w:val="none" w:sz="0" w:space="0" w:color="auto"/>
          </w:divBdr>
        </w:div>
      </w:divsChild>
    </w:div>
    <w:div w:id="587544454">
      <w:marLeft w:val="0"/>
      <w:marRight w:val="0"/>
      <w:marTop w:val="120"/>
      <w:marBottom w:val="0"/>
      <w:divBdr>
        <w:top w:val="none" w:sz="0" w:space="0" w:color="auto"/>
        <w:left w:val="none" w:sz="0" w:space="0" w:color="auto"/>
        <w:bottom w:val="none" w:sz="0" w:space="0" w:color="auto"/>
        <w:right w:val="none" w:sz="0" w:space="0" w:color="auto"/>
      </w:divBdr>
    </w:div>
    <w:div w:id="593518488">
      <w:marLeft w:val="0"/>
      <w:marRight w:val="0"/>
      <w:marTop w:val="0"/>
      <w:marBottom w:val="100"/>
      <w:divBdr>
        <w:top w:val="none" w:sz="0" w:space="0" w:color="auto"/>
        <w:left w:val="none" w:sz="0" w:space="0" w:color="auto"/>
        <w:bottom w:val="none" w:sz="0" w:space="0" w:color="auto"/>
        <w:right w:val="none" w:sz="0" w:space="0" w:color="auto"/>
      </w:divBdr>
    </w:div>
    <w:div w:id="608195202">
      <w:marLeft w:val="0"/>
      <w:marRight w:val="0"/>
      <w:marTop w:val="0"/>
      <w:marBottom w:val="0"/>
      <w:divBdr>
        <w:top w:val="none" w:sz="0" w:space="0" w:color="auto"/>
        <w:left w:val="none" w:sz="0" w:space="0" w:color="auto"/>
        <w:bottom w:val="none" w:sz="0" w:space="0" w:color="auto"/>
        <w:right w:val="none" w:sz="0" w:space="0" w:color="auto"/>
      </w:divBdr>
    </w:div>
    <w:div w:id="614169051">
      <w:marLeft w:val="0"/>
      <w:marRight w:val="0"/>
      <w:marTop w:val="0"/>
      <w:marBottom w:val="0"/>
      <w:divBdr>
        <w:top w:val="none" w:sz="0" w:space="0" w:color="auto"/>
        <w:left w:val="none" w:sz="0" w:space="0" w:color="auto"/>
        <w:bottom w:val="none" w:sz="0" w:space="0" w:color="auto"/>
        <w:right w:val="none" w:sz="0" w:space="0" w:color="auto"/>
      </w:divBdr>
    </w:div>
    <w:div w:id="617296776">
      <w:marLeft w:val="0"/>
      <w:marRight w:val="0"/>
      <w:marTop w:val="0"/>
      <w:marBottom w:val="0"/>
      <w:divBdr>
        <w:top w:val="none" w:sz="0" w:space="0" w:color="auto"/>
        <w:left w:val="none" w:sz="0" w:space="0" w:color="auto"/>
        <w:bottom w:val="none" w:sz="0" w:space="0" w:color="auto"/>
        <w:right w:val="none" w:sz="0" w:space="0" w:color="auto"/>
      </w:divBdr>
      <w:divsChild>
        <w:div w:id="699428097">
          <w:marLeft w:val="0"/>
          <w:marRight w:val="0"/>
          <w:marTop w:val="0"/>
          <w:marBottom w:val="0"/>
          <w:divBdr>
            <w:top w:val="none" w:sz="0" w:space="0" w:color="auto"/>
            <w:left w:val="none" w:sz="0" w:space="0" w:color="auto"/>
            <w:bottom w:val="none" w:sz="0" w:space="0" w:color="auto"/>
            <w:right w:val="none" w:sz="0" w:space="0" w:color="auto"/>
          </w:divBdr>
        </w:div>
      </w:divsChild>
    </w:div>
    <w:div w:id="632903232">
      <w:marLeft w:val="0"/>
      <w:marRight w:val="0"/>
      <w:marTop w:val="0"/>
      <w:marBottom w:val="0"/>
      <w:divBdr>
        <w:top w:val="none" w:sz="0" w:space="0" w:color="auto"/>
        <w:left w:val="none" w:sz="0" w:space="0" w:color="auto"/>
        <w:bottom w:val="none" w:sz="0" w:space="0" w:color="auto"/>
        <w:right w:val="none" w:sz="0" w:space="0" w:color="auto"/>
      </w:divBdr>
      <w:divsChild>
        <w:div w:id="1545025647">
          <w:marLeft w:val="0"/>
          <w:marRight w:val="0"/>
          <w:marTop w:val="160"/>
          <w:marBottom w:val="160"/>
          <w:divBdr>
            <w:top w:val="none" w:sz="0" w:space="0" w:color="auto"/>
            <w:left w:val="none" w:sz="0" w:space="0" w:color="auto"/>
            <w:bottom w:val="none" w:sz="0" w:space="0" w:color="auto"/>
            <w:right w:val="none" w:sz="0" w:space="0" w:color="auto"/>
          </w:divBdr>
        </w:div>
      </w:divsChild>
    </w:div>
    <w:div w:id="647712320">
      <w:marLeft w:val="0"/>
      <w:marRight w:val="0"/>
      <w:marTop w:val="0"/>
      <w:marBottom w:val="0"/>
      <w:divBdr>
        <w:top w:val="none" w:sz="0" w:space="0" w:color="auto"/>
        <w:left w:val="none" w:sz="0" w:space="0" w:color="auto"/>
        <w:bottom w:val="none" w:sz="0" w:space="0" w:color="auto"/>
        <w:right w:val="none" w:sz="0" w:space="0" w:color="auto"/>
      </w:divBdr>
    </w:div>
    <w:div w:id="657613499">
      <w:marLeft w:val="0"/>
      <w:marRight w:val="0"/>
      <w:marTop w:val="120"/>
      <w:marBottom w:val="60"/>
      <w:divBdr>
        <w:top w:val="none" w:sz="0" w:space="0" w:color="auto"/>
        <w:left w:val="none" w:sz="0" w:space="0" w:color="auto"/>
        <w:bottom w:val="none" w:sz="0" w:space="0" w:color="auto"/>
        <w:right w:val="none" w:sz="0" w:space="0" w:color="auto"/>
      </w:divBdr>
    </w:div>
    <w:div w:id="659310455">
      <w:marLeft w:val="0"/>
      <w:marRight w:val="0"/>
      <w:marTop w:val="0"/>
      <w:marBottom w:val="0"/>
      <w:divBdr>
        <w:top w:val="none" w:sz="0" w:space="0" w:color="auto"/>
        <w:left w:val="none" w:sz="0" w:space="0" w:color="auto"/>
        <w:bottom w:val="none" w:sz="0" w:space="0" w:color="auto"/>
        <w:right w:val="none" w:sz="0" w:space="0" w:color="auto"/>
      </w:divBdr>
    </w:div>
    <w:div w:id="665128598">
      <w:marLeft w:val="0"/>
      <w:marRight w:val="0"/>
      <w:marTop w:val="0"/>
      <w:marBottom w:val="180"/>
      <w:divBdr>
        <w:top w:val="none" w:sz="0" w:space="0" w:color="auto"/>
        <w:left w:val="none" w:sz="0" w:space="0" w:color="auto"/>
        <w:bottom w:val="none" w:sz="0" w:space="0" w:color="auto"/>
        <w:right w:val="none" w:sz="0" w:space="0" w:color="auto"/>
      </w:divBdr>
    </w:div>
    <w:div w:id="670789510">
      <w:marLeft w:val="0"/>
      <w:marRight w:val="0"/>
      <w:marTop w:val="0"/>
      <w:marBottom w:val="0"/>
      <w:divBdr>
        <w:top w:val="none" w:sz="0" w:space="0" w:color="auto"/>
        <w:left w:val="none" w:sz="0" w:space="0" w:color="auto"/>
        <w:bottom w:val="none" w:sz="0" w:space="0" w:color="auto"/>
        <w:right w:val="none" w:sz="0" w:space="0" w:color="auto"/>
      </w:divBdr>
    </w:div>
    <w:div w:id="680738552">
      <w:marLeft w:val="0"/>
      <w:marRight w:val="0"/>
      <w:marTop w:val="0"/>
      <w:marBottom w:val="160"/>
      <w:divBdr>
        <w:top w:val="none" w:sz="0" w:space="0" w:color="auto"/>
        <w:left w:val="none" w:sz="0" w:space="0" w:color="auto"/>
        <w:bottom w:val="none" w:sz="0" w:space="0" w:color="auto"/>
        <w:right w:val="none" w:sz="0" w:space="0" w:color="auto"/>
      </w:divBdr>
    </w:div>
    <w:div w:id="716857946">
      <w:marLeft w:val="0"/>
      <w:marRight w:val="0"/>
      <w:marTop w:val="0"/>
      <w:marBottom w:val="0"/>
      <w:divBdr>
        <w:top w:val="none" w:sz="0" w:space="0" w:color="auto"/>
        <w:left w:val="none" w:sz="0" w:space="0" w:color="auto"/>
        <w:bottom w:val="none" w:sz="0" w:space="0" w:color="auto"/>
        <w:right w:val="none" w:sz="0" w:space="0" w:color="auto"/>
      </w:divBdr>
    </w:div>
    <w:div w:id="730344657">
      <w:marLeft w:val="0"/>
      <w:marRight w:val="0"/>
      <w:marTop w:val="0"/>
      <w:marBottom w:val="0"/>
      <w:divBdr>
        <w:top w:val="none" w:sz="0" w:space="0" w:color="auto"/>
        <w:left w:val="none" w:sz="0" w:space="0" w:color="auto"/>
        <w:bottom w:val="none" w:sz="0" w:space="0" w:color="auto"/>
        <w:right w:val="none" w:sz="0" w:space="0" w:color="auto"/>
      </w:divBdr>
      <w:divsChild>
        <w:div w:id="45493646">
          <w:marLeft w:val="0"/>
          <w:marRight w:val="0"/>
          <w:marTop w:val="0"/>
          <w:marBottom w:val="0"/>
          <w:divBdr>
            <w:top w:val="none" w:sz="0" w:space="0" w:color="auto"/>
            <w:left w:val="none" w:sz="0" w:space="0" w:color="auto"/>
            <w:bottom w:val="none" w:sz="0" w:space="0" w:color="auto"/>
            <w:right w:val="none" w:sz="0" w:space="0" w:color="auto"/>
          </w:divBdr>
        </w:div>
      </w:divsChild>
    </w:div>
    <w:div w:id="738746692">
      <w:marLeft w:val="0"/>
      <w:marRight w:val="0"/>
      <w:marTop w:val="0"/>
      <w:marBottom w:val="0"/>
      <w:divBdr>
        <w:top w:val="none" w:sz="0" w:space="0" w:color="auto"/>
        <w:left w:val="none" w:sz="0" w:space="0" w:color="auto"/>
        <w:bottom w:val="none" w:sz="0" w:space="0" w:color="auto"/>
        <w:right w:val="none" w:sz="0" w:space="0" w:color="auto"/>
      </w:divBdr>
    </w:div>
    <w:div w:id="738941420">
      <w:marLeft w:val="0"/>
      <w:marRight w:val="0"/>
      <w:marTop w:val="0"/>
      <w:marBottom w:val="0"/>
      <w:divBdr>
        <w:top w:val="none" w:sz="0" w:space="0" w:color="auto"/>
        <w:left w:val="none" w:sz="0" w:space="0" w:color="auto"/>
        <w:bottom w:val="none" w:sz="0" w:space="0" w:color="auto"/>
        <w:right w:val="none" w:sz="0" w:space="0" w:color="auto"/>
      </w:divBdr>
      <w:divsChild>
        <w:div w:id="1805152131">
          <w:marLeft w:val="0"/>
          <w:marRight w:val="0"/>
          <w:marTop w:val="0"/>
          <w:marBottom w:val="0"/>
          <w:divBdr>
            <w:top w:val="none" w:sz="0" w:space="0" w:color="auto"/>
            <w:left w:val="none" w:sz="0" w:space="0" w:color="auto"/>
            <w:bottom w:val="none" w:sz="0" w:space="0" w:color="auto"/>
            <w:right w:val="none" w:sz="0" w:space="0" w:color="auto"/>
          </w:divBdr>
        </w:div>
      </w:divsChild>
    </w:div>
    <w:div w:id="739333539">
      <w:marLeft w:val="0"/>
      <w:marRight w:val="0"/>
      <w:marTop w:val="0"/>
      <w:marBottom w:val="0"/>
      <w:divBdr>
        <w:top w:val="none" w:sz="0" w:space="0" w:color="auto"/>
        <w:left w:val="none" w:sz="0" w:space="0" w:color="auto"/>
        <w:bottom w:val="none" w:sz="0" w:space="0" w:color="auto"/>
        <w:right w:val="none" w:sz="0" w:space="0" w:color="auto"/>
      </w:divBdr>
      <w:divsChild>
        <w:div w:id="1217202745">
          <w:marLeft w:val="0"/>
          <w:marRight w:val="0"/>
          <w:marTop w:val="160"/>
          <w:marBottom w:val="160"/>
          <w:divBdr>
            <w:top w:val="none" w:sz="0" w:space="0" w:color="auto"/>
            <w:left w:val="none" w:sz="0" w:space="0" w:color="auto"/>
            <w:bottom w:val="none" w:sz="0" w:space="0" w:color="auto"/>
            <w:right w:val="none" w:sz="0" w:space="0" w:color="auto"/>
          </w:divBdr>
        </w:div>
      </w:divsChild>
    </w:div>
    <w:div w:id="740715854">
      <w:marLeft w:val="0"/>
      <w:marRight w:val="0"/>
      <w:marTop w:val="0"/>
      <w:marBottom w:val="0"/>
      <w:divBdr>
        <w:top w:val="none" w:sz="0" w:space="0" w:color="auto"/>
        <w:left w:val="none" w:sz="0" w:space="0" w:color="auto"/>
        <w:bottom w:val="none" w:sz="0" w:space="0" w:color="auto"/>
        <w:right w:val="none" w:sz="0" w:space="0" w:color="auto"/>
      </w:divBdr>
    </w:div>
    <w:div w:id="751005289">
      <w:marLeft w:val="0"/>
      <w:marRight w:val="0"/>
      <w:marTop w:val="0"/>
      <w:marBottom w:val="0"/>
      <w:divBdr>
        <w:top w:val="none" w:sz="0" w:space="0" w:color="auto"/>
        <w:left w:val="none" w:sz="0" w:space="0" w:color="auto"/>
        <w:bottom w:val="none" w:sz="0" w:space="0" w:color="auto"/>
        <w:right w:val="none" w:sz="0" w:space="0" w:color="auto"/>
      </w:divBdr>
    </w:div>
    <w:div w:id="753629641">
      <w:marLeft w:val="0"/>
      <w:marRight w:val="0"/>
      <w:marTop w:val="0"/>
      <w:marBottom w:val="0"/>
      <w:divBdr>
        <w:top w:val="none" w:sz="0" w:space="0" w:color="auto"/>
        <w:left w:val="none" w:sz="0" w:space="0" w:color="auto"/>
        <w:bottom w:val="none" w:sz="0" w:space="0" w:color="auto"/>
        <w:right w:val="none" w:sz="0" w:space="0" w:color="auto"/>
      </w:divBdr>
    </w:div>
    <w:div w:id="777064604">
      <w:marLeft w:val="0"/>
      <w:marRight w:val="0"/>
      <w:marTop w:val="0"/>
      <w:marBottom w:val="0"/>
      <w:divBdr>
        <w:top w:val="none" w:sz="0" w:space="0" w:color="auto"/>
        <w:left w:val="none" w:sz="0" w:space="0" w:color="auto"/>
        <w:bottom w:val="none" w:sz="0" w:space="0" w:color="auto"/>
        <w:right w:val="none" w:sz="0" w:space="0" w:color="auto"/>
      </w:divBdr>
      <w:divsChild>
        <w:div w:id="55321377">
          <w:marLeft w:val="0"/>
          <w:marRight w:val="0"/>
          <w:marTop w:val="160"/>
          <w:marBottom w:val="160"/>
          <w:divBdr>
            <w:top w:val="none" w:sz="0" w:space="0" w:color="auto"/>
            <w:left w:val="none" w:sz="0" w:space="0" w:color="auto"/>
            <w:bottom w:val="none" w:sz="0" w:space="0" w:color="auto"/>
            <w:right w:val="none" w:sz="0" w:space="0" w:color="auto"/>
          </w:divBdr>
        </w:div>
      </w:divsChild>
    </w:div>
    <w:div w:id="787966703">
      <w:marLeft w:val="0"/>
      <w:marRight w:val="0"/>
      <w:marTop w:val="0"/>
      <w:marBottom w:val="120"/>
      <w:divBdr>
        <w:top w:val="none" w:sz="0" w:space="0" w:color="auto"/>
        <w:left w:val="none" w:sz="0" w:space="0" w:color="auto"/>
        <w:bottom w:val="none" w:sz="0" w:space="0" w:color="auto"/>
        <w:right w:val="none" w:sz="0" w:space="0" w:color="auto"/>
      </w:divBdr>
    </w:div>
    <w:div w:id="803698763">
      <w:marLeft w:val="0"/>
      <w:marRight w:val="0"/>
      <w:marTop w:val="0"/>
      <w:marBottom w:val="0"/>
      <w:divBdr>
        <w:top w:val="none" w:sz="0" w:space="0" w:color="auto"/>
        <w:left w:val="none" w:sz="0" w:space="0" w:color="auto"/>
        <w:bottom w:val="none" w:sz="0" w:space="0" w:color="auto"/>
        <w:right w:val="none" w:sz="0" w:space="0" w:color="auto"/>
      </w:divBdr>
    </w:div>
    <w:div w:id="805203349">
      <w:marLeft w:val="0"/>
      <w:marRight w:val="0"/>
      <w:marTop w:val="100"/>
      <w:marBottom w:val="0"/>
      <w:divBdr>
        <w:top w:val="none" w:sz="0" w:space="0" w:color="auto"/>
        <w:left w:val="none" w:sz="0" w:space="0" w:color="auto"/>
        <w:bottom w:val="none" w:sz="0" w:space="0" w:color="auto"/>
        <w:right w:val="none" w:sz="0" w:space="0" w:color="auto"/>
      </w:divBdr>
      <w:divsChild>
        <w:div w:id="645667766">
          <w:marLeft w:val="0"/>
          <w:marRight w:val="0"/>
          <w:marTop w:val="0"/>
          <w:marBottom w:val="0"/>
          <w:divBdr>
            <w:top w:val="none" w:sz="0" w:space="0" w:color="auto"/>
            <w:left w:val="none" w:sz="0" w:space="0" w:color="auto"/>
            <w:bottom w:val="none" w:sz="0" w:space="0" w:color="auto"/>
            <w:right w:val="none" w:sz="0" w:space="0" w:color="auto"/>
          </w:divBdr>
        </w:div>
      </w:divsChild>
    </w:div>
    <w:div w:id="812797842">
      <w:marLeft w:val="0"/>
      <w:marRight w:val="0"/>
      <w:marTop w:val="0"/>
      <w:marBottom w:val="160"/>
      <w:divBdr>
        <w:top w:val="none" w:sz="0" w:space="0" w:color="auto"/>
        <w:left w:val="none" w:sz="0" w:space="0" w:color="auto"/>
        <w:bottom w:val="none" w:sz="0" w:space="0" w:color="auto"/>
        <w:right w:val="none" w:sz="0" w:space="0" w:color="auto"/>
      </w:divBdr>
    </w:div>
    <w:div w:id="826552120">
      <w:marLeft w:val="0"/>
      <w:marRight w:val="0"/>
      <w:marTop w:val="0"/>
      <w:marBottom w:val="0"/>
      <w:divBdr>
        <w:top w:val="none" w:sz="0" w:space="0" w:color="auto"/>
        <w:left w:val="none" w:sz="0" w:space="0" w:color="auto"/>
        <w:bottom w:val="none" w:sz="0" w:space="0" w:color="auto"/>
        <w:right w:val="none" w:sz="0" w:space="0" w:color="auto"/>
      </w:divBdr>
    </w:div>
    <w:div w:id="826824126">
      <w:marLeft w:val="0"/>
      <w:marRight w:val="0"/>
      <w:marTop w:val="0"/>
      <w:marBottom w:val="0"/>
      <w:divBdr>
        <w:top w:val="none" w:sz="0" w:space="0" w:color="auto"/>
        <w:left w:val="none" w:sz="0" w:space="0" w:color="auto"/>
        <w:bottom w:val="none" w:sz="0" w:space="0" w:color="auto"/>
        <w:right w:val="none" w:sz="0" w:space="0" w:color="auto"/>
      </w:divBdr>
    </w:div>
    <w:div w:id="851803215">
      <w:marLeft w:val="0"/>
      <w:marRight w:val="0"/>
      <w:marTop w:val="60"/>
      <w:marBottom w:val="0"/>
      <w:divBdr>
        <w:top w:val="none" w:sz="0" w:space="0" w:color="auto"/>
        <w:left w:val="none" w:sz="0" w:space="0" w:color="auto"/>
        <w:bottom w:val="none" w:sz="0" w:space="0" w:color="auto"/>
        <w:right w:val="none" w:sz="0" w:space="0" w:color="auto"/>
      </w:divBdr>
    </w:div>
    <w:div w:id="855194051">
      <w:marLeft w:val="0"/>
      <w:marRight w:val="0"/>
      <w:marTop w:val="0"/>
      <w:marBottom w:val="60"/>
      <w:divBdr>
        <w:top w:val="none" w:sz="0" w:space="0" w:color="auto"/>
        <w:left w:val="none" w:sz="0" w:space="0" w:color="auto"/>
        <w:bottom w:val="none" w:sz="0" w:space="0" w:color="auto"/>
        <w:right w:val="none" w:sz="0" w:space="0" w:color="auto"/>
      </w:divBdr>
    </w:div>
    <w:div w:id="870607962">
      <w:marLeft w:val="0"/>
      <w:marRight w:val="0"/>
      <w:marTop w:val="0"/>
      <w:marBottom w:val="0"/>
      <w:divBdr>
        <w:top w:val="none" w:sz="0" w:space="0" w:color="auto"/>
        <w:left w:val="none" w:sz="0" w:space="0" w:color="auto"/>
        <w:bottom w:val="none" w:sz="0" w:space="0" w:color="auto"/>
        <w:right w:val="none" w:sz="0" w:space="0" w:color="auto"/>
      </w:divBdr>
      <w:divsChild>
        <w:div w:id="1724406028">
          <w:marLeft w:val="0"/>
          <w:marRight w:val="0"/>
          <w:marTop w:val="0"/>
          <w:marBottom w:val="0"/>
          <w:divBdr>
            <w:top w:val="none" w:sz="0" w:space="0" w:color="auto"/>
            <w:left w:val="none" w:sz="0" w:space="0" w:color="auto"/>
            <w:bottom w:val="none" w:sz="0" w:space="0" w:color="auto"/>
            <w:right w:val="none" w:sz="0" w:space="0" w:color="auto"/>
          </w:divBdr>
        </w:div>
      </w:divsChild>
    </w:div>
    <w:div w:id="879706843">
      <w:marLeft w:val="0"/>
      <w:marRight w:val="0"/>
      <w:marTop w:val="0"/>
      <w:marBottom w:val="0"/>
      <w:divBdr>
        <w:top w:val="none" w:sz="0" w:space="0" w:color="auto"/>
        <w:left w:val="none" w:sz="0" w:space="0" w:color="auto"/>
        <w:bottom w:val="none" w:sz="0" w:space="0" w:color="auto"/>
        <w:right w:val="none" w:sz="0" w:space="0" w:color="auto"/>
      </w:divBdr>
    </w:div>
    <w:div w:id="900096596">
      <w:marLeft w:val="0"/>
      <w:marRight w:val="0"/>
      <w:marTop w:val="0"/>
      <w:marBottom w:val="60"/>
      <w:divBdr>
        <w:top w:val="none" w:sz="0" w:space="0" w:color="auto"/>
        <w:left w:val="none" w:sz="0" w:space="0" w:color="auto"/>
        <w:bottom w:val="none" w:sz="0" w:space="0" w:color="auto"/>
        <w:right w:val="none" w:sz="0" w:space="0" w:color="auto"/>
      </w:divBdr>
    </w:div>
    <w:div w:id="903369816">
      <w:marLeft w:val="0"/>
      <w:marRight w:val="0"/>
      <w:marTop w:val="100"/>
      <w:marBottom w:val="0"/>
      <w:divBdr>
        <w:top w:val="none" w:sz="0" w:space="0" w:color="auto"/>
        <w:left w:val="none" w:sz="0" w:space="0" w:color="auto"/>
        <w:bottom w:val="none" w:sz="0" w:space="0" w:color="auto"/>
        <w:right w:val="none" w:sz="0" w:space="0" w:color="auto"/>
      </w:divBdr>
      <w:divsChild>
        <w:div w:id="1847355476">
          <w:marLeft w:val="0"/>
          <w:marRight w:val="0"/>
          <w:marTop w:val="0"/>
          <w:marBottom w:val="0"/>
          <w:divBdr>
            <w:top w:val="none" w:sz="0" w:space="0" w:color="auto"/>
            <w:left w:val="none" w:sz="0" w:space="0" w:color="auto"/>
            <w:bottom w:val="none" w:sz="0" w:space="0" w:color="auto"/>
            <w:right w:val="none" w:sz="0" w:space="0" w:color="auto"/>
          </w:divBdr>
        </w:div>
      </w:divsChild>
    </w:div>
    <w:div w:id="908350135">
      <w:marLeft w:val="0"/>
      <w:marRight w:val="0"/>
      <w:marTop w:val="0"/>
      <w:marBottom w:val="0"/>
      <w:divBdr>
        <w:top w:val="none" w:sz="0" w:space="0" w:color="auto"/>
        <w:left w:val="none" w:sz="0" w:space="0" w:color="auto"/>
        <w:bottom w:val="none" w:sz="0" w:space="0" w:color="auto"/>
        <w:right w:val="none" w:sz="0" w:space="0" w:color="auto"/>
      </w:divBdr>
      <w:divsChild>
        <w:div w:id="1209802218">
          <w:marLeft w:val="0"/>
          <w:marRight w:val="0"/>
          <w:marTop w:val="160"/>
          <w:marBottom w:val="160"/>
          <w:divBdr>
            <w:top w:val="none" w:sz="0" w:space="0" w:color="auto"/>
            <w:left w:val="none" w:sz="0" w:space="0" w:color="auto"/>
            <w:bottom w:val="none" w:sz="0" w:space="0" w:color="auto"/>
            <w:right w:val="none" w:sz="0" w:space="0" w:color="auto"/>
          </w:divBdr>
        </w:div>
      </w:divsChild>
    </w:div>
    <w:div w:id="909265220">
      <w:marLeft w:val="0"/>
      <w:marRight w:val="0"/>
      <w:marTop w:val="160"/>
      <w:marBottom w:val="160"/>
      <w:divBdr>
        <w:top w:val="none" w:sz="0" w:space="0" w:color="auto"/>
        <w:left w:val="none" w:sz="0" w:space="0" w:color="auto"/>
        <w:bottom w:val="none" w:sz="0" w:space="0" w:color="auto"/>
        <w:right w:val="none" w:sz="0" w:space="0" w:color="auto"/>
      </w:divBdr>
    </w:div>
    <w:div w:id="909459793">
      <w:marLeft w:val="0"/>
      <w:marRight w:val="0"/>
      <w:marTop w:val="0"/>
      <w:marBottom w:val="60"/>
      <w:divBdr>
        <w:top w:val="none" w:sz="0" w:space="0" w:color="auto"/>
        <w:left w:val="none" w:sz="0" w:space="0" w:color="auto"/>
        <w:bottom w:val="none" w:sz="0" w:space="0" w:color="auto"/>
        <w:right w:val="none" w:sz="0" w:space="0" w:color="auto"/>
      </w:divBdr>
    </w:div>
    <w:div w:id="920606691">
      <w:marLeft w:val="0"/>
      <w:marRight w:val="0"/>
      <w:marTop w:val="0"/>
      <w:marBottom w:val="0"/>
      <w:divBdr>
        <w:top w:val="none" w:sz="0" w:space="0" w:color="auto"/>
        <w:left w:val="none" w:sz="0" w:space="0" w:color="auto"/>
        <w:bottom w:val="none" w:sz="0" w:space="0" w:color="auto"/>
        <w:right w:val="none" w:sz="0" w:space="0" w:color="auto"/>
      </w:divBdr>
    </w:div>
    <w:div w:id="945312799">
      <w:marLeft w:val="0"/>
      <w:marRight w:val="0"/>
      <w:marTop w:val="0"/>
      <w:marBottom w:val="0"/>
      <w:divBdr>
        <w:top w:val="none" w:sz="0" w:space="0" w:color="auto"/>
        <w:left w:val="none" w:sz="0" w:space="0" w:color="auto"/>
        <w:bottom w:val="none" w:sz="0" w:space="0" w:color="auto"/>
        <w:right w:val="none" w:sz="0" w:space="0" w:color="auto"/>
      </w:divBdr>
      <w:divsChild>
        <w:div w:id="1785877561">
          <w:marLeft w:val="0"/>
          <w:marRight w:val="0"/>
          <w:marTop w:val="0"/>
          <w:marBottom w:val="0"/>
          <w:divBdr>
            <w:top w:val="none" w:sz="0" w:space="0" w:color="auto"/>
            <w:left w:val="none" w:sz="0" w:space="0" w:color="auto"/>
            <w:bottom w:val="none" w:sz="0" w:space="0" w:color="auto"/>
            <w:right w:val="none" w:sz="0" w:space="0" w:color="auto"/>
          </w:divBdr>
        </w:div>
      </w:divsChild>
    </w:div>
    <w:div w:id="959918146">
      <w:marLeft w:val="0"/>
      <w:marRight w:val="0"/>
      <w:marTop w:val="0"/>
      <w:marBottom w:val="0"/>
      <w:divBdr>
        <w:top w:val="none" w:sz="0" w:space="0" w:color="auto"/>
        <w:left w:val="none" w:sz="0" w:space="0" w:color="auto"/>
        <w:bottom w:val="none" w:sz="0" w:space="0" w:color="auto"/>
        <w:right w:val="none" w:sz="0" w:space="0" w:color="auto"/>
      </w:divBdr>
    </w:div>
    <w:div w:id="967515469">
      <w:marLeft w:val="0"/>
      <w:marRight w:val="0"/>
      <w:marTop w:val="0"/>
      <w:marBottom w:val="0"/>
      <w:divBdr>
        <w:top w:val="none" w:sz="0" w:space="0" w:color="auto"/>
        <w:left w:val="none" w:sz="0" w:space="0" w:color="auto"/>
        <w:bottom w:val="none" w:sz="0" w:space="0" w:color="auto"/>
        <w:right w:val="none" w:sz="0" w:space="0" w:color="auto"/>
      </w:divBdr>
    </w:div>
    <w:div w:id="968977187">
      <w:marLeft w:val="0"/>
      <w:marRight w:val="0"/>
      <w:marTop w:val="0"/>
      <w:marBottom w:val="0"/>
      <w:divBdr>
        <w:top w:val="none" w:sz="0" w:space="0" w:color="auto"/>
        <w:left w:val="none" w:sz="0" w:space="0" w:color="auto"/>
        <w:bottom w:val="none" w:sz="0" w:space="0" w:color="auto"/>
        <w:right w:val="none" w:sz="0" w:space="0" w:color="auto"/>
      </w:divBdr>
      <w:divsChild>
        <w:div w:id="1231305630">
          <w:marLeft w:val="0"/>
          <w:marRight w:val="0"/>
          <w:marTop w:val="160"/>
          <w:marBottom w:val="160"/>
          <w:divBdr>
            <w:top w:val="none" w:sz="0" w:space="0" w:color="auto"/>
            <w:left w:val="none" w:sz="0" w:space="0" w:color="auto"/>
            <w:bottom w:val="none" w:sz="0" w:space="0" w:color="auto"/>
            <w:right w:val="none" w:sz="0" w:space="0" w:color="auto"/>
          </w:divBdr>
        </w:div>
      </w:divsChild>
    </w:div>
    <w:div w:id="980186064">
      <w:marLeft w:val="0"/>
      <w:marRight w:val="0"/>
      <w:marTop w:val="80"/>
      <w:marBottom w:val="0"/>
      <w:divBdr>
        <w:top w:val="none" w:sz="0" w:space="0" w:color="auto"/>
        <w:left w:val="none" w:sz="0" w:space="0" w:color="auto"/>
        <w:bottom w:val="none" w:sz="0" w:space="0" w:color="auto"/>
        <w:right w:val="none" w:sz="0" w:space="0" w:color="auto"/>
      </w:divBdr>
    </w:div>
    <w:div w:id="1007634162">
      <w:marLeft w:val="0"/>
      <w:marRight w:val="0"/>
      <w:marTop w:val="0"/>
      <w:marBottom w:val="0"/>
      <w:divBdr>
        <w:top w:val="none" w:sz="0" w:space="0" w:color="auto"/>
        <w:left w:val="none" w:sz="0" w:space="0" w:color="auto"/>
        <w:bottom w:val="none" w:sz="0" w:space="0" w:color="auto"/>
        <w:right w:val="none" w:sz="0" w:space="0" w:color="auto"/>
      </w:divBdr>
    </w:div>
    <w:div w:id="1012032003">
      <w:marLeft w:val="0"/>
      <w:marRight w:val="0"/>
      <w:marTop w:val="240"/>
      <w:marBottom w:val="0"/>
      <w:divBdr>
        <w:top w:val="none" w:sz="0" w:space="0" w:color="auto"/>
        <w:left w:val="none" w:sz="0" w:space="0" w:color="auto"/>
        <w:bottom w:val="none" w:sz="0" w:space="0" w:color="auto"/>
        <w:right w:val="none" w:sz="0" w:space="0" w:color="auto"/>
      </w:divBdr>
    </w:div>
    <w:div w:id="1043601983">
      <w:marLeft w:val="0"/>
      <w:marRight w:val="0"/>
      <w:marTop w:val="0"/>
      <w:marBottom w:val="0"/>
      <w:divBdr>
        <w:top w:val="none" w:sz="0" w:space="0" w:color="auto"/>
        <w:left w:val="none" w:sz="0" w:space="0" w:color="auto"/>
        <w:bottom w:val="none" w:sz="0" w:space="0" w:color="auto"/>
        <w:right w:val="none" w:sz="0" w:space="0" w:color="auto"/>
      </w:divBdr>
    </w:div>
    <w:div w:id="1047068680">
      <w:marLeft w:val="0"/>
      <w:marRight w:val="0"/>
      <w:marTop w:val="0"/>
      <w:marBottom w:val="0"/>
      <w:divBdr>
        <w:top w:val="none" w:sz="0" w:space="0" w:color="auto"/>
        <w:left w:val="none" w:sz="0" w:space="0" w:color="auto"/>
        <w:bottom w:val="none" w:sz="0" w:space="0" w:color="auto"/>
        <w:right w:val="none" w:sz="0" w:space="0" w:color="auto"/>
      </w:divBdr>
    </w:div>
    <w:div w:id="1048337271">
      <w:marLeft w:val="0"/>
      <w:marRight w:val="0"/>
      <w:marTop w:val="0"/>
      <w:marBottom w:val="0"/>
      <w:divBdr>
        <w:top w:val="none" w:sz="0" w:space="0" w:color="auto"/>
        <w:left w:val="none" w:sz="0" w:space="0" w:color="auto"/>
        <w:bottom w:val="none" w:sz="0" w:space="0" w:color="auto"/>
        <w:right w:val="none" w:sz="0" w:space="0" w:color="auto"/>
      </w:divBdr>
    </w:div>
    <w:div w:id="1052582320">
      <w:marLeft w:val="0"/>
      <w:marRight w:val="0"/>
      <w:marTop w:val="20"/>
      <w:marBottom w:val="0"/>
      <w:divBdr>
        <w:top w:val="none" w:sz="0" w:space="0" w:color="auto"/>
        <w:left w:val="none" w:sz="0" w:space="0" w:color="auto"/>
        <w:bottom w:val="none" w:sz="0" w:space="0" w:color="auto"/>
        <w:right w:val="none" w:sz="0" w:space="0" w:color="auto"/>
      </w:divBdr>
    </w:div>
    <w:div w:id="1055549938">
      <w:marLeft w:val="0"/>
      <w:marRight w:val="0"/>
      <w:marTop w:val="0"/>
      <w:marBottom w:val="0"/>
      <w:divBdr>
        <w:top w:val="none" w:sz="0" w:space="0" w:color="auto"/>
        <w:left w:val="none" w:sz="0" w:space="0" w:color="auto"/>
        <w:bottom w:val="none" w:sz="0" w:space="0" w:color="auto"/>
        <w:right w:val="none" w:sz="0" w:space="0" w:color="auto"/>
      </w:divBdr>
    </w:div>
    <w:div w:id="1056583287">
      <w:marLeft w:val="0"/>
      <w:marRight w:val="0"/>
      <w:marTop w:val="0"/>
      <w:marBottom w:val="0"/>
      <w:divBdr>
        <w:top w:val="none" w:sz="0" w:space="0" w:color="auto"/>
        <w:left w:val="none" w:sz="0" w:space="0" w:color="auto"/>
        <w:bottom w:val="none" w:sz="0" w:space="0" w:color="auto"/>
        <w:right w:val="none" w:sz="0" w:space="0" w:color="auto"/>
      </w:divBdr>
      <w:divsChild>
        <w:div w:id="1220559224">
          <w:marLeft w:val="0"/>
          <w:marRight w:val="0"/>
          <w:marTop w:val="160"/>
          <w:marBottom w:val="160"/>
          <w:divBdr>
            <w:top w:val="none" w:sz="0" w:space="0" w:color="auto"/>
            <w:left w:val="none" w:sz="0" w:space="0" w:color="auto"/>
            <w:bottom w:val="none" w:sz="0" w:space="0" w:color="auto"/>
            <w:right w:val="none" w:sz="0" w:space="0" w:color="auto"/>
          </w:divBdr>
        </w:div>
      </w:divsChild>
    </w:div>
    <w:div w:id="1063018893">
      <w:marLeft w:val="0"/>
      <w:marRight w:val="0"/>
      <w:marTop w:val="0"/>
      <w:marBottom w:val="0"/>
      <w:divBdr>
        <w:top w:val="none" w:sz="0" w:space="0" w:color="auto"/>
        <w:left w:val="none" w:sz="0" w:space="0" w:color="auto"/>
        <w:bottom w:val="none" w:sz="0" w:space="0" w:color="auto"/>
        <w:right w:val="none" w:sz="0" w:space="0" w:color="auto"/>
      </w:divBdr>
      <w:divsChild>
        <w:div w:id="2088258540">
          <w:marLeft w:val="0"/>
          <w:marRight w:val="0"/>
          <w:marTop w:val="0"/>
          <w:marBottom w:val="0"/>
          <w:divBdr>
            <w:top w:val="none" w:sz="0" w:space="0" w:color="auto"/>
            <w:left w:val="none" w:sz="0" w:space="0" w:color="auto"/>
            <w:bottom w:val="none" w:sz="0" w:space="0" w:color="auto"/>
            <w:right w:val="none" w:sz="0" w:space="0" w:color="auto"/>
          </w:divBdr>
        </w:div>
      </w:divsChild>
    </w:div>
    <w:div w:id="1064716389">
      <w:marLeft w:val="0"/>
      <w:marRight w:val="0"/>
      <w:marTop w:val="0"/>
      <w:marBottom w:val="0"/>
      <w:divBdr>
        <w:top w:val="none" w:sz="0" w:space="0" w:color="auto"/>
        <w:left w:val="none" w:sz="0" w:space="0" w:color="auto"/>
        <w:bottom w:val="none" w:sz="0" w:space="0" w:color="auto"/>
        <w:right w:val="none" w:sz="0" w:space="0" w:color="auto"/>
      </w:divBdr>
    </w:div>
    <w:div w:id="1065032320">
      <w:marLeft w:val="0"/>
      <w:marRight w:val="0"/>
      <w:marTop w:val="0"/>
      <w:marBottom w:val="0"/>
      <w:divBdr>
        <w:top w:val="none" w:sz="0" w:space="0" w:color="auto"/>
        <w:left w:val="none" w:sz="0" w:space="0" w:color="auto"/>
        <w:bottom w:val="none" w:sz="0" w:space="0" w:color="auto"/>
        <w:right w:val="none" w:sz="0" w:space="0" w:color="auto"/>
      </w:divBdr>
    </w:div>
    <w:div w:id="1069112933">
      <w:marLeft w:val="0"/>
      <w:marRight w:val="0"/>
      <w:marTop w:val="0"/>
      <w:marBottom w:val="0"/>
      <w:divBdr>
        <w:top w:val="none" w:sz="0" w:space="0" w:color="auto"/>
        <w:left w:val="none" w:sz="0" w:space="0" w:color="auto"/>
        <w:bottom w:val="none" w:sz="0" w:space="0" w:color="auto"/>
        <w:right w:val="none" w:sz="0" w:space="0" w:color="auto"/>
      </w:divBdr>
    </w:div>
    <w:div w:id="1074821390">
      <w:marLeft w:val="0"/>
      <w:marRight w:val="0"/>
      <w:marTop w:val="0"/>
      <w:marBottom w:val="0"/>
      <w:divBdr>
        <w:top w:val="none" w:sz="0" w:space="0" w:color="auto"/>
        <w:left w:val="none" w:sz="0" w:space="0" w:color="auto"/>
        <w:bottom w:val="none" w:sz="0" w:space="0" w:color="auto"/>
        <w:right w:val="none" w:sz="0" w:space="0" w:color="auto"/>
      </w:divBdr>
    </w:div>
    <w:div w:id="1090076540">
      <w:marLeft w:val="0"/>
      <w:marRight w:val="0"/>
      <w:marTop w:val="0"/>
      <w:marBottom w:val="0"/>
      <w:divBdr>
        <w:top w:val="none" w:sz="0" w:space="0" w:color="auto"/>
        <w:left w:val="none" w:sz="0" w:space="0" w:color="auto"/>
        <w:bottom w:val="none" w:sz="0" w:space="0" w:color="auto"/>
        <w:right w:val="none" w:sz="0" w:space="0" w:color="auto"/>
      </w:divBdr>
      <w:divsChild>
        <w:div w:id="1418208003">
          <w:marLeft w:val="0"/>
          <w:marRight w:val="0"/>
          <w:marTop w:val="0"/>
          <w:marBottom w:val="0"/>
          <w:divBdr>
            <w:top w:val="none" w:sz="0" w:space="0" w:color="auto"/>
            <w:left w:val="none" w:sz="0" w:space="0" w:color="auto"/>
            <w:bottom w:val="none" w:sz="0" w:space="0" w:color="auto"/>
            <w:right w:val="none" w:sz="0" w:space="0" w:color="auto"/>
          </w:divBdr>
        </w:div>
      </w:divsChild>
    </w:div>
    <w:div w:id="1128664459">
      <w:marLeft w:val="0"/>
      <w:marRight w:val="0"/>
      <w:marTop w:val="0"/>
      <w:marBottom w:val="0"/>
      <w:divBdr>
        <w:top w:val="none" w:sz="0" w:space="0" w:color="auto"/>
        <w:left w:val="none" w:sz="0" w:space="0" w:color="auto"/>
        <w:bottom w:val="none" w:sz="0" w:space="0" w:color="auto"/>
        <w:right w:val="none" w:sz="0" w:space="0" w:color="auto"/>
      </w:divBdr>
    </w:div>
    <w:div w:id="1137187727">
      <w:marLeft w:val="0"/>
      <w:marRight w:val="0"/>
      <w:marTop w:val="240"/>
      <w:marBottom w:val="0"/>
      <w:divBdr>
        <w:top w:val="none" w:sz="0" w:space="0" w:color="auto"/>
        <w:left w:val="none" w:sz="0" w:space="0" w:color="auto"/>
        <w:bottom w:val="none" w:sz="0" w:space="0" w:color="auto"/>
        <w:right w:val="none" w:sz="0" w:space="0" w:color="auto"/>
      </w:divBdr>
    </w:div>
    <w:div w:id="1148668255">
      <w:marLeft w:val="0"/>
      <w:marRight w:val="0"/>
      <w:marTop w:val="0"/>
      <w:marBottom w:val="0"/>
      <w:divBdr>
        <w:top w:val="none" w:sz="0" w:space="0" w:color="auto"/>
        <w:left w:val="none" w:sz="0" w:space="0" w:color="auto"/>
        <w:bottom w:val="none" w:sz="0" w:space="0" w:color="auto"/>
        <w:right w:val="none" w:sz="0" w:space="0" w:color="auto"/>
      </w:divBdr>
    </w:div>
    <w:div w:id="1155415785">
      <w:marLeft w:val="0"/>
      <w:marRight w:val="0"/>
      <w:marTop w:val="100"/>
      <w:marBottom w:val="0"/>
      <w:divBdr>
        <w:top w:val="none" w:sz="0" w:space="0" w:color="auto"/>
        <w:left w:val="none" w:sz="0" w:space="0" w:color="auto"/>
        <w:bottom w:val="none" w:sz="0" w:space="0" w:color="auto"/>
        <w:right w:val="none" w:sz="0" w:space="0" w:color="auto"/>
      </w:divBdr>
    </w:div>
    <w:div w:id="1161846402">
      <w:marLeft w:val="0"/>
      <w:marRight w:val="0"/>
      <w:marTop w:val="0"/>
      <w:marBottom w:val="0"/>
      <w:divBdr>
        <w:top w:val="none" w:sz="0" w:space="0" w:color="auto"/>
        <w:left w:val="none" w:sz="0" w:space="0" w:color="auto"/>
        <w:bottom w:val="none" w:sz="0" w:space="0" w:color="auto"/>
        <w:right w:val="none" w:sz="0" w:space="0" w:color="auto"/>
      </w:divBdr>
    </w:div>
    <w:div w:id="1170949721">
      <w:marLeft w:val="0"/>
      <w:marRight w:val="0"/>
      <w:marTop w:val="0"/>
      <w:marBottom w:val="0"/>
      <w:divBdr>
        <w:top w:val="none" w:sz="0" w:space="0" w:color="auto"/>
        <w:left w:val="none" w:sz="0" w:space="0" w:color="auto"/>
        <w:bottom w:val="none" w:sz="0" w:space="0" w:color="auto"/>
        <w:right w:val="none" w:sz="0" w:space="0" w:color="auto"/>
      </w:divBdr>
      <w:divsChild>
        <w:div w:id="1581868184">
          <w:marLeft w:val="0"/>
          <w:marRight w:val="0"/>
          <w:marTop w:val="160"/>
          <w:marBottom w:val="160"/>
          <w:divBdr>
            <w:top w:val="none" w:sz="0" w:space="0" w:color="auto"/>
            <w:left w:val="none" w:sz="0" w:space="0" w:color="auto"/>
            <w:bottom w:val="none" w:sz="0" w:space="0" w:color="auto"/>
            <w:right w:val="none" w:sz="0" w:space="0" w:color="auto"/>
          </w:divBdr>
        </w:div>
      </w:divsChild>
    </w:div>
    <w:div w:id="1184704903">
      <w:marLeft w:val="0"/>
      <w:marRight w:val="0"/>
      <w:marTop w:val="240"/>
      <w:marBottom w:val="0"/>
      <w:divBdr>
        <w:top w:val="none" w:sz="0" w:space="0" w:color="auto"/>
        <w:left w:val="none" w:sz="0" w:space="0" w:color="auto"/>
        <w:bottom w:val="none" w:sz="0" w:space="0" w:color="auto"/>
        <w:right w:val="none" w:sz="0" w:space="0" w:color="auto"/>
      </w:divBdr>
    </w:div>
    <w:div w:id="1190606036">
      <w:marLeft w:val="0"/>
      <w:marRight w:val="0"/>
      <w:marTop w:val="100"/>
      <w:marBottom w:val="0"/>
      <w:divBdr>
        <w:top w:val="none" w:sz="0" w:space="0" w:color="auto"/>
        <w:left w:val="none" w:sz="0" w:space="0" w:color="auto"/>
        <w:bottom w:val="none" w:sz="0" w:space="0" w:color="auto"/>
        <w:right w:val="none" w:sz="0" w:space="0" w:color="auto"/>
      </w:divBdr>
      <w:divsChild>
        <w:div w:id="1669675477">
          <w:marLeft w:val="0"/>
          <w:marRight w:val="0"/>
          <w:marTop w:val="0"/>
          <w:marBottom w:val="0"/>
          <w:divBdr>
            <w:top w:val="none" w:sz="0" w:space="0" w:color="auto"/>
            <w:left w:val="none" w:sz="0" w:space="0" w:color="auto"/>
            <w:bottom w:val="none" w:sz="0" w:space="0" w:color="auto"/>
            <w:right w:val="none" w:sz="0" w:space="0" w:color="auto"/>
          </w:divBdr>
        </w:div>
        <w:div w:id="1137147314">
          <w:marLeft w:val="0"/>
          <w:marRight w:val="0"/>
          <w:marTop w:val="0"/>
          <w:marBottom w:val="0"/>
          <w:divBdr>
            <w:top w:val="none" w:sz="0" w:space="0" w:color="auto"/>
            <w:left w:val="none" w:sz="0" w:space="0" w:color="auto"/>
            <w:bottom w:val="none" w:sz="0" w:space="0" w:color="auto"/>
            <w:right w:val="none" w:sz="0" w:space="0" w:color="auto"/>
          </w:divBdr>
        </w:div>
        <w:div w:id="869143919">
          <w:marLeft w:val="0"/>
          <w:marRight w:val="0"/>
          <w:marTop w:val="0"/>
          <w:marBottom w:val="0"/>
          <w:divBdr>
            <w:top w:val="none" w:sz="0" w:space="0" w:color="auto"/>
            <w:left w:val="none" w:sz="0" w:space="0" w:color="auto"/>
            <w:bottom w:val="none" w:sz="0" w:space="0" w:color="auto"/>
            <w:right w:val="none" w:sz="0" w:space="0" w:color="auto"/>
          </w:divBdr>
        </w:div>
      </w:divsChild>
    </w:div>
    <w:div w:id="1212229861">
      <w:marLeft w:val="0"/>
      <w:marRight w:val="0"/>
      <w:marTop w:val="0"/>
      <w:marBottom w:val="0"/>
      <w:divBdr>
        <w:top w:val="none" w:sz="0" w:space="0" w:color="auto"/>
        <w:left w:val="none" w:sz="0" w:space="0" w:color="auto"/>
        <w:bottom w:val="none" w:sz="0" w:space="0" w:color="auto"/>
        <w:right w:val="none" w:sz="0" w:space="0" w:color="auto"/>
      </w:divBdr>
    </w:div>
    <w:div w:id="1226180104">
      <w:marLeft w:val="0"/>
      <w:marRight w:val="0"/>
      <w:marTop w:val="0"/>
      <w:marBottom w:val="0"/>
      <w:divBdr>
        <w:top w:val="none" w:sz="0" w:space="0" w:color="auto"/>
        <w:left w:val="none" w:sz="0" w:space="0" w:color="auto"/>
        <w:bottom w:val="none" w:sz="0" w:space="0" w:color="auto"/>
        <w:right w:val="none" w:sz="0" w:space="0" w:color="auto"/>
      </w:divBdr>
    </w:div>
    <w:div w:id="1244074218">
      <w:marLeft w:val="0"/>
      <w:marRight w:val="0"/>
      <w:marTop w:val="0"/>
      <w:marBottom w:val="0"/>
      <w:divBdr>
        <w:top w:val="none" w:sz="0" w:space="0" w:color="auto"/>
        <w:left w:val="none" w:sz="0" w:space="0" w:color="auto"/>
        <w:bottom w:val="none" w:sz="0" w:space="0" w:color="auto"/>
        <w:right w:val="none" w:sz="0" w:space="0" w:color="auto"/>
      </w:divBdr>
    </w:div>
    <w:div w:id="1245067173">
      <w:marLeft w:val="0"/>
      <w:marRight w:val="0"/>
      <w:marTop w:val="0"/>
      <w:marBottom w:val="0"/>
      <w:divBdr>
        <w:top w:val="none" w:sz="0" w:space="0" w:color="auto"/>
        <w:left w:val="none" w:sz="0" w:space="0" w:color="auto"/>
        <w:bottom w:val="none" w:sz="0" w:space="0" w:color="auto"/>
        <w:right w:val="none" w:sz="0" w:space="0" w:color="auto"/>
      </w:divBdr>
    </w:div>
    <w:div w:id="1247572210">
      <w:marLeft w:val="0"/>
      <w:marRight w:val="0"/>
      <w:marTop w:val="0"/>
      <w:marBottom w:val="0"/>
      <w:divBdr>
        <w:top w:val="none" w:sz="0" w:space="0" w:color="auto"/>
        <w:left w:val="none" w:sz="0" w:space="0" w:color="auto"/>
        <w:bottom w:val="none" w:sz="0" w:space="0" w:color="auto"/>
        <w:right w:val="none" w:sz="0" w:space="0" w:color="auto"/>
      </w:divBdr>
      <w:divsChild>
        <w:div w:id="1914969259">
          <w:marLeft w:val="0"/>
          <w:marRight w:val="0"/>
          <w:marTop w:val="160"/>
          <w:marBottom w:val="160"/>
          <w:divBdr>
            <w:top w:val="none" w:sz="0" w:space="0" w:color="auto"/>
            <w:left w:val="none" w:sz="0" w:space="0" w:color="auto"/>
            <w:bottom w:val="none" w:sz="0" w:space="0" w:color="auto"/>
            <w:right w:val="none" w:sz="0" w:space="0" w:color="auto"/>
          </w:divBdr>
        </w:div>
      </w:divsChild>
    </w:div>
    <w:div w:id="1250844183">
      <w:marLeft w:val="0"/>
      <w:marRight w:val="0"/>
      <w:marTop w:val="240"/>
      <w:marBottom w:val="240"/>
      <w:divBdr>
        <w:top w:val="none" w:sz="0" w:space="0" w:color="auto"/>
        <w:left w:val="none" w:sz="0" w:space="0" w:color="auto"/>
        <w:bottom w:val="none" w:sz="0" w:space="0" w:color="auto"/>
        <w:right w:val="none" w:sz="0" w:space="0" w:color="auto"/>
      </w:divBdr>
    </w:div>
    <w:div w:id="1250892182">
      <w:marLeft w:val="0"/>
      <w:marRight w:val="0"/>
      <w:marTop w:val="240"/>
      <w:marBottom w:val="160"/>
      <w:divBdr>
        <w:top w:val="none" w:sz="0" w:space="0" w:color="auto"/>
        <w:left w:val="none" w:sz="0" w:space="0" w:color="auto"/>
        <w:bottom w:val="none" w:sz="0" w:space="0" w:color="auto"/>
        <w:right w:val="none" w:sz="0" w:space="0" w:color="auto"/>
      </w:divBdr>
    </w:div>
    <w:div w:id="1266570671">
      <w:marLeft w:val="0"/>
      <w:marRight w:val="0"/>
      <w:marTop w:val="0"/>
      <w:marBottom w:val="0"/>
      <w:divBdr>
        <w:top w:val="none" w:sz="0" w:space="0" w:color="auto"/>
        <w:left w:val="none" w:sz="0" w:space="0" w:color="auto"/>
        <w:bottom w:val="none" w:sz="0" w:space="0" w:color="auto"/>
        <w:right w:val="none" w:sz="0" w:space="0" w:color="auto"/>
      </w:divBdr>
    </w:div>
    <w:div w:id="1267694729">
      <w:marLeft w:val="0"/>
      <w:marRight w:val="0"/>
      <w:marTop w:val="0"/>
      <w:marBottom w:val="60"/>
      <w:divBdr>
        <w:top w:val="none" w:sz="0" w:space="0" w:color="auto"/>
        <w:left w:val="none" w:sz="0" w:space="0" w:color="auto"/>
        <w:bottom w:val="none" w:sz="0" w:space="0" w:color="auto"/>
        <w:right w:val="none" w:sz="0" w:space="0" w:color="auto"/>
      </w:divBdr>
    </w:div>
    <w:div w:id="1271161302">
      <w:marLeft w:val="0"/>
      <w:marRight w:val="0"/>
      <w:marTop w:val="0"/>
      <w:marBottom w:val="0"/>
      <w:divBdr>
        <w:top w:val="none" w:sz="0" w:space="0" w:color="auto"/>
        <w:left w:val="none" w:sz="0" w:space="0" w:color="auto"/>
        <w:bottom w:val="none" w:sz="0" w:space="0" w:color="auto"/>
        <w:right w:val="none" w:sz="0" w:space="0" w:color="auto"/>
      </w:divBdr>
    </w:div>
    <w:div w:id="1271548788">
      <w:marLeft w:val="0"/>
      <w:marRight w:val="0"/>
      <w:marTop w:val="0"/>
      <w:marBottom w:val="0"/>
      <w:divBdr>
        <w:top w:val="none" w:sz="0" w:space="0" w:color="auto"/>
        <w:left w:val="none" w:sz="0" w:space="0" w:color="auto"/>
        <w:bottom w:val="none" w:sz="0" w:space="0" w:color="auto"/>
        <w:right w:val="none" w:sz="0" w:space="0" w:color="auto"/>
      </w:divBdr>
    </w:div>
    <w:div w:id="1273783389">
      <w:marLeft w:val="0"/>
      <w:marRight w:val="0"/>
      <w:marTop w:val="0"/>
      <w:marBottom w:val="0"/>
      <w:divBdr>
        <w:top w:val="none" w:sz="0" w:space="0" w:color="auto"/>
        <w:left w:val="none" w:sz="0" w:space="0" w:color="auto"/>
        <w:bottom w:val="none" w:sz="0" w:space="0" w:color="auto"/>
        <w:right w:val="none" w:sz="0" w:space="0" w:color="auto"/>
      </w:divBdr>
    </w:div>
    <w:div w:id="1276518605">
      <w:marLeft w:val="0"/>
      <w:marRight w:val="0"/>
      <w:marTop w:val="0"/>
      <w:marBottom w:val="0"/>
      <w:divBdr>
        <w:top w:val="none" w:sz="0" w:space="0" w:color="auto"/>
        <w:left w:val="none" w:sz="0" w:space="0" w:color="auto"/>
        <w:bottom w:val="none" w:sz="0" w:space="0" w:color="auto"/>
        <w:right w:val="none" w:sz="0" w:space="0" w:color="auto"/>
      </w:divBdr>
    </w:div>
    <w:div w:id="1299918191">
      <w:marLeft w:val="0"/>
      <w:marRight w:val="0"/>
      <w:marTop w:val="0"/>
      <w:marBottom w:val="0"/>
      <w:divBdr>
        <w:top w:val="none" w:sz="0" w:space="0" w:color="auto"/>
        <w:left w:val="none" w:sz="0" w:space="0" w:color="auto"/>
        <w:bottom w:val="none" w:sz="0" w:space="0" w:color="auto"/>
        <w:right w:val="none" w:sz="0" w:space="0" w:color="auto"/>
      </w:divBdr>
    </w:div>
    <w:div w:id="1311907694">
      <w:marLeft w:val="0"/>
      <w:marRight w:val="0"/>
      <w:marTop w:val="240"/>
      <w:marBottom w:val="0"/>
      <w:divBdr>
        <w:top w:val="none" w:sz="0" w:space="0" w:color="auto"/>
        <w:left w:val="none" w:sz="0" w:space="0" w:color="auto"/>
        <w:bottom w:val="none" w:sz="0" w:space="0" w:color="auto"/>
        <w:right w:val="none" w:sz="0" w:space="0" w:color="auto"/>
      </w:divBdr>
    </w:div>
    <w:div w:id="1330014571">
      <w:marLeft w:val="0"/>
      <w:marRight w:val="0"/>
      <w:marTop w:val="0"/>
      <w:marBottom w:val="0"/>
      <w:divBdr>
        <w:top w:val="none" w:sz="0" w:space="0" w:color="auto"/>
        <w:left w:val="none" w:sz="0" w:space="0" w:color="auto"/>
        <w:bottom w:val="none" w:sz="0" w:space="0" w:color="auto"/>
        <w:right w:val="none" w:sz="0" w:space="0" w:color="auto"/>
      </w:divBdr>
      <w:divsChild>
        <w:div w:id="1333140657">
          <w:marLeft w:val="0"/>
          <w:marRight w:val="0"/>
          <w:marTop w:val="0"/>
          <w:marBottom w:val="0"/>
          <w:divBdr>
            <w:top w:val="none" w:sz="0" w:space="0" w:color="auto"/>
            <w:left w:val="none" w:sz="0" w:space="0" w:color="auto"/>
            <w:bottom w:val="none" w:sz="0" w:space="0" w:color="auto"/>
            <w:right w:val="none" w:sz="0" w:space="0" w:color="auto"/>
          </w:divBdr>
        </w:div>
      </w:divsChild>
    </w:div>
    <w:div w:id="1336684760">
      <w:marLeft w:val="0"/>
      <w:marRight w:val="0"/>
      <w:marTop w:val="0"/>
      <w:marBottom w:val="0"/>
      <w:divBdr>
        <w:top w:val="none" w:sz="0" w:space="0" w:color="auto"/>
        <w:left w:val="none" w:sz="0" w:space="0" w:color="auto"/>
        <w:bottom w:val="none" w:sz="0" w:space="0" w:color="auto"/>
        <w:right w:val="none" w:sz="0" w:space="0" w:color="auto"/>
      </w:divBdr>
      <w:divsChild>
        <w:div w:id="1000616408">
          <w:marLeft w:val="0"/>
          <w:marRight w:val="0"/>
          <w:marTop w:val="0"/>
          <w:marBottom w:val="0"/>
          <w:divBdr>
            <w:top w:val="none" w:sz="0" w:space="0" w:color="auto"/>
            <w:left w:val="none" w:sz="0" w:space="0" w:color="auto"/>
            <w:bottom w:val="none" w:sz="0" w:space="0" w:color="auto"/>
            <w:right w:val="none" w:sz="0" w:space="0" w:color="auto"/>
          </w:divBdr>
        </w:div>
      </w:divsChild>
    </w:div>
    <w:div w:id="1390419863">
      <w:marLeft w:val="0"/>
      <w:marRight w:val="0"/>
      <w:marTop w:val="0"/>
      <w:marBottom w:val="0"/>
      <w:divBdr>
        <w:top w:val="none" w:sz="0" w:space="0" w:color="auto"/>
        <w:left w:val="none" w:sz="0" w:space="0" w:color="auto"/>
        <w:bottom w:val="none" w:sz="0" w:space="0" w:color="auto"/>
        <w:right w:val="none" w:sz="0" w:space="0" w:color="auto"/>
      </w:divBdr>
    </w:div>
    <w:div w:id="1400597527">
      <w:marLeft w:val="0"/>
      <w:marRight w:val="0"/>
      <w:marTop w:val="0"/>
      <w:marBottom w:val="0"/>
      <w:divBdr>
        <w:top w:val="none" w:sz="0" w:space="0" w:color="auto"/>
        <w:left w:val="none" w:sz="0" w:space="0" w:color="auto"/>
        <w:bottom w:val="none" w:sz="0" w:space="0" w:color="auto"/>
        <w:right w:val="none" w:sz="0" w:space="0" w:color="auto"/>
      </w:divBdr>
    </w:div>
    <w:div w:id="1405562322">
      <w:marLeft w:val="0"/>
      <w:marRight w:val="0"/>
      <w:marTop w:val="0"/>
      <w:marBottom w:val="0"/>
      <w:divBdr>
        <w:top w:val="none" w:sz="0" w:space="0" w:color="auto"/>
        <w:left w:val="none" w:sz="0" w:space="0" w:color="auto"/>
        <w:bottom w:val="none" w:sz="0" w:space="0" w:color="auto"/>
        <w:right w:val="none" w:sz="0" w:space="0" w:color="auto"/>
      </w:divBdr>
    </w:div>
    <w:div w:id="1413316316">
      <w:marLeft w:val="0"/>
      <w:marRight w:val="0"/>
      <w:marTop w:val="0"/>
      <w:marBottom w:val="0"/>
      <w:divBdr>
        <w:top w:val="none" w:sz="0" w:space="0" w:color="auto"/>
        <w:left w:val="none" w:sz="0" w:space="0" w:color="auto"/>
        <w:bottom w:val="none" w:sz="0" w:space="0" w:color="auto"/>
        <w:right w:val="none" w:sz="0" w:space="0" w:color="auto"/>
      </w:divBdr>
    </w:div>
    <w:div w:id="1419256176">
      <w:marLeft w:val="0"/>
      <w:marRight w:val="0"/>
      <w:marTop w:val="0"/>
      <w:marBottom w:val="0"/>
      <w:divBdr>
        <w:top w:val="none" w:sz="0" w:space="0" w:color="auto"/>
        <w:left w:val="none" w:sz="0" w:space="0" w:color="auto"/>
        <w:bottom w:val="none" w:sz="0" w:space="0" w:color="auto"/>
        <w:right w:val="none" w:sz="0" w:space="0" w:color="auto"/>
      </w:divBdr>
    </w:div>
    <w:div w:id="1429041736">
      <w:marLeft w:val="0"/>
      <w:marRight w:val="0"/>
      <w:marTop w:val="0"/>
      <w:marBottom w:val="0"/>
      <w:divBdr>
        <w:top w:val="none" w:sz="0" w:space="0" w:color="auto"/>
        <w:left w:val="none" w:sz="0" w:space="0" w:color="auto"/>
        <w:bottom w:val="none" w:sz="0" w:space="0" w:color="auto"/>
        <w:right w:val="none" w:sz="0" w:space="0" w:color="auto"/>
      </w:divBdr>
      <w:divsChild>
        <w:div w:id="814759739">
          <w:marLeft w:val="0"/>
          <w:marRight w:val="0"/>
          <w:marTop w:val="0"/>
          <w:marBottom w:val="0"/>
          <w:divBdr>
            <w:top w:val="none" w:sz="0" w:space="0" w:color="auto"/>
            <w:left w:val="none" w:sz="0" w:space="0" w:color="auto"/>
            <w:bottom w:val="none" w:sz="0" w:space="0" w:color="auto"/>
            <w:right w:val="none" w:sz="0" w:space="0" w:color="auto"/>
          </w:divBdr>
        </w:div>
      </w:divsChild>
    </w:div>
    <w:div w:id="1447579182">
      <w:marLeft w:val="0"/>
      <w:marRight w:val="0"/>
      <w:marTop w:val="0"/>
      <w:marBottom w:val="0"/>
      <w:divBdr>
        <w:top w:val="none" w:sz="0" w:space="0" w:color="auto"/>
        <w:left w:val="none" w:sz="0" w:space="0" w:color="auto"/>
        <w:bottom w:val="none" w:sz="0" w:space="0" w:color="auto"/>
        <w:right w:val="none" w:sz="0" w:space="0" w:color="auto"/>
      </w:divBdr>
    </w:div>
    <w:div w:id="1464806788">
      <w:marLeft w:val="0"/>
      <w:marRight w:val="0"/>
      <w:marTop w:val="0"/>
      <w:marBottom w:val="60"/>
      <w:divBdr>
        <w:top w:val="none" w:sz="0" w:space="0" w:color="auto"/>
        <w:left w:val="none" w:sz="0" w:space="0" w:color="auto"/>
        <w:bottom w:val="none" w:sz="0" w:space="0" w:color="auto"/>
        <w:right w:val="none" w:sz="0" w:space="0" w:color="auto"/>
      </w:divBdr>
    </w:div>
    <w:div w:id="1469204904">
      <w:marLeft w:val="0"/>
      <w:marRight w:val="0"/>
      <w:marTop w:val="0"/>
      <w:marBottom w:val="0"/>
      <w:divBdr>
        <w:top w:val="none" w:sz="0" w:space="0" w:color="auto"/>
        <w:left w:val="none" w:sz="0" w:space="0" w:color="auto"/>
        <w:bottom w:val="none" w:sz="0" w:space="0" w:color="auto"/>
        <w:right w:val="none" w:sz="0" w:space="0" w:color="auto"/>
      </w:divBdr>
    </w:div>
    <w:div w:id="1469470831">
      <w:marLeft w:val="0"/>
      <w:marRight w:val="0"/>
      <w:marTop w:val="240"/>
      <w:marBottom w:val="160"/>
      <w:divBdr>
        <w:top w:val="none" w:sz="0" w:space="0" w:color="auto"/>
        <w:left w:val="none" w:sz="0" w:space="0" w:color="auto"/>
        <w:bottom w:val="none" w:sz="0" w:space="0" w:color="auto"/>
        <w:right w:val="none" w:sz="0" w:space="0" w:color="auto"/>
      </w:divBdr>
    </w:div>
    <w:div w:id="1471823780">
      <w:marLeft w:val="0"/>
      <w:marRight w:val="0"/>
      <w:marTop w:val="0"/>
      <w:marBottom w:val="0"/>
      <w:divBdr>
        <w:top w:val="none" w:sz="0" w:space="0" w:color="auto"/>
        <w:left w:val="none" w:sz="0" w:space="0" w:color="auto"/>
        <w:bottom w:val="none" w:sz="0" w:space="0" w:color="auto"/>
        <w:right w:val="none" w:sz="0" w:space="0" w:color="auto"/>
      </w:divBdr>
      <w:divsChild>
        <w:div w:id="549652826">
          <w:marLeft w:val="0"/>
          <w:marRight w:val="0"/>
          <w:marTop w:val="0"/>
          <w:marBottom w:val="0"/>
          <w:divBdr>
            <w:top w:val="none" w:sz="0" w:space="0" w:color="auto"/>
            <w:left w:val="none" w:sz="0" w:space="0" w:color="auto"/>
            <w:bottom w:val="none" w:sz="0" w:space="0" w:color="auto"/>
            <w:right w:val="none" w:sz="0" w:space="0" w:color="auto"/>
          </w:divBdr>
        </w:div>
      </w:divsChild>
    </w:div>
    <w:div w:id="1476214773">
      <w:marLeft w:val="0"/>
      <w:marRight w:val="0"/>
      <w:marTop w:val="0"/>
      <w:marBottom w:val="0"/>
      <w:divBdr>
        <w:top w:val="none" w:sz="0" w:space="0" w:color="auto"/>
        <w:left w:val="none" w:sz="0" w:space="0" w:color="auto"/>
        <w:bottom w:val="none" w:sz="0" w:space="0" w:color="auto"/>
        <w:right w:val="none" w:sz="0" w:space="0" w:color="auto"/>
      </w:divBdr>
    </w:div>
    <w:div w:id="1479684303">
      <w:marLeft w:val="0"/>
      <w:marRight w:val="0"/>
      <w:marTop w:val="0"/>
      <w:marBottom w:val="0"/>
      <w:divBdr>
        <w:top w:val="none" w:sz="0" w:space="0" w:color="auto"/>
        <w:left w:val="none" w:sz="0" w:space="0" w:color="auto"/>
        <w:bottom w:val="none" w:sz="0" w:space="0" w:color="auto"/>
        <w:right w:val="none" w:sz="0" w:space="0" w:color="auto"/>
      </w:divBdr>
    </w:div>
    <w:div w:id="1481848866">
      <w:marLeft w:val="0"/>
      <w:marRight w:val="0"/>
      <w:marTop w:val="0"/>
      <w:marBottom w:val="0"/>
      <w:divBdr>
        <w:top w:val="none" w:sz="0" w:space="0" w:color="auto"/>
        <w:left w:val="none" w:sz="0" w:space="0" w:color="auto"/>
        <w:bottom w:val="none" w:sz="0" w:space="0" w:color="auto"/>
        <w:right w:val="none" w:sz="0" w:space="0" w:color="auto"/>
      </w:divBdr>
    </w:div>
    <w:div w:id="1493252806">
      <w:marLeft w:val="0"/>
      <w:marRight w:val="0"/>
      <w:marTop w:val="0"/>
      <w:marBottom w:val="0"/>
      <w:divBdr>
        <w:top w:val="none" w:sz="0" w:space="0" w:color="auto"/>
        <w:left w:val="none" w:sz="0" w:space="0" w:color="auto"/>
        <w:bottom w:val="none" w:sz="0" w:space="0" w:color="auto"/>
        <w:right w:val="none" w:sz="0" w:space="0" w:color="auto"/>
      </w:divBdr>
    </w:div>
    <w:div w:id="1498883914">
      <w:marLeft w:val="0"/>
      <w:marRight w:val="0"/>
      <w:marTop w:val="0"/>
      <w:marBottom w:val="0"/>
      <w:divBdr>
        <w:top w:val="none" w:sz="0" w:space="0" w:color="auto"/>
        <w:left w:val="none" w:sz="0" w:space="0" w:color="auto"/>
        <w:bottom w:val="none" w:sz="0" w:space="0" w:color="auto"/>
        <w:right w:val="none" w:sz="0" w:space="0" w:color="auto"/>
      </w:divBdr>
    </w:div>
    <w:div w:id="1507865488">
      <w:marLeft w:val="0"/>
      <w:marRight w:val="0"/>
      <w:marTop w:val="0"/>
      <w:marBottom w:val="0"/>
      <w:divBdr>
        <w:top w:val="none" w:sz="0" w:space="0" w:color="auto"/>
        <w:left w:val="none" w:sz="0" w:space="0" w:color="auto"/>
        <w:bottom w:val="none" w:sz="0" w:space="0" w:color="auto"/>
        <w:right w:val="none" w:sz="0" w:space="0" w:color="auto"/>
      </w:divBdr>
    </w:div>
    <w:div w:id="1521117930">
      <w:marLeft w:val="0"/>
      <w:marRight w:val="0"/>
      <w:marTop w:val="0"/>
      <w:marBottom w:val="0"/>
      <w:divBdr>
        <w:top w:val="none" w:sz="0" w:space="0" w:color="auto"/>
        <w:left w:val="none" w:sz="0" w:space="0" w:color="auto"/>
        <w:bottom w:val="none" w:sz="0" w:space="0" w:color="auto"/>
        <w:right w:val="none" w:sz="0" w:space="0" w:color="auto"/>
      </w:divBdr>
    </w:div>
    <w:div w:id="1538354827">
      <w:marLeft w:val="0"/>
      <w:marRight w:val="0"/>
      <w:marTop w:val="100"/>
      <w:marBottom w:val="0"/>
      <w:divBdr>
        <w:top w:val="none" w:sz="0" w:space="0" w:color="auto"/>
        <w:left w:val="none" w:sz="0" w:space="0" w:color="auto"/>
        <w:bottom w:val="none" w:sz="0" w:space="0" w:color="auto"/>
        <w:right w:val="none" w:sz="0" w:space="0" w:color="auto"/>
      </w:divBdr>
    </w:div>
    <w:div w:id="1540242267">
      <w:marLeft w:val="0"/>
      <w:marRight w:val="0"/>
      <w:marTop w:val="0"/>
      <w:marBottom w:val="0"/>
      <w:divBdr>
        <w:top w:val="none" w:sz="0" w:space="0" w:color="auto"/>
        <w:left w:val="none" w:sz="0" w:space="0" w:color="auto"/>
        <w:bottom w:val="none" w:sz="0" w:space="0" w:color="auto"/>
        <w:right w:val="none" w:sz="0" w:space="0" w:color="auto"/>
      </w:divBdr>
    </w:div>
    <w:div w:id="1542398719">
      <w:marLeft w:val="0"/>
      <w:marRight w:val="0"/>
      <w:marTop w:val="0"/>
      <w:marBottom w:val="60"/>
      <w:divBdr>
        <w:top w:val="none" w:sz="0" w:space="0" w:color="auto"/>
        <w:left w:val="none" w:sz="0" w:space="0" w:color="auto"/>
        <w:bottom w:val="none" w:sz="0" w:space="0" w:color="auto"/>
        <w:right w:val="none" w:sz="0" w:space="0" w:color="auto"/>
      </w:divBdr>
    </w:div>
    <w:div w:id="1544252547">
      <w:marLeft w:val="0"/>
      <w:marRight w:val="0"/>
      <w:marTop w:val="0"/>
      <w:marBottom w:val="0"/>
      <w:divBdr>
        <w:top w:val="none" w:sz="0" w:space="0" w:color="auto"/>
        <w:left w:val="none" w:sz="0" w:space="0" w:color="auto"/>
        <w:bottom w:val="none" w:sz="0" w:space="0" w:color="auto"/>
        <w:right w:val="none" w:sz="0" w:space="0" w:color="auto"/>
      </w:divBdr>
    </w:div>
    <w:div w:id="1547060480">
      <w:marLeft w:val="0"/>
      <w:marRight w:val="0"/>
      <w:marTop w:val="0"/>
      <w:marBottom w:val="0"/>
      <w:divBdr>
        <w:top w:val="none" w:sz="0" w:space="0" w:color="auto"/>
        <w:left w:val="none" w:sz="0" w:space="0" w:color="auto"/>
        <w:bottom w:val="none" w:sz="0" w:space="0" w:color="auto"/>
        <w:right w:val="none" w:sz="0" w:space="0" w:color="auto"/>
      </w:divBdr>
      <w:divsChild>
        <w:div w:id="409153872">
          <w:marLeft w:val="0"/>
          <w:marRight w:val="0"/>
          <w:marTop w:val="0"/>
          <w:marBottom w:val="0"/>
          <w:divBdr>
            <w:top w:val="none" w:sz="0" w:space="0" w:color="auto"/>
            <w:left w:val="none" w:sz="0" w:space="0" w:color="auto"/>
            <w:bottom w:val="none" w:sz="0" w:space="0" w:color="auto"/>
            <w:right w:val="none" w:sz="0" w:space="0" w:color="auto"/>
          </w:divBdr>
        </w:div>
      </w:divsChild>
    </w:div>
    <w:div w:id="1554275448">
      <w:marLeft w:val="0"/>
      <w:marRight w:val="0"/>
      <w:marTop w:val="0"/>
      <w:marBottom w:val="0"/>
      <w:divBdr>
        <w:top w:val="none" w:sz="0" w:space="0" w:color="auto"/>
        <w:left w:val="none" w:sz="0" w:space="0" w:color="auto"/>
        <w:bottom w:val="none" w:sz="0" w:space="0" w:color="auto"/>
        <w:right w:val="none" w:sz="0" w:space="0" w:color="auto"/>
      </w:divBdr>
    </w:div>
    <w:div w:id="1562908882">
      <w:marLeft w:val="0"/>
      <w:marRight w:val="0"/>
      <w:marTop w:val="0"/>
      <w:marBottom w:val="0"/>
      <w:divBdr>
        <w:top w:val="none" w:sz="0" w:space="0" w:color="auto"/>
        <w:left w:val="none" w:sz="0" w:space="0" w:color="auto"/>
        <w:bottom w:val="none" w:sz="0" w:space="0" w:color="auto"/>
        <w:right w:val="none" w:sz="0" w:space="0" w:color="auto"/>
      </w:divBdr>
      <w:divsChild>
        <w:div w:id="479538522">
          <w:marLeft w:val="0"/>
          <w:marRight w:val="0"/>
          <w:marTop w:val="0"/>
          <w:marBottom w:val="0"/>
          <w:divBdr>
            <w:top w:val="none" w:sz="0" w:space="0" w:color="auto"/>
            <w:left w:val="none" w:sz="0" w:space="0" w:color="auto"/>
            <w:bottom w:val="none" w:sz="0" w:space="0" w:color="auto"/>
            <w:right w:val="none" w:sz="0" w:space="0" w:color="auto"/>
          </w:divBdr>
        </w:div>
      </w:divsChild>
    </w:div>
    <w:div w:id="1566143359">
      <w:marLeft w:val="0"/>
      <w:marRight w:val="0"/>
      <w:marTop w:val="0"/>
      <w:marBottom w:val="0"/>
      <w:divBdr>
        <w:top w:val="none" w:sz="0" w:space="0" w:color="auto"/>
        <w:left w:val="none" w:sz="0" w:space="0" w:color="auto"/>
        <w:bottom w:val="none" w:sz="0" w:space="0" w:color="auto"/>
        <w:right w:val="none" w:sz="0" w:space="0" w:color="auto"/>
      </w:divBdr>
      <w:divsChild>
        <w:div w:id="775446160">
          <w:marLeft w:val="0"/>
          <w:marRight w:val="0"/>
          <w:marTop w:val="160"/>
          <w:marBottom w:val="160"/>
          <w:divBdr>
            <w:top w:val="none" w:sz="0" w:space="0" w:color="auto"/>
            <w:left w:val="none" w:sz="0" w:space="0" w:color="auto"/>
            <w:bottom w:val="none" w:sz="0" w:space="0" w:color="auto"/>
            <w:right w:val="none" w:sz="0" w:space="0" w:color="auto"/>
          </w:divBdr>
        </w:div>
      </w:divsChild>
    </w:div>
    <w:div w:id="1591427435">
      <w:marLeft w:val="0"/>
      <w:marRight w:val="0"/>
      <w:marTop w:val="0"/>
      <w:marBottom w:val="0"/>
      <w:divBdr>
        <w:top w:val="none" w:sz="0" w:space="0" w:color="auto"/>
        <w:left w:val="none" w:sz="0" w:space="0" w:color="auto"/>
        <w:bottom w:val="none" w:sz="0" w:space="0" w:color="auto"/>
        <w:right w:val="none" w:sz="0" w:space="0" w:color="auto"/>
      </w:divBdr>
    </w:div>
    <w:div w:id="1593396238">
      <w:marLeft w:val="0"/>
      <w:marRight w:val="0"/>
      <w:marTop w:val="0"/>
      <w:marBottom w:val="0"/>
      <w:divBdr>
        <w:top w:val="none" w:sz="0" w:space="0" w:color="auto"/>
        <w:left w:val="none" w:sz="0" w:space="0" w:color="auto"/>
        <w:bottom w:val="none" w:sz="0" w:space="0" w:color="auto"/>
        <w:right w:val="none" w:sz="0" w:space="0" w:color="auto"/>
      </w:divBdr>
      <w:divsChild>
        <w:div w:id="1046375264">
          <w:marLeft w:val="0"/>
          <w:marRight w:val="0"/>
          <w:marTop w:val="0"/>
          <w:marBottom w:val="0"/>
          <w:divBdr>
            <w:top w:val="none" w:sz="0" w:space="0" w:color="auto"/>
            <w:left w:val="none" w:sz="0" w:space="0" w:color="auto"/>
            <w:bottom w:val="none" w:sz="0" w:space="0" w:color="auto"/>
            <w:right w:val="none" w:sz="0" w:space="0" w:color="auto"/>
          </w:divBdr>
        </w:div>
      </w:divsChild>
    </w:div>
    <w:div w:id="1595746791">
      <w:marLeft w:val="0"/>
      <w:marRight w:val="0"/>
      <w:marTop w:val="0"/>
      <w:marBottom w:val="0"/>
      <w:divBdr>
        <w:top w:val="none" w:sz="0" w:space="0" w:color="auto"/>
        <w:left w:val="none" w:sz="0" w:space="0" w:color="auto"/>
        <w:bottom w:val="none" w:sz="0" w:space="0" w:color="auto"/>
        <w:right w:val="none" w:sz="0" w:space="0" w:color="auto"/>
      </w:divBdr>
    </w:div>
    <w:div w:id="1602761591">
      <w:marLeft w:val="0"/>
      <w:marRight w:val="0"/>
      <w:marTop w:val="0"/>
      <w:marBottom w:val="0"/>
      <w:divBdr>
        <w:top w:val="none" w:sz="0" w:space="0" w:color="auto"/>
        <w:left w:val="none" w:sz="0" w:space="0" w:color="auto"/>
        <w:bottom w:val="none" w:sz="0" w:space="0" w:color="auto"/>
        <w:right w:val="none" w:sz="0" w:space="0" w:color="auto"/>
      </w:divBdr>
      <w:divsChild>
        <w:div w:id="933629382">
          <w:marLeft w:val="0"/>
          <w:marRight w:val="0"/>
          <w:marTop w:val="0"/>
          <w:marBottom w:val="0"/>
          <w:divBdr>
            <w:top w:val="none" w:sz="0" w:space="0" w:color="auto"/>
            <w:left w:val="none" w:sz="0" w:space="0" w:color="auto"/>
            <w:bottom w:val="none" w:sz="0" w:space="0" w:color="auto"/>
            <w:right w:val="none" w:sz="0" w:space="0" w:color="auto"/>
          </w:divBdr>
        </w:div>
      </w:divsChild>
    </w:div>
    <w:div w:id="1617328120">
      <w:marLeft w:val="0"/>
      <w:marRight w:val="0"/>
      <w:marTop w:val="0"/>
      <w:marBottom w:val="0"/>
      <w:divBdr>
        <w:top w:val="none" w:sz="0" w:space="0" w:color="auto"/>
        <w:left w:val="none" w:sz="0" w:space="0" w:color="auto"/>
        <w:bottom w:val="none" w:sz="0" w:space="0" w:color="auto"/>
        <w:right w:val="none" w:sz="0" w:space="0" w:color="auto"/>
      </w:divBdr>
    </w:div>
    <w:div w:id="1630696818">
      <w:marLeft w:val="0"/>
      <w:marRight w:val="0"/>
      <w:marTop w:val="0"/>
      <w:marBottom w:val="0"/>
      <w:divBdr>
        <w:top w:val="none" w:sz="0" w:space="0" w:color="auto"/>
        <w:left w:val="none" w:sz="0" w:space="0" w:color="auto"/>
        <w:bottom w:val="none" w:sz="0" w:space="0" w:color="auto"/>
        <w:right w:val="none" w:sz="0" w:space="0" w:color="auto"/>
      </w:divBdr>
    </w:div>
    <w:div w:id="1634023224">
      <w:marLeft w:val="0"/>
      <w:marRight w:val="0"/>
      <w:marTop w:val="0"/>
      <w:marBottom w:val="0"/>
      <w:divBdr>
        <w:top w:val="none" w:sz="0" w:space="0" w:color="auto"/>
        <w:left w:val="none" w:sz="0" w:space="0" w:color="auto"/>
        <w:bottom w:val="none" w:sz="0" w:space="0" w:color="auto"/>
        <w:right w:val="none" w:sz="0" w:space="0" w:color="auto"/>
      </w:divBdr>
    </w:div>
    <w:div w:id="1635401963">
      <w:marLeft w:val="0"/>
      <w:marRight w:val="0"/>
      <w:marTop w:val="0"/>
      <w:marBottom w:val="0"/>
      <w:divBdr>
        <w:top w:val="none" w:sz="0" w:space="0" w:color="auto"/>
        <w:left w:val="none" w:sz="0" w:space="0" w:color="auto"/>
        <w:bottom w:val="none" w:sz="0" w:space="0" w:color="auto"/>
        <w:right w:val="none" w:sz="0" w:space="0" w:color="auto"/>
      </w:divBdr>
      <w:divsChild>
        <w:div w:id="425269202">
          <w:marLeft w:val="0"/>
          <w:marRight w:val="0"/>
          <w:marTop w:val="160"/>
          <w:marBottom w:val="160"/>
          <w:divBdr>
            <w:top w:val="none" w:sz="0" w:space="0" w:color="auto"/>
            <w:left w:val="none" w:sz="0" w:space="0" w:color="auto"/>
            <w:bottom w:val="none" w:sz="0" w:space="0" w:color="auto"/>
            <w:right w:val="none" w:sz="0" w:space="0" w:color="auto"/>
          </w:divBdr>
        </w:div>
      </w:divsChild>
    </w:div>
    <w:div w:id="1643272631">
      <w:marLeft w:val="0"/>
      <w:marRight w:val="0"/>
      <w:marTop w:val="0"/>
      <w:marBottom w:val="60"/>
      <w:divBdr>
        <w:top w:val="none" w:sz="0" w:space="0" w:color="auto"/>
        <w:left w:val="none" w:sz="0" w:space="0" w:color="auto"/>
        <w:bottom w:val="none" w:sz="0" w:space="0" w:color="auto"/>
        <w:right w:val="none" w:sz="0" w:space="0" w:color="auto"/>
      </w:divBdr>
    </w:div>
    <w:div w:id="1644119600">
      <w:marLeft w:val="0"/>
      <w:marRight w:val="0"/>
      <w:marTop w:val="0"/>
      <w:marBottom w:val="0"/>
      <w:divBdr>
        <w:top w:val="none" w:sz="0" w:space="0" w:color="auto"/>
        <w:left w:val="none" w:sz="0" w:space="0" w:color="auto"/>
        <w:bottom w:val="none" w:sz="0" w:space="0" w:color="auto"/>
        <w:right w:val="none" w:sz="0" w:space="0" w:color="auto"/>
      </w:divBdr>
      <w:divsChild>
        <w:div w:id="546337172">
          <w:marLeft w:val="0"/>
          <w:marRight w:val="0"/>
          <w:marTop w:val="160"/>
          <w:marBottom w:val="160"/>
          <w:divBdr>
            <w:top w:val="none" w:sz="0" w:space="0" w:color="auto"/>
            <w:left w:val="none" w:sz="0" w:space="0" w:color="auto"/>
            <w:bottom w:val="none" w:sz="0" w:space="0" w:color="auto"/>
            <w:right w:val="none" w:sz="0" w:space="0" w:color="auto"/>
          </w:divBdr>
        </w:div>
      </w:divsChild>
    </w:div>
    <w:div w:id="1651254156">
      <w:marLeft w:val="0"/>
      <w:marRight w:val="0"/>
      <w:marTop w:val="240"/>
      <w:marBottom w:val="0"/>
      <w:divBdr>
        <w:top w:val="none" w:sz="0" w:space="0" w:color="auto"/>
        <w:left w:val="none" w:sz="0" w:space="0" w:color="auto"/>
        <w:bottom w:val="none" w:sz="0" w:space="0" w:color="auto"/>
        <w:right w:val="none" w:sz="0" w:space="0" w:color="auto"/>
      </w:divBdr>
    </w:div>
    <w:div w:id="1661037054">
      <w:marLeft w:val="0"/>
      <w:marRight w:val="0"/>
      <w:marTop w:val="100"/>
      <w:marBottom w:val="60"/>
      <w:divBdr>
        <w:top w:val="none" w:sz="0" w:space="0" w:color="auto"/>
        <w:left w:val="none" w:sz="0" w:space="0" w:color="auto"/>
        <w:bottom w:val="none" w:sz="0" w:space="0" w:color="auto"/>
        <w:right w:val="none" w:sz="0" w:space="0" w:color="auto"/>
      </w:divBdr>
      <w:divsChild>
        <w:div w:id="1887327643">
          <w:marLeft w:val="0"/>
          <w:marRight w:val="0"/>
          <w:marTop w:val="0"/>
          <w:marBottom w:val="0"/>
          <w:divBdr>
            <w:top w:val="none" w:sz="0" w:space="0" w:color="auto"/>
            <w:left w:val="none" w:sz="0" w:space="0" w:color="auto"/>
            <w:bottom w:val="none" w:sz="0" w:space="0" w:color="auto"/>
            <w:right w:val="none" w:sz="0" w:space="0" w:color="auto"/>
          </w:divBdr>
        </w:div>
      </w:divsChild>
    </w:div>
    <w:div w:id="1668510807">
      <w:marLeft w:val="0"/>
      <w:marRight w:val="0"/>
      <w:marTop w:val="0"/>
      <w:marBottom w:val="0"/>
      <w:divBdr>
        <w:top w:val="none" w:sz="0" w:space="0" w:color="auto"/>
        <w:left w:val="none" w:sz="0" w:space="0" w:color="auto"/>
        <w:bottom w:val="none" w:sz="0" w:space="0" w:color="auto"/>
        <w:right w:val="none" w:sz="0" w:space="0" w:color="auto"/>
      </w:divBdr>
    </w:div>
    <w:div w:id="1670282115">
      <w:marLeft w:val="0"/>
      <w:marRight w:val="0"/>
      <w:marTop w:val="0"/>
      <w:marBottom w:val="60"/>
      <w:divBdr>
        <w:top w:val="none" w:sz="0" w:space="0" w:color="auto"/>
        <w:left w:val="none" w:sz="0" w:space="0" w:color="auto"/>
        <w:bottom w:val="none" w:sz="0" w:space="0" w:color="auto"/>
        <w:right w:val="none" w:sz="0" w:space="0" w:color="auto"/>
      </w:divBdr>
    </w:div>
    <w:div w:id="1672638118">
      <w:marLeft w:val="0"/>
      <w:marRight w:val="0"/>
      <w:marTop w:val="100"/>
      <w:marBottom w:val="0"/>
      <w:divBdr>
        <w:top w:val="none" w:sz="0" w:space="0" w:color="auto"/>
        <w:left w:val="none" w:sz="0" w:space="0" w:color="auto"/>
        <w:bottom w:val="none" w:sz="0" w:space="0" w:color="auto"/>
        <w:right w:val="none" w:sz="0" w:space="0" w:color="auto"/>
      </w:divBdr>
    </w:div>
    <w:div w:id="1679917014">
      <w:marLeft w:val="0"/>
      <w:marRight w:val="0"/>
      <w:marTop w:val="0"/>
      <w:marBottom w:val="0"/>
      <w:divBdr>
        <w:top w:val="none" w:sz="0" w:space="0" w:color="auto"/>
        <w:left w:val="none" w:sz="0" w:space="0" w:color="auto"/>
        <w:bottom w:val="none" w:sz="0" w:space="0" w:color="auto"/>
        <w:right w:val="none" w:sz="0" w:space="0" w:color="auto"/>
      </w:divBdr>
    </w:div>
    <w:div w:id="1680040141">
      <w:marLeft w:val="0"/>
      <w:marRight w:val="0"/>
      <w:marTop w:val="0"/>
      <w:marBottom w:val="0"/>
      <w:divBdr>
        <w:top w:val="none" w:sz="0" w:space="0" w:color="auto"/>
        <w:left w:val="none" w:sz="0" w:space="0" w:color="auto"/>
        <w:bottom w:val="none" w:sz="0" w:space="0" w:color="auto"/>
        <w:right w:val="none" w:sz="0" w:space="0" w:color="auto"/>
      </w:divBdr>
    </w:div>
    <w:div w:id="1692142718">
      <w:marLeft w:val="0"/>
      <w:marRight w:val="0"/>
      <w:marTop w:val="0"/>
      <w:marBottom w:val="0"/>
      <w:divBdr>
        <w:top w:val="none" w:sz="0" w:space="0" w:color="auto"/>
        <w:left w:val="none" w:sz="0" w:space="0" w:color="auto"/>
        <w:bottom w:val="none" w:sz="0" w:space="0" w:color="auto"/>
        <w:right w:val="none" w:sz="0" w:space="0" w:color="auto"/>
      </w:divBdr>
    </w:div>
    <w:div w:id="1692875169">
      <w:marLeft w:val="0"/>
      <w:marRight w:val="0"/>
      <w:marTop w:val="100"/>
      <w:marBottom w:val="0"/>
      <w:divBdr>
        <w:top w:val="none" w:sz="0" w:space="0" w:color="auto"/>
        <w:left w:val="none" w:sz="0" w:space="0" w:color="auto"/>
        <w:bottom w:val="none" w:sz="0" w:space="0" w:color="auto"/>
        <w:right w:val="none" w:sz="0" w:space="0" w:color="auto"/>
      </w:divBdr>
    </w:div>
    <w:div w:id="1717923399">
      <w:marLeft w:val="0"/>
      <w:marRight w:val="0"/>
      <w:marTop w:val="0"/>
      <w:marBottom w:val="0"/>
      <w:divBdr>
        <w:top w:val="none" w:sz="0" w:space="0" w:color="auto"/>
        <w:left w:val="none" w:sz="0" w:space="0" w:color="auto"/>
        <w:bottom w:val="none" w:sz="0" w:space="0" w:color="auto"/>
        <w:right w:val="none" w:sz="0" w:space="0" w:color="auto"/>
      </w:divBdr>
    </w:div>
    <w:div w:id="1720591765">
      <w:marLeft w:val="0"/>
      <w:marRight w:val="0"/>
      <w:marTop w:val="0"/>
      <w:marBottom w:val="0"/>
      <w:divBdr>
        <w:top w:val="none" w:sz="0" w:space="0" w:color="auto"/>
        <w:left w:val="none" w:sz="0" w:space="0" w:color="auto"/>
        <w:bottom w:val="none" w:sz="0" w:space="0" w:color="auto"/>
        <w:right w:val="none" w:sz="0" w:space="0" w:color="auto"/>
      </w:divBdr>
      <w:divsChild>
        <w:div w:id="1208687497">
          <w:marLeft w:val="0"/>
          <w:marRight w:val="0"/>
          <w:marTop w:val="160"/>
          <w:marBottom w:val="160"/>
          <w:divBdr>
            <w:top w:val="none" w:sz="0" w:space="0" w:color="auto"/>
            <w:left w:val="none" w:sz="0" w:space="0" w:color="auto"/>
            <w:bottom w:val="none" w:sz="0" w:space="0" w:color="auto"/>
            <w:right w:val="none" w:sz="0" w:space="0" w:color="auto"/>
          </w:divBdr>
        </w:div>
      </w:divsChild>
    </w:div>
    <w:div w:id="1722024277">
      <w:marLeft w:val="0"/>
      <w:marRight w:val="0"/>
      <w:marTop w:val="0"/>
      <w:marBottom w:val="0"/>
      <w:divBdr>
        <w:top w:val="none" w:sz="0" w:space="0" w:color="auto"/>
        <w:left w:val="none" w:sz="0" w:space="0" w:color="auto"/>
        <w:bottom w:val="none" w:sz="0" w:space="0" w:color="auto"/>
        <w:right w:val="none" w:sz="0" w:space="0" w:color="auto"/>
      </w:divBdr>
    </w:div>
    <w:div w:id="1722634276">
      <w:marLeft w:val="0"/>
      <w:marRight w:val="0"/>
      <w:marTop w:val="0"/>
      <w:marBottom w:val="0"/>
      <w:divBdr>
        <w:top w:val="none" w:sz="0" w:space="0" w:color="auto"/>
        <w:left w:val="none" w:sz="0" w:space="0" w:color="auto"/>
        <w:bottom w:val="none" w:sz="0" w:space="0" w:color="auto"/>
        <w:right w:val="none" w:sz="0" w:space="0" w:color="auto"/>
      </w:divBdr>
    </w:div>
    <w:div w:id="1730566554">
      <w:marLeft w:val="0"/>
      <w:marRight w:val="0"/>
      <w:marTop w:val="0"/>
      <w:marBottom w:val="0"/>
      <w:divBdr>
        <w:top w:val="none" w:sz="0" w:space="0" w:color="auto"/>
        <w:left w:val="none" w:sz="0" w:space="0" w:color="auto"/>
        <w:bottom w:val="none" w:sz="0" w:space="0" w:color="auto"/>
        <w:right w:val="none" w:sz="0" w:space="0" w:color="auto"/>
      </w:divBdr>
      <w:divsChild>
        <w:div w:id="609971620">
          <w:marLeft w:val="0"/>
          <w:marRight w:val="0"/>
          <w:marTop w:val="160"/>
          <w:marBottom w:val="160"/>
          <w:divBdr>
            <w:top w:val="none" w:sz="0" w:space="0" w:color="auto"/>
            <w:left w:val="none" w:sz="0" w:space="0" w:color="auto"/>
            <w:bottom w:val="none" w:sz="0" w:space="0" w:color="auto"/>
            <w:right w:val="none" w:sz="0" w:space="0" w:color="auto"/>
          </w:divBdr>
        </w:div>
      </w:divsChild>
    </w:div>
    <w:div w:id="1733041276">
      <w:marLeft w:val="0"/>
      <w:marRight w:val="0"/>
      <w:marTop w:val="0"/>
      <w:marBottom w:val="0"/>
      <w:divBdr>
        <w:top w:val="none" w:sz="0" w:space="0" w:color="auto"/>
        <w:left w:val="none" w:sz="0" w:space="0" w:color="auto"/>
        <w:bottom w:val="none" w:sz="0" w:space="0" w:color="auto"/>
        <w:right w:val="none" w:sz="0" w:space="0" w:color="auto"/>
      </w:divBdr>
      <w:divsChild>
        <w:div w:id="48190629">
          <w:marLeft w:val="0"/>
          <w:marRight w:val="0"/>
          <w:marTop w:val="0"/>
          <w:marBottom w:val="0"/>
          <w:divBdr>
            <w:top w:val="none" w:sz="0" w:space="0" w:color="auto"/>
            <w:left w:val="none" w:sz="0" w:space="0" w:color="auto"/>
            <w:bottom w:val="none" w:sz="0" w:space="0" w:color="auto"/>
            <w:right w:val="none" w:sz="0" w:space="0" w:color="auto"/>
          </w:divBdr>
        </w:div>
      </w:divsChild>
    </w:div>
    <w:div w:id="1733891784">
      <w:marLeft w:val="0"/>
      <w:marRight w:val="0"/>
      <w:marTop w:val="0"/>
      <w:marBottom w:val="0"/>
      <w:divBdr>
        <w:top w:val="none" w:sz="0" w:space="0" w:color="auto"/>
        <w:left w:val="none" w:sz="0" w:space="0" w:color="auto"/>
        <w:bottom w:val="none" w:sz="0" w:space="0" w:color="auto"/>
        <w:right w:val="none" w:sz="0" w:space="0" w:color="auto"/>
      </w:divBdr>
    </w:div>
    <w:div w:id="1735932891">
      <w:marLeft w:val="0"/>
      <w:marRight w:val="0"/>
      <w:marTop w:val="0"/>
      <w:marBottom w:val="0"/>
      <w:divBdr>
        <w:top w:val="none" w:sz="0" w:space="0" w:color="auto"/>
        <w:left w:val="none" w:sz="0" w:space="0" w:color="auto"/>
        <w:bottom w:val="none" w:sz="0" w:space="0" w:color="auto"/>
        <w:right w:val="none" w:sz="0" w:space="0" w:color="auto"/>
      </w:divBdr>
    </w:div>
    <w:div w:id="1737390333">
      <w:marLeft w:val="0"/>
      <w:marRight w:val="0"/>
      <w:marTop w:val="0"/>
      <w:marBottom w:val="0"/>
      <w:divBdr>
        <w:top w:val="none" w:sz="0" w:space="0" w:color="auto"/>
        <w:left w:val="none" w:sz="0" w:space="0" w:color="auto"/>
        <w:bottom w:val="none" w:sz="0" w:space="0" w:color="auto"/>
        <w:right w:val="none" w:sz="0" w:space="0" w:color="auto"/>
      </w:divBdr>
    </w:div>
    <w:div w:id="1746025300">
      <w:marLeft w:val="0"/>
      <w:marRight w:val="0"/>
      <w:marTop w:val="0"/>
      <w:marBottom w:val="0"/>
      <w:divBdr>
        <w:top w:val="none" w:sz="0" w:space="0" w:color="auto"/>
        <w:left w:val="none" w:sz="0" w:space="0" w:color="auto"/>
        <w:bottom w:val="none" w:sz="0" w:space="0" w:color="auto"/>
        <w:right w:val="none" w:sz="0" w:space="0" w:color="auto"/>
      </w:divBdr>
      <w:divsChild>
        <w:div w:id="910502377">
          <w:marLeft w:val="0"/>
          <w:marRight w:val="0"/>
          <w:marTop w:val="0"/>
          <w:marBottom w:val="0"/>
          <w:divBdr>
            <w:top w:val="none" w:sz="0" w:space="0" w:color="auto"/>
            <w:left w:val="none" w:sz="0" w:space="0" w:color="auto"/>
            <w:bottom w:val="none" w:sz="0" w:space="0" w:color="auto"/>
            <w:right w:val="none" w:sz="0" w:space="0" w:color="auto"/>
          </w:divBdr>
        </w:div>
      </w:divsChild>
    </w:div>
    <w:div w:id="1769538134">
      <w:marLeft w:val="0"/>
      <w:marRight w:val="0"/>
      <w:marTop w:val="0"/>
      <w:marBottom w:val="0"/>
      <w:divBdr>
        <w:top w:val="none" w:sz="0" w:space="0" w:color="auto"/>
        <w:left w:val="none" w:sz="0" w:space="0" w:color="auto"/>
        <w:bottom w:val="none" w:sz="0" w:space="0" w:color="auto"/>
        <w:right w:val="none" w:sz="0" w:space="0" w:color="auto"/>
      </w:divBdr>
      <w:divsChild>
        <w:div w:id="1296330292">
          <w:marLeft w:val="0"/>
          <w:marRight w:val="0"/>
          <w:marTop w:val="0"/>
          <w:marBottom w:val="0"/>
          <w:divBdr>
            <w:top w:val="none" w:sz="0" w:space="0" w:color="auto"/>
            <w:left w:val="none" w:sz="0" w:space="0" w:color="auto"/>
            <w:bottom w:val="none" w:sz="0" w:space="0" w:color="auto"/>
            <w:right w:val="none" w:sz="0" w:space="0" w:color="auto"/>
          </w:divBdr>
        </w:div>
      </w:divsChild>
    </w:div>
    <w:div w:id="1770613524">
      <w:marLeft w:val="0"/>
      <w:marRight w:val="0"/>
      <w:marTop w:val="0"/>
      <w:marBottom w:val="0"/>
      <w:divBdr>
        <w:top w:val="none" w:sz="0" w:space="0" w:color="auto"/>
        <w:left w:val="none" w:sz="0" w:space="0" w:color="auto"/>
        <w:bottom w:val="none" w:sz="0" w:space="0" w:color="auto"/>
        <w:right w:val="none" w:sz="0" w:space="0" w:color="auto"/>
      </w:divBdr>
    </w:div>
    <w:div w:id="1775442487">
      <w:marLeft w:val="0"/>
      <w:marRight w:val="0"/>
      <w:marTop w:val="0"/>
      <w:marBottom w:val="0"/>
      <w:divBdr>
        <w:top w:val="none" w:sz="0" w:space="0" w:color="auto"/>
        <w:left w:val="none" w:sz="0" w:space="0" w:color="auto"/>
        <w:bottom w:val="none" w:sz="0" w:space="0" w:color="auto"/>
        <w:right w:val="none" w:sz="0" w:space="0" w:color="auto"/>
      </w:divBdr>
    </w:div>
    <w:div w:id="1779324879">
      <w:marLeft w:val="0"/>
      <w:marRight w:val="0"/>
      <w:marTop w:val="0"/>
      <w:marBottom w:val="0"/>
      <w:divBdr>
        <w:top w:val="none" w:sz="0" w:space="0" w:color="auto"/>
        <w:left w:val="none" w:sz="0" w:space="0" w:color="auto"/>
        <w:bottom w:val="none" w:sz="0" w:space="0" w:color="auto"/>
        <w:right w:val="none" w:sz="0" w:space="0" w:color="auto"/>
      </w:divBdr>
    </w:div>
    <w:div w:id="1785614298">
      <w:marLeft w:val="0"/>
      <w:marRight w:val="0"/>
      <w:marTop w:val="0"/>
      <w:marBottom w:val="0"/>
      <w:divBdr>
        <w:top w:val="none" w:sz="0" w:space="0" w:color="auto"/>
        <w:left w:val="none" w:sz="0" w:space="0" w:color="auto"/>
        <w:bottom w:val="none" w:sz="0" w:space="0" w:color="auto"/>
        <w:right w:val="none" w:sz="0" w:space="0" w:color="auto"/>
      </w:divBdr>
    </w:div>
    <w:div w:id="1788426357">
      <w:marLeft w:val="0"/>
      <w:marRight w:val="0"/>
      <w:marTop w:val="0"/>
      <w:marBottom w:val="0"/>
      <w:divBdr>
        <w:top w:val="none" w:sz="0" w:space="0" w:color="auto"/>
        <w:left w:val="none" w:sz="0" w:space="0" w:color="auto"/>
        <w:bottom w:val="none" w:sz="0" w:space="0" w:color="auto"/>
        <w:right w:val="none" w:sz="0" w:space="0" w:color="auto"/>
      </w:divBdr>
    </w:div>
    <w:div w:id="1798572601">
      <w:marLeft w:val="0"/>
      <w:marRight w:val="0"/>
      <w:marTop w:val="0"/>
      <w:marBottom w:val="0"/>
      <w:divBdr>
        <w:top w:val="none" w:sz="0" w:space="0" w:color="auto"/>
        <w:left w:val="none" w:sz="0" w:space="0" w:color="auto"/>
        <w:bottom w:val="none" w:sz="0" w:space="0" w:color="auto"/>
        <w:right w:val="none" w:sz="0" w:space="0" w:color="auto"/>
      </w:divBdr>
    </w:div>
    <w:div w:id="1811508216">
      <w:marLeft w:val="0"/>
      <w:marRight w:val="0"/>
      <w:marTop w:val="0"/>
      <w:marBottom w:val="0"/>
      <w:divBdr>
        <w:top w:val="none" w:sz="0" w:space="0" w:color="auto"/>
        <w:left w:val="none" w:sz="0" w:space="0" w:color="auto"/>
        <w:bottom w:val="none" w:sz="0" w:space="0" w:color="auto"/>
        <w:right w:val="none" w:sz="0" w:space="0" w:color="auto"/>
      </w:divBdr>
      <w:divsChild>
        <w:div w:id="38168843">
          <w:marLeft w:val="0"/>
          <w:marRight w:val="0"/>
          <w:marTop w:val="160"/>
          <w:marBottom w:val="160"/>
          <w:divBdr>
            <w:top w:val="none" w:sz="0" w:space="0" w:color="auto"/>
            <w:left w:val="none" w:sz="0" w:space="0" w:color="auto"/>
            <w:bottom w:val="none" w:sz="0" w:space="0" w:color="auto"/>
            <w:right w:val="none" w:sz="0" w:space="0" w:color="auto"/>
          </w:divBdr>
        </w:div>
      </w:divsChild>
    </w:div>
    <w:div w:id="1812600891">
      <w:marLeft w:val="0"/>
      <w:marRight w:val="0"/>
      <w:marTop w:val="0"/>
      <w:marBottom w:val="0"/>
      <w:divBdr>
        <w:top w:val="none" w:sz="0" w:space="0" w:color="auto"/>
        <w:left w:val="none" w:sz="0" w:space="0" w:color="auto"/>
        <w:bottom w:val="none" w:sz="0" w:space="0" w:color="auto"/>
        <w:right w:val="none" w:sz="0" w:space="0" w:color="auto"/>
      </w:divBdr>
    </w:div>
    <w:div w:id="1825848981">
      <w:marLeft w:val="0"/>
      <w:marRight w:val="0"/>
      <w:marTop w:val="0"/>
      <w:marBottom w:val="0"/>
      <w:divBdr>
        <w:top w:val="none" w:sz="0" w:space="0" w:color="auto"/>
        <w:left w:val="none" w:sz="0" w:space="0" w:color="auto"/>
        <w:bottom w:val="none" w:sz="0" w:space="0" w:color="auto"/>
        <w:right w:val="none" w:sz="0" w:space="0" w:color="auto"/>
      </w:divBdr>
    </w:div>
    <w:div w:id="1826123494">
      <w:marLeft w:val="0"/>
      <w:marRight w:val="0"/>
      <w:marTop w:val="0"/>
      <w:marBottom w:val="0"/>
      <w:divBdr>
        <w:top w:val="none" w:sz="0" w:space="0" w:color="auto"/>
        <w:left w:val="none" w:sz="0" w:space="0" w:color="auto"/>
        <w:bottom w:val="none" w:sz="0" w:space="0" w:color="auto"/>
        <w:right w:val="none" w:sz="0" w:space="0" w:color="auto"/>
      </w:divBdr>
    </w:div>
    <w:div w:id="1827236983">
      <w:marLeft w:val="0"/>
      <w:marRight w:val="0"/>
      <w:marTop w:val="0"/>
      <w:marBottom w:val="60"/>
      <w:divBdr>
        <w:top w:val="none" w:sz="0" w:space="0" w:color="auto"/>
        <w:left w:val="none" w:sz="0" w:space="0" w:color="auto"/>
        <w:bottom w:val="none" w:sz="0" w:space="0" w:color="auto"/>
        <w:right w:val="none" w:sz="0" w:space="0" w:color="auto"/>
      </w:divBdr>
    </w:div>
    <w:div w:id="1832982785">
      <w:marLeft w:val="0"/>
      <w:marRight w:val="0"/>
      <w:marTop w:val="0"/>
      <w:marBottom w:val="0"/>
      <w:divBdr>
        <w:top w:val="none" w:sz="0" w:space="0" w:color="auto"/>
        <w:left w:val="none" w:sz="0" w:space="0" w:color="auto"/>
        <w:bottom w:val="none" w:sz="0" w:space="0" w:color="auto"/>
        <w:right w:val="none" w:sz="0" w:space="0" w:color="auto"/>
      </w:divBdr>
    </w:div>
    <w:div w:id="1847548840">
      <w:marLeft w:val="0"/>
      <w:marRight w:val="0"/>
      <w:marTop w:val="0"/>
      <w:marBottom w:val="0"/>
      <w:divBdr>
        <w:top w:val="none" w:sz="0" w:space="0" w:color="auto"/>
        <w:left w:val="none" w:sz="0" w:space="0" w:color="auto"/>
        <w:bottom w:val="none" w:sz="0" w:space="0" w:color="auto"/>
        <w:right w:val="none" w:sz="0" w:space="0" w:color="auto"/>
      </w:divBdr>
    </w:div>
    <w:div w:id="1849055584">
      <w:marLeft w:val="0"/>
      <w:marRight w:val="0"/>
      <w:marTop w:val="0"/>
      <w:marBottom w:val="0"/>
      <w:divBdr>
        <w:top w:val="none" w:sz="0" w:space="0" w:color="auto"/>
        <w:left w:val="none" w:sz="0" w:space="0" w:color="auto"/>
        <w:bottom w:val="none" w:sz="0" w:space="0" w:color="auto"/>
        <w:right w:val="none" w:sz="0" w:space="0" w:color="auto"/>
      </w:divBdr>
    </w:div>
    <w:div w:id="1851287121">
      <w:marLeft w:val="0"/>
      <w:marRight w:val="0"/>
      <w:marTop w:val="0"/>
      <w:marBottom w:val="0"/>
      <w:divBdr>
        <w:top w:val="none" w:sz="0" w:space="0" w:color="auto"/>
        <w:left w:val="none" w:sz="0" w:space="0" w:color="auto"/>
        <w:bottom w:val="none" w:sz="0" w:space="0" w:color="auto"/>
        <w:right w:val="none" w:sz="0" w:space="0" w:color="auto"/>
      </w:divBdr>
    </w:div>
    <w:div w:id="1869486907">
      <w:marLeft w:val="0"/>
      <w:marRight w:val="0"/>
      <w:marTop w:val="0"/>
      <w:marBottom w:val="0"/>
      <w:divBdr>
        <w:top w:val="none" w:sz="0" w:space="0" w:color="auto"/>
        <w:left w:val="none" w:sz="0" w:space="0" w:color="auto"/>
        <w:bottom w:val="none" w:sz="0" w:space="0" w:color="auto"/>
        <w:right w:val="none" w:sz="0" w:space="0" w:color="auto"/>
      </w:divBdr>
    </w:div>
    <w:div w:id="1890145151">
      <w:marLeft w:val="0"/>
      <w:marRight w:val="0"/>
      <w:marTop w:val="0"/>
      <w:marBottom w:val="0"/>
      <w:divBdr>
        <w:top w:val="none" w:sz="0" w:space="0" w:color="auto"/>
        <w:left w:val="none" w:sz="0" w:space="0" w:color="auto"/>
        <w:bottom w:val="none" w:sz="0" w:space="0" w:color="auto"/>
        <w:right w:val="none" w:sz="0" w:space="0" w:color="auto"/>
      </w:divBdr>
    </w:div>
    <w:div w:id="1902056934">
      <w:marLeft w:val="0"/>
      <w:marRight w:val="0"/>
      <w:marTop w:val="0"/>
      <w:marBottom w:val="0"/>
      <w:divBdr>
        <w:top w:val="none" w:sz="0" w:space="0" w:color="auto"/>
        <w:left w:val="none" w:sz="0" w:space="0" w:color="auto"/>
        <w:bottom w:val="none" w:sz="0" w:space="0" w:color="auto"/>
        <w:right w:val="none" w:sz="0" w:space="0" w:color="auto"/>
      </w:divBdr>
      <w:divsChild>
        <w:div w:id="1269199136">
          <w:marLeft w:val="0"/>
          <w:marRight w:val="0"/>
          <w:marTop w:val="160"/>
          <w:marBottom w:val="160"/>
          <w:divBdr>
            <w:top w:val="none" w:sz="0" w:space="0" w:color="auto"/>
            <w:left w:val="none" w:sz="0" w:space="0" w:color="auto"/>
            <w:bottom w:val="none" w:sz="0" w:space="0" w:color="auto"/>
            <w:right w:val="none" w:sz="0" w:space="0" w:color="auto"/>
          </w:divBdr>
        </w:div>
      </w:divsChild>
    </w:div>
    <w:div w:id="1910115528">
      <w:marLeft w:val="0"/>
      <w:marRight w:val="0"/>
      <w:marTop w:val="100"/>
      <w:marBottom w:val="0"/>
      <w:divBdr>
        <w:top w:val="none" w:sz="0" w:space="0" w:color="auto"/>
        <w:left w:val="none" w:sz="0" w:space="0" w:color="auto"/>
        <w:bottom w:val="none" w:sz="0" w:space="0" w:color="auto"/>
        <w:right w:val="none" w:sz="0" w:space="0" w:color="auto"/>
      </w:divBdr>
    </w:div>
    <w:div w:id="1910845492">
      <w:marLeft w:val="0"/>
      <w:marRight w:val="0"/>
      <w:marTop w:val="0"/>
      <w:marBottom w:val="60"/>
      <w:divBdr>
        <w:top w:val="none" w:sz="0" w:space="0" w:color="auto"/>
        <w:left w:val="none" w:sz="0" w:space="0" w:color="auto"/>
        <w:bottom w:val="none" w:sz="0" w:space="0" w:color="auto"/>
        <w:right w:val="none" w:sz="0" w:space="0" w:color="auto"/>
      </w:divBdr>
    </w:div>
    <w:div w:id="1914926533">
      <w:marLeft w:val="0"/>
      <w:marRight w:val="0"/>
      <w:marTop w:val="0"/>
      <w:marBottom w:val="0"/>
      <w:divBdr>
        <w:top w:val="none" w:sz="0" w:space="0" w:color="auto"/>
        <w:left w:val="none" w:sz="0" w:space="0" w:color="auto"/>
        <w:bottom w:val="none" w:sz="0" w:space="0" w:color="auto"/>
        <w:right w:val="none" w:sz="0" w:space="0" w:color="auto"/>
      </w:divBdr>
    </w:div>
    <w:div w:id="1916667608">
      <w:marLeft w:val="0"/>
      <w:marRight w:val="0"/>
      <w:marTop w:val="0"/>
      <w:marBottom w:val="0"/>
      <w:divBdr>
        <w:top w:val="none" w:sz="0" w:space="0" w:color="auto"/>
        <w:left w:val="none" w:sz="0" w:space="0" w:color="auto"/>
        <w:bottom w:val="none" w:sz="0" w:space="0" w:color="auto"/>
        <w:right w:val="none" w:sz="0" w:space="0" w:color="auto"/>
      </w:divBdr>
    </w:div>
    <w:div w:id="1926454389">
      <w:marLeft w:val="0"/>
      <w:marRight w:val="0"/>
      <w:marTop w:val="0"/>
      <w:marBottom w:val="60"/>
      <w:divBdr>
        <w:top w:val="none" w:sz="0" w:space="0" w:color="auto"/>
        <w:left w:val="none" w:sz="0" w:space="0" w:color="auto"/>
        <w:bottom w:val="none" w:sz="0" w:space="0" w:color="auto"/>
        <w:right w:val="none" w:sz="0" w:space="0" w:color="auto"/>
      </w:divBdr>
    </w:div>
    <w:div w:id="1931967164">
      <w:marLeft w:val="0"/>
      <w:marRight w:val="0"/>
      <w:marTop w:val="0"/>
      <w:marBottom w:val="0"/>
      <w:divBdr>
        <w:top w:val="none" w:sz="0" w:space="0" w:color="auto"/>
        <w:left w:val="none" w:sz="0" w:space="0" w:color="auto"/>
        <w:bottom w:val="none" w:sz="0" w:space="0" w:color="auto"/>
        <w:right w:val="none" w:sz="0" w:space="0" w:color="auto"/>
      </w:divBdr>
    </w:div>
    <w:div w:id="1946768781">
      <w:marLeft w:val="0"/>
      <w:marRight w:val="0"/>
      <w:marTop w:val="0"/>
      <w:marBottom w:val="0"/>
      <w:divBdr>
        <w:top w:val="none" w:sz="0" w:space="0" w:color="auto"/>
        <w:left w:val="none" w:sz="0" w:space="0" w:color="auto"/>
        <w:bottom w:val="none" w:sz="0" w:space="0" w:color="auto"/>
        <w:right w:val="none" w:sz="0" w:space="0" w:color="auto"/>
      </w:divBdr>
    </w:div>
    <w:div w:id="1961372150">
      <w:marLeft w:val="0"/>
      <w:marRight w:val="0"/>
      <w:marTop w:val="100"/>
      <w:marBottom w:val="0"/>
      <w:divBdr>
        <w:top w:val="none" w:sz="0" w:space="0" w:color="auto"/>
        <w:left w:val="none" w:sz="0" w:space="0" w:color="auto"/>
        <w:bottom w:val="none" w:sz="0" w:space="0" w:color="auto"/>
        <w:right w:val="none" w:sz="0" w:space="0" w:color="auto"/>
      </w:divBdr>
    </w:div>
    <w:div w:id="1968047933">
      <w:marLeft w:val="0"/>
      <w:marRight w:val="0"/>
      <w:marTop w:val="0"/>
      <w:marBottom w:val="0"/>
      <w:divBdr>
        <w:top w:val="none" w:sz="0" w:space="0" w:color="auto"/>
        <w:left w:val="none" w:sz="0" w:space="0" w:color="auto"/>
        <w:bottom w:val="none" w:sz="0" w:space="0" w:color="auto"/>
        <w:right w:val="none" w:sz="0" w:space="0" w:color="auto"/>
      </w:divBdr>
      <w:divsChild>
        <w:div w:id="1480532077">
          <w:marLeft w:val="0"/>
          <w:marRight w:val="0"/>
          <w:marTop w:val="160"/>
          <w:marBottom w:val="160"/>
          <w:divBdr>
            <w:top w:val="none" w:sz="0" w:space="0" w:color="auto"/>
            <w:left w:val="none" w:sz="0" w:space="0" w:color="auto"/>
            <w:bottom w:val="none" w:sz="0" w:space="0" w:color="auto"/>
            <w:right w:val="none" w:sz="0" w:space="0" w:color="auto"/>
          </w:divBdr>
        </w:div>
      </w:divsChild>
    </w:div>
    <w:div w:id="1981689096">
      <w:marLeft w:val="0"/>
      <w:marRight w:val="0"/>
      <w:marTop w:val="0"/>
      <w:marBottom w:val="60"/>
      <w:divBdr>
        <w:top w:val="none" w:sz="0" w:space="0" w:color="auto"/>
        <w:left w:val="none" w:sz="0" w:space="0" w:color="auto"/>
        <w:bottom w:val="none" w:sz="0" w:space="0" w:color="auto"/>
        <w:right w:val="none" w:sz="0" w:space="0" w:color="auto"/>
      </w:divBdr>
    </w:div>
    <w:div w:id="2043170287">
      <w:marLeft w:val="0"/>
      <w:marRight w:val="0"/>
      <w:marTop w:val="0"/>
      <w:marBottom w:val="0"/>
      <w:divBdr>
        <w:top w:val="none" w:sz="0" w:space="0" w:color="auto"/>
        <w:left w:val="none" w:sz="0" w:space="0" w:color="auto"/>
        <w:bottom w:val="none" w:sz="0" w:space="0" w:color="auto"/>
        <w:right w:val="none" w:sz="0" w:space="0" w:color="auto"/>
      </w:divBdr>
    </w:div>
    <w:div w:id="2048486773">
      <w:marLeft w:val="0"/>
      <w:marRight w:val="0"/>
      <w:marTop w:val="240"/>
      <w:marBottom w:val="160"/>
      <w:divBdr>
        <w:top w:val="none" w:sz="0" w:space="0" w:color="auto"/>
        <w:left w:val="none" w:sz="0" w:space="0" w:color="auto"/>
        <w:bottom w:val="none" w:sz="0" w:space="0" w:color="auto"/>
        <w:right w:val="none" w:sz="0" w:space="0" w:color="auto"/>
      </w:divBdr>
    </w:div>
    <w:div w:id="2051221521">
      <w:marLeft w:val="0"/>
      <w:marRight w:val="0"/>
      <w:marTop w:val="160"/>
      <w:marBottom w:val="0"/>
      <w:divBdr>
        <w:top w:val="none" w:sz="0" w:space="0" w:color="auto"/>
        <w:left w:val="none" w:sz="0" w:space="0" w:color="auto"/>
        <w:bottom w:val="none" w:sz="0" w:space="0" w:color="auto"/>
        <w:right w:val="none" w:sz="0" w:space="0" w:color="auto"/>
      </w:divBdr>
    </w:div>
    <w:div w:id="2055811850">
      <w:marLeft w:val="0"/>
      <w:marRight w:val="0"/>
      <w:marTop w:val="0"/>
      <w:marBottom w:val="0"/>
      <w:divBdr>
        <w:top w:val="none" w:sz="0" w:space="0" w:color="auto"/>
        <w:left w:val="none" w:sz="0" w:space="0" w:color="auto"/>
        <w:bottom w:val="none" w:sz="0" w:space="0" w:color="auto"/>
        <w:right w:val="none" w:sz="0" w:space="0" w:color="auto"/>
      </w:divBdr>
    </w:div>
    <w:div w:id="2110344670">
      <w:marLeft w:val="0"/>
      <w:marRight w:val="0"/>
      <w:marTop w:val="0"/>
      <w:marBottom w:val="0"/>
      <w:divBdr>
        <w:top w:val="none" w:sz="0" w:space="0" w:color="auto"/>
        <w:left w:val="none" w:sz="0" w:space="0" w:color="auto"/>
        <w:bottom w:val="none" w:sz="0" w:space="0" w:color="auto"/>
        <w:right w:val="none" w:sz="0" w:space="0" w:color="auto"/>
      </w:divBdr>
    </w:div>
    <w:div w:id="2111077388">
      <w:marLeft w:val="0"/>
      <w:marRight w:val="0"/>
      <w:marTop w:val="0"/>
      <w:marBottom w:val="0"/>
      <w:divBdr>
        <w:top w:val="none" w:sz="0" w:space="0" w:color="auto"/>
        <w:left w:val="none" w:sz="0" w:space="0" w:color="auto"/>
        <w:bottom w:val="none" w:sz="0" w:space="0" w:color="auto"/>
        <w:right w:val="none" w:sz="0" w:space="0" w:color="auto"/>
      </w:divBdr>
      <w:divsChild>
        <w:div w:id="1119833287">
          <w:marLeft w:val="0"/>
          <w:marRight w:val="0"/>
          <w:marTop w:val="160"/>
          <w:marBottom w:val="160"/>
          <w:divBdr>
            <w:top w:val="none" w:sz="0" w:space="0" w:color="auto"/>
            <w:left w:val="none" w:sz="0" w:space="0" w:color="auto"/>
            <w:bottom w:val="none" w:sz="0" w:space="0" w:color="auto"/>
            <w:right w:val="none" w:sz="0" w:space="0" w:color="auto"/>
          </w:divBdr>
        </w:div>
      </w:divsChild>
    </w:div>
    <w:div w:id="2111897813">
      <w:marLeft w:val="0"/>
      <w:marRight w:val="0"/>
      <w:marTop w:val="0"/>
      <w:marBottom w:val="0"/>
      <w:divBdr>
        <w:top w:val="none" w:sz="0" w:space="0" w:color="auto"/>
        <w:left w:val="none" w:sz="0" w:space="0" w:color="auto"/>
        <w:bottom w:val="none" w:sz="0" w:space="0" w:color="auto"/>
        <w:right w:val="none" w:sz="0" w:space="0" w:color="auto"/>
      </w:divBdr>
    </w:div>
    <w:div w:id="213093500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2022q1exhibit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2022q1exhibit312.htm" TargetMode="External"/><Relationship Id="rId5" Type="http://schemas.openxmlformats.org/officeDocument/2006/relationships/hyperlink" Target="a2022q1exhibit311.htm" TargetMode="External"/><Relationship Id="rId4" Type="http://schemas.openxmlformats.org/officeDocument/2006/relationships/hyperlink" Target="ex101formof2022performance.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13588</Words>
  <Characters>77455</Characters>
  <Application>Microsoft Office Word</Application>
  <DocSecurity>0</DocSecurity>
  <Lines>645</Lines>
  <Paragraphs>181</Paragraphs>
  <ScaleCrop>false</ScaleCrop>
  <Company/>
  <LinksUpToDate>false</LinksUpToDate>
  <CharactersWithSpaces>90862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ndls-20220329</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