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C22AF">
      <w:pPr>
        <w:divId w:val="252059374"/>
        <w:rPr>
          <w:rFonts w:eastAsia="Times New Roman"/>
          <w:vanish/>
        </w:rPr>
      </w:pPr>
      <w:r>
        <w:rPr>
          <w:rFonts w:eastAsia="Times New Roman"/>
          <w:vanish/>
        </w:rPr>
        <w:t>0001275158false1/32022Q2</w:t>
      </w:r>
      <w:r>
        <w:rPr>
          <w:rFonts w:eastAsia="Times New Roman"/>
          <w:vanish/>
        </w:rPr>
        <w:t>http://fasb.org/us-gaap/2022#PropertyPlantAndEquipmentAndFinanceLeaseRightOfUseAssetAfterAccumulatedDepreciationAndAmortizationhttp://fasb.org/us-gaap/2022#PropertyPlantAndEquipmentAndFinanceLeaseRightOfUseAssetAfterAccumulatedDepreciationAndAmortizationht</w:t>
      </w:r>
      <w:r>
        <w:rPr>
          <w:rFonts w:eastAsia="Times New Roman"/>
          <w:vanish/>
        </w:rPr>
        <w:t>tp://fasb.org/us-gaap/2022#AccruedLiabilitiesCurrenthttp://fasb.org/us-gaap/2022#AccruedLiabilitiesCurrenthttp://fasb.org/us-gaap/2022#OtherLiabilitiesNoncurrenthttp://fasb.org/us-gaap/2022#OtherLiabilitiesNoncurrent00012751582021-12-292022-06-280001275158</w:t>
      </w:r>
      <w:r>
        <w:rPr>
          <w:rFonts w:eastAsia="Times New Roman"/>
          <w:vanish/>
        </w:rPr>
        <w:t>2022-07-25xbrli:shares00012751582022-06-28iso4217:USD00012751582021-12-28iso4217:USDxbrli:shares0001275158us-gaap:FoodAndBeverageMember2022-03-302022-06-280001275158us-gaap:FoodAndBeverageMember2021-03-312021-06-290001275158us-gaap:FoodAndBeverageMember202</w:t>
      </w:r>
      <w:r>
        <w:rPr>
          <w:rFonts w:eastAsia="Times New Roman"/>
          <w:vanish/>
        </w:rPr>
        <w:t>1-12-292022-06-280001275158us-gaap:FoodAndBeverageMember2020-12-302021-06-290001275158us-gaap:FranchiseMember2022-03-302022-06-280001275158us-gaap:FranchiseMember2021-03-312021-06-290001275158us-gaap:FranchiseMember2021-12-292022-06-280001275158us-gaap:Fra</w:t>
      </w:r>
      <w:r>
        <w:rPr>
          <w:rFonts w:eastAsia="Times New Roman"/>
          <w:vanish/>
        </w:rPr>
        <w:t>nchiseMember2020-12-302021-06-2900012751582022-03-302022-06-2800012751582021-03-312021-06-2900012751582020-12-302021-06-290001275158ndls:LaborMember2022-03-302022-06-280001275158ndls:LaborMember2021-03-312021-06-290001275158ndls:LaborMember2021-12-292022-0</w:t>
      </w:r>
      <w:r>
        <w:rPr>
          <w:rFonts w:eastAsia="Times New Roman"/>
          <w:vanish/>
        </w:rPr>
        <w:t>6-280001275158ndls:LaborMember2020-12-302021-06-290001275158ndls:RestaurantOccupancyMember2022-03-302022-06-280001275158ndls:RestaurantOccupancyMember2021-03-312021-06-290001275158ndls:RestaurantOccupancyMember2021-12-292022-06-280001275158ndls:RestaurantO</w:t>
      </w:r>
      <w:r>
        <w:rPr>
          <w:rFonts w:eastAsia="Times New Roman"/>
          <w:vanish/>
        </w:rPr>
        <w:t>ccupancyMember2020-12-302021-06-290001275158us-gaap:CommonStockMember2022-03-290001275158us-gaap:TreasuryStockCommonMember2022-03-290001275158us-gaap:AdditionalPaidInCapitalMember2022-03-290001275158us-gaap:RetainedEarningsMember2022-03-2900012751582022-03</w:t>
      </w:r>
      <w:r>
        <w:rPr>
          <w:rFonts w:eastAsia="Times New Roman"/>
          <w:vanish/>
        </w:rPr>
        <w:t>-290001275158us-gaap:CommonStockMember2022-03-302022-06-280001275158us-gaap:AdditionalPaidInCapitalMember2022-03-302022-06-280001275158us-gaap:RetainedEarningsMember2022-03-302022-06-280001275158us-gaap:CommonStockMember2022-06-280001275158us-gaap:Treasury</w:t>
      </w:r>
      <w:r>
        <w:rPr>
          <w:rFonts w:eastAsia="Times New Roman"/>
          <w:vanish/>
        </w:rPr>
        <w:t>StockCommonMember2022-06-280001275158us-gaap:AdditionalPaidInCapitalMember2022-06-280001275158us-gaap:RetainedEarningsMember2022-06-280001275158us-gaap:CommonStockMember2021-03-300001275158us-gaap:TreasuryStockCommonMember2021-03-300001275158us-gaap:Additi</w:t>
      </w:r>
      <w:r>
        <w:rPr>
          <w:rFonts w:eastAsia="Times New Roman"/>
          <w:vanish/>
        </w:rPr>
        <w:t>onalPaidInCapitalMember2021-03-300001275158us-gaap:RetainedEarningsMember2021-03-3000012751582021-03-300001275158us-gaap:CommonStockMember2021-03-312021-06-290001275158us-gaap:AdditionalPaidInCapitalMember2021-03-312021-06-290001275158us-gaap:RetainedEarni</w:t>
      </w:r>
      <w:r>
        <w:rPr>
          <w:rFonts w:eastAsia="Times New Roman"/>
          <w:vanish/>
        </w:rPr>
        <w:t>ngsMember2021-03-312021-06-290001275158us-gaap:CommonStockMember2021-06-290001275158us-gaap:TreasuryStockCommonMember2021-06-290001275158us-gaap:AdditionalPaidInCapitalMember2021-06-290001275158us-gaap:RetainedEarningsMember2021-06-2900012751582021-06-2900</w:t>
      </w:r>
      <w:r>
        <w:rPr>
          <w:rFonts w:eastAsia="Times New Roman"/>
          <w:vanish/>
        </w:rPr>
        <w:t>01275158us-gaap:CommonStockMember2021-12-280001275158us-gaap:TreasuryStockCommonMember2021-12-280001275158us-gaap:AdditionalPaidInCapitalMember2021-12-280001275158us-gaap:RetainedEarningsMember2021-12-280001275158us-gaap:CommonStockMember2021-12-292022-06-</w:t>
      </w:r>
      <w:r>
        <w:rPr>
          <w:rFonts w:eastAsia="Times New Roman"/>
          <w:vanish/>
        </w:rPr>
        <w:t>280001275158us-gaap:AdditionalPaidInCapitalMember2021-12-292022-06-280001275158us-gaap:RetainedEarningsMember2021-12-292022-06-280001275158us-gaap:CommonStockMember2020-12-290001275158us-gaap:TreasuryStockCommonMember2020-12-290001275158us-gaap:AdditionalP</w:t>
      </w:r>
      <w:r>
        <w:rPr>
          <w:rFonts w:eastAsia="Times New Roman"/>
          <w:vanish/>
        </w:rPr>
        <w:t>aidInCapitalMember2020-12-290001275158us-gaap:RetainedEarningsMember2020-12-2900012751582020-12-290001275158us-gaap:CommonStockMember2020-12-302021-06-290001275158us-gaap:AdditionalPaidInCapitalMember2020-12-302021-06-290001275158us-gaap:RetainedEarningsMe</w:t>
      </w:r>
      <w:r>
        <w:rPr>
          <w:rFonts w:eastAsia="Times New Roman"/>
          <w:vanish/>
        </w:rPr>
        <w:t>mber2020-12-302021-06-29ndls:restaurantndls:state0001275158us-gaap:EntityOperatedUnitsMember2022-06-280001275158us-gaap:FranchisedUnitsMember2022-06-28ndls:segment0001275158ndls:DeliveryProgramMember2022-06-280001275158ndls:DeliveryProgramMember2021-12-280</w:t>
      </w:r>
      <w:r>
        <w:rPr>
          <w:rFonts w:eastAsia="Times New Roman"/>
          <w:vanish/>
        </w:rPr>
        <w:t>001275158ndls:VendorRebateMember2022-06-280001275158ndls:VendorRebateMember2021-12-280001275158ndls:FranchiseReceivableMember2022-06-280001275158ndls:FranchiseReceivableMember2021-12-280001275158ndls:OtherReceivableMember2022-06-280001275158ndls:OtherRecei</w:t>
      </w:r>
      <w:r>
        <w:rPr>
          <w:rFonts w:eastAsia="Times New Roman"/>
          <w:vanish/>
        </w:rPr>
        <w:t>vableMember2021-12-280001275158us-gaap:LeaseholdImprovementsMember2022-06-280001275158us-gaap:LeaseholdImprovementsMember2021-12-280001275158ndls:FurnitureFixturesAndEquipmentMember2022-06-280001275158ndls:FurnitureFixturesAndEquipmentMember2021-12-2800012</w:t>
      </w:r>
      <w:r>
        <w:rPr>
          <w:rFonts w:eastAsia="Times New Roman"/>
          <w:vanish/>
        </w:rPr>
        <w:t>75158us-gaap:ConstructionInProgressMember2022-06-280001275158us-gaap:ConstructionInProgressMember2021-12-280001275158us-gaap:LoansPayableMemberndls:TwoThousandandEighteenCreditFacilityMember2018-05-090001275158us-gaap:RevolvingCreditFacilityMemberndls:TwoT</w:t>
      </w:r>
      <w:r>
        <w:rPr>
          <w:rFonts w:eastAsia="Times New Roman"/>
          <w:vanish/>
        </w:rPr>
        <w:t>housandandEighteenCreditFacilityMember2018-05-090001275158ndls:TwoThousandandEighteenCreditFacilityMemberus-gaap:LetterOfCreditMember2018-05-090001275158ndls:TwoThousandandEighteenCreditFacilityMemberndls:SwinglineSubfacilityMember2018-05-090001275158ndls:</w:t>
      </w:r>
      <w:r>
        <w:rPr>
          <w:rFonts w:eastAsia="Times New Roman"/>
          <w:vanish/>
        </w:rPr>
        <w:t>TwoThousandAndEighteenCreditFacilityAmendedMemberus-gaap:RevolvingCreditFacilityMember2019-11-200001275158ndls:TwoThousandAndEighteenCreditFacilityAmendedMember2019-11-200001275158srt:MinimumMemberndls:TwoThousandAndEighteenCreditFacilityAmendedMemberus-ga</w:t>
      </w:r>
      <w:r>
        <w:rPr>
          <w:rFonts w:eastAsia="Times New Roman"/>
          <w:vanish/>
        </w:rPr>
        <w:t>ap:LondonInterbankOfferedRateLIBORMember2019-11-202019-11-20xbrli:pure0001275158ndls:TwoThousandAndEighteenCreditFacilityAmendedMembersrt:MaximumMemberus-gaap:LondonInterbankOfferedRateLIBORMember2019-11-202019-11-200001275158srt:MinimumMemberndls:TwoThous</w:t>
      </w:r>
      <w:r>
        <w:rPr>
          <w:rFonts w:eastAsia="Times New Roman"/>
          <w:vanish/>
        </w:rPr>
        <w:t>andAndEighteenCreditFacilityAmendedMemberus-gaap:BaseRateMember2019-11-202019-11-200001275158ndls:TwoThousandAndEighteenCreditFacilityAmendedMembersrt:MaximumMemberus-gaap:BaseRateMember2019-11-202019-11-200001275158ndls:TwoThousandAndEighteenCreditFacilit</w:t>
      </w:r>
      <w:r>
        <w:rPr>
          <w:rFonts w:eastAsia="Times New Roman"/>
          <w:vanish/>
        </w:rPr>
        <w:t>yAmendedMemberndls:FederalFundsRateMember2019-11-202019-11-200001275158ndls:TwoThousandAndEighteenCreditFacilityAmendedMemberus-gaap:PrimeRateMember2019-11-202019-11-200001275158srt:MinimumMemberndls:TwoThousandAndEighteenCreditFacilityAmendedMemberus-gaap</w:t>
      </w:r>
      <w:r>
        <w:rPr>
          <w:rFonts w:eastAsia="Times New Roman"/>
          <w:vanish/>
        </w:rPr>
        <w:t>:RevolvingCreditFacilityMember2019-11-202019-11-200001275158ndls:TwoThousandAndEighteenCreditFacilityAmendedMembersrt:MaximumMemberus-gaap:RevolvingCreditFacilityMember2019-11-202019-11-200001275158ndls:TwoThousandAndEighteenCreditFacilitySecondAmendmentMe</w:t>
      </w:r>
      <w:r>
        <w:rPr>
          <w:rFonts w:eastAsia="Times New Roman"/>
          <w:vanish/>
        </w:rPr>
        <w:t>mberus-gaap:LondonInterbankOfferedRateLIBORMember2020-06-162021-09-280001275158srt:MinimumMembersrt:ScenarioForecastMemberus-gaap:LondonInterbankOfferedRateLIBORMemberndls:TwoThousandAndEighteenCreditFacilitySecondAmendmentMember2021-09-292024-11-200001275</w:t>
      </w:r>
      <w:r>
        <w:rPr>
          <w:rFonts w:eastAsia="Times New Roman"/>
          <w:vanish/>
        </w:rPr>
        <w:t>158srt:MaximumMembersrt:ScenarioForecastMemberus-gaap:LondonInterbankOfferedRateLIBORMemberndls:TwoThousandAndEighteenCreditFacilitySecondAmendmentMember2021-09-292024-11-200001275158ndls:TwoThousandAndEighteenCreditFacilitySecondAmendmentMember2020-06-160</w:t>
      </w:r>
      <w:r>
        <w:rPr>
          <w:rFonts w:eastAsia="Times New Roman"/>
          <w:vanish/>
        </w:rPr>
        <w:t>001275158srt:MinimumMember2021-12-292022-06-280001275158srt:MaximumMember2021-12-292022-06-280001275158ndls:TwoThousandAndEighteenCreditFacilityAmendedMemberus-gaap:RevolvingCreditFacilityMember2022-06-280001275158us-gaap:SubsequentEventMemberndls:TwoThous</w:t>
      </w:r>
      <w:r>
        <w:rPr>
          <w:rFonts w:eastAsia="Times New Roman"/>
          <w:vanish/>
        </w:rPr>
        <w:t>andAndEighteenCreditFacilityAmendedMemberus-gaap:RevolvingCreditFacilityMember2022-07-270001275158srt:MinimumMemberus-gaap:SubsequentEventMemberndls:TwoThousandAndEighteenCreditFacilityAmendedMemberus-gaap:SecuredOvernightFinancingRateSofrOvernightIndexSwa</w:t>
      </w:r>
      <w:r>
        <w:rPr>
          <w:rFonts w:eastAsia="Times New Roman"/>
          <w:vanish/>
        </w:rPr>
        <w:t>pRateMember2022-07-272022-07-270001275158us-gaap:SubsequentEventMemberndls:TwoThousandAndEighteenCreditFacilityAmendedMembersrt:MaximumMemberus-gaap:SecuredOvernightFinancingRateSofrOvernightIndexSwapRateMember2022-07-272022-07-270001275158ndls:AccruedExpe</w:t>
      </w:r>
      <w:r>
        <w:rPr>
          <w:rFonts w:eastAsia="Times New Roman"/>
          <w:vanish/>
        </w:rPr>
        <w:t>nsesandOtherCurrentLiabilitiesMember2022-06-280001275158ndls:AccruedExpensesandOtherCurrentLiabilitiesMember2021-12-280001275158ndls:OtherLongtermLiabilitiesMember2022-06-280001275158ndls:OtherLongtermLiabilitiesMember2021-12-28</w:t>
      </w:r>
    </w:p>
    <w:p w:rsidR="00000000" w:rsidRDefault="00BC22AF">
      <w:pPr>
        <w:divId w:val="542132570"/>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ind w:firstLine="720"/>
        <w:jc w:val="center"/>
        <w:rPr>
          <w:rFonts w:eastAsia="Times New Roman"/>
        </w:rPr>
      </w:pPr>
      <w:r>
        <w:rPr>
          <w:rFonts w:eastAsia="Times New Roman"/>
          <w:b/>
          <w:bCs/>
          <w:color w:val="000000"/>
          <w:sz w:val="32"/>
          <w:szCs w:val="32"/>
        </w:rPr>
        <w:t>UNITED STATES</w:t>
      </w:r>
    </w:p>
    <w:p w:rsidR="00000000" w:rsidRDefault="00BC22AF">
      <w:pPr>
        <w:jc w:val="center"/>
        <w:divId w:val="1019769936"/>
        <w:rPr>
          <w:rFonts w:eastAsia="Times New Roman"/>
        </w:rPr>
      </w:pPr>
      <w:r>
        <w:rPr>
          <w:rFonts w:eastAsia="Times New Roman"/>
          <w:b/>
          <w:bCs/>
          <w:color w:val="000000"/>
          <w:sz w:val="32"/>
          <w:szCs w:val="32"/>
        </w:rPr>
        <w:t>SECURITIES AND EXCHANGE COMMISSION</w:t>
      </w:r>
    </w:p>
    <w:p w:rsidR="00000000" w:rsidRDefault="00BC22AF">
      <w:pPr>
        <w:jc w:val="center"/>
        <w:rPr>
          <w:rFonts w:eastAsia="Times New Roman"/>
        </w:rPr>
      </w:pPr>
      <w:r>
        <w:rPr>
          <w:rFonts w:eastAsia="Times New Roman"/>
          <w:b/>
          <w:bCs/>
          <w:color w:val="000000"/>
          <w:sz w:val="16"/>
          <w:szCs w:val="16"/>
        </w:rPr>
        <w:t>WASHINGTON, DC 20549</w:t>
      </w:r>
    </w:p>
    <w:p w:rsidR="00000000" w:rsidRDefault="00BC22AF">
      <w:pPr>
        <w:jc w:val="center"/>
        <w:divId w:val="965698430"/>
        <w:rPr>
          <w:rFonts w:eastAsia="Times New Roman"/>
        </w:rPr>
      </w:pPr>
      <w:r>
        <w:rPr>
          <w:rFonts w:eastAsia="Times New Roman"/>
          <w:color w:val="000000"/>
          <w:sz w:val="16"/>
          <w:szCs w:val="16"/>
        </w:rPr>
        <w:t>_____________________________________________________________</w:t>
      </w:r>
    </w:p>
    <w:p w:rsidR="00000000" w:rsidRDefault="00BC22AF">
      <w:pPr>
        <w:jc w:val="center"/>
        <w:rPr>
          <w:rFonts w:eastAsia="Times New Roman"/>
        </w:rPr>
      </w:pPr>
      <w:r>
        <w:rPr>
          <w:rFonts w:eastAsia="Times New Roman"/>
          <w:b/>
          <w:bCs/>
          <w:color w:val="000000"/>
          <w:sz w:val="32"/>
          <w:szCs w:val="32"/>
        </w:rPr>
        <w:t xml:space="preserve">FORM 10-Q </w:t>
      </w:r>
    </w:p>
    <w:p w:rsidR="00000000" w:rsidRDefault="00BC22AF">
      <w:pPr>
        <w:jc w:val="center"/>
        <w:rPr>
          <w:rFonts w:eastAsia="Times New Roman"/>
        </w:rPr>
      </w:pPr>
      <w:r>
        <w:rPr>
          <w:rFonts w:eastAsia="Times New Roman"/>
          <w:color w:val="000000"/>
          <w:sz w:val="16"/>
          <w:szCs w:val="16"/>
        </w:rPr>
        <w:t>_____________________________________________________________</w:t>
      </w:r>
    </w:p>
    <w:p w:rsidR="00000000" w:rsidRDefault="00BC22AF">
      <w:pPr>
        <w:ind w:hanging="360"/>
        <w:jc w:val="center"/>
        <w:rPr>
          <w:rFonts w:eastAsia="Times New Roman"/>
        </w:rPr>
      </w:pPr>
    </w:p>
    <w:p w:rsidR="00000000" w:rsidRDefault="00BC22AF">
      <w:pPr>
        <w:divId w:val="263732697"/>
        <w:rPr>
          <w:rFonts w:eastAsia="Times New Roman"/>
        </w:rPr>
      </w:pPr>
    </w:p>
    <w:p w:rsidR="00000000" w:rsidRDefault="00BC22AF">
      <w:pPr>
        <w:jc w:val="center"/>
        <w:rPr>
          <w:rFonts w:eastAsia="Times New Roman"/>
        </w:rPr>
      </w:pPr>
      <w:r>
        <w:rPr>
          <w:rFonts w:eastAsia="Times New Roman"/>
          <w:b/>
          <w:bCs/>
          <w:color w:val="000000"/>
          <w:sz w:val="6"/>
          <w:szCs w:val="6"/>
        </w:rPr>
        <w:t>    </w:t>
      </w:r>
      <w:r>
        <w:rPr>
          <w:rFonts w:ascii="Segoe UI Symbol" w:eastAsia="Times New Roman" w:hAnsi="Segoe UI Symbol" w:cs="Segoe UI Symbol"/>
          <w:color w:val="000000"/>
        </w:rPr>
        <w:t>☒</w:t>
      </w:r>
      <w:r>
        <w:rPr>
          <w:rFonts w:eastAsia="Times New Roman"/>
          <w:b/>
          <w:bCs/>
          <w:color w:val="000000"/>
          <w:sz w:val="6"/>
          <w:szCs w:val="6"/>
        </w:rPr>
        <w:t>   </w:t>
      </w:r>
      <w:r>
        <w:rPr>
          <w:rFonts w:eastAsia="Times New Roman"/>
          <w:b/>
          <w:bCs/>
          <w:color w:val="000000"/>
        </w:rPr>
        <w:t xml:space="preserve"> </w:t>
      </w:r>
      <w:r>
        <w:rPr>
          <w:rFonts w:eastAsia="Times New Roman"/>
          <w:b/>
          <w:bCs/>
          <w:color w:val="000000"/>
          <w:sz w:val="20"/>
          <w:szCs w:val="20"/>
        </w:rPr>
        <w:t>QUARTERLY REPORT PURSUANT TO SECTION 13 OR 15(d) OF THE SECURITIES EXCHANGE ACT OF 1934</w:t>
      </w:r>
      <w:r>
        <w:rPr>
          <w:rFonts w:eastAsia="Times New Roman"/>
          <w:color w:val="000000"/>
          <w:sz w:val="20"/>
          <w:szCs w:val="20"/>
        </w:rPr>
        <w:t> </w:t>
      </w:r>
    </w:p>
    <w:p w:rsidR="00000000" w:rsidRDefault="00BC22AF">
      <w:pPr>
        <w:jc w:val="center"/>
        <w:divId w:val="1288849070"/>
        <w:rPr>
          <w:rFonts w:eastAsia="Times New Roman"/>
        </w:rPr>
      </w:pPr>
      <w:r>
        <w:rPr>
          <w:rFonts w:eastAsia="Times New Roman"/>
          <w:b/>
          <w:bCs/>
          <w:color w:val="000000"/>
          <w:sz w:val="20"/>
          <w:szCs w:val="20"/>
        </w:rPr>
        <w:t xml:space="preserve">For the quarterly period ended June 28, 2022 </w:t>
      </w:r>
    </w:p>
    <w:p w:rsidR="00000000" w:rsidRDefault="00BC22AF">
      <w:pPr>
        <w:jc w:val="center"/>
        <w:divId w:val="238947264"/>
        <w:rPr>
          <w:rFonts w:eastAsia="Times New Roman"/>
        </w:rPr>
      </w:pPr>
      <w:r>
        <w:rPr>
          <w:rFonts w:eastAsia="Times New Roman"/>
          <w:b/>
          <w:bCs/>
          <w:color w:val="000000"/>
          <w:sz w:val="20"/>
          <w:szCs w:val="20"/>
        </w:rPr>
        <w:t>or</w:t>
      </w:r>
    </w:p>
    <w:p w:rsidR="00000000" w:rsidRDefault="00BC22AF">
      <w:pPr>
        <w:jc w:val="center"/>
        <w:divId w:val="1032800092"/>
        <w:rPr>
          <w:rFonts w:eastAsia="Times New Roman"/>
        </w:rPr>
      </w:pPr>
      <w:r>
        <w:rPr>
          <w:rFonts w:eastAsia="Times New Roman"/>
          <w:color w:val="000000"/>
          <w:sz w:val="6"/>
          <w:szCs w:val="6"/>
        </w:rPr>
        <w:t>    </w:t>
      </w:r>
      <w:r>
        <w:rPr>
          <w:rFonts w:ascii="Segoe UI Symbol" w:eastAsia="Times New Roman" w:hAnsi="Segoe UI Symbol" w:cs="Segoe UI Symbol"/>
          <w:color w:val="000000"/>
        </w:rPr>
        <w:t>☐</w:t>
      </w:r>
      <w:r>
        <w:rPr>
          <w:rFonts w:ascii="Wingdings" w:eastAsia="Times New Roman" w:hAnsi="Wingdings"/>
          <w:b/>
          <w:bCs/>
          <w:color w:val="000000"/>
        </w:rPr>
        <w:t xml:space="preserve"> </w:t>
      </w:r>
      <w:r>
        <w:rPr>
          <w:rFonts w:eastAsia="Times New Roman"/>
          <w:b/>
          <w:bCs/>
          <w:color w:val="000000"/>
          <w:sz w:val="20"/>
          <w:szCs w:val="20"/>
        </w:rPr>
        <w:t>TRANSITION REPORT PURSUANT TO SECTION 13 OR 15(d) </w:t>
      </w:r>
      <w:r>
        <w:rPr>
          <w:rFonts w:eastAsia="Times New Roman"/>
          <w:b/>
          <w:bCs/>
          <w:color w:val="000000"/>
          <w:sz w:val="20"/>
          <w:szCs w:val="20"/>
        </w:rPr>
        <w:t>OF THE SECURITIES EXCHANGE ACT OF 1934</w:t>
      </w:r>
    </w:p>
    <w:p w:rsidR="00000000" w:rsidRDefault="00BC22AF">
      <w:pPr>
        <w:jc w:val="center"/>
        <w:divId w:val="861942467"/>
        <w:rPr>
          <w:rFonts w:eastAsia="Times New Roman"/>
        </w:rPr>
      </w:pPr>
      <w:r>
        <w:rPr>
          <w:rFonts w:eastAsia="Times New Roman"/>
          <w:b/>
          <w:bCs/>
          <w:color w:val="000000"/>
          <w:sz w:val="20"/>
          <w:szCs w:val="20"/>
        </w:rPr>
        <w:t>For the transition period from             to            </w:t>
      </w:r>
    </w:p>
    <w:p w:rsidR="00000000" w:rsidRDefault="00BC22AF">
      <w:pPr>
        <w:jc w:val="center"/>
        <w:divId w:val="1730030988"/>
        <w:rPr>
          <w:rFonts w:eastAsia="Times New Roman"/>
        </w:rPr>
      </w:pPr>
      <w:r>
        <w:rPr>
          <w:rFonts w:eastAsia="Times New Roman"/>
          <w:b/>
          <w:bCs/>
          <w:color w:val="000000"/>
          <w:sz w:val="20"/>
          <w:szCs w:val="20"/>
        </w:rPr>
        <w:t xml:space="preserve">Commission File Number: 001-35987 </w:t>
      </w:r>
    </w:p>
    <w:p w:rsidR="00000000" w:rsidRDefault="00BC22AF">
      <w:pPr>
        <w:jc w:val="center"/>
        <w:rPr>
          <w:rFonts w:eastAsia="Times New Roman"/>
        </w:rPr>
      </w:pPr>
      <w:r>
        <w:rPr>
          <w:rFonts w:eastAsia="Times New Roman"/>
          <w:color w:val="000000"/>
          <w:sz w:val="16"/>
          <w:szCs w:val="16"/>
        </w:rPr>
        <w:t>___________________________________________________________</w:t>
      </w:r>
    </w:p>
    <w:p w:rsidR="00000000" w:rsidRDefault="00BC22AF">
      <w:pPr>
        <w:jc w:val="center"/>
        <w:divId w:val="1998486098"/>
        <w:rPr>
          <w:rFonts w:eastAsia="Times New Roman"/>
        </w:rPr>
      </w:pPr>
      <w:r>
        <w:rPr>
          <w:rFonts w:eastAsia="Times New Roman"/>
          <w:b/>
          <w:bCs/>
          <w:color w:val="000000"/>
          <w:sz w:val="32"/>
          <w:szCs w:val="32"/>
        </w:rPr>
        <w:t xml:space="preserve">NOODLES &amp; COMPANY </w:t>
      </w:r>
    </w:p>
    <w:p w:rsidR="00000000" w:rsidRDefault="00BC22AF">
      <w:pPr>
        <w:jc w:val="center"/>
        <w:divId w:val="1074669561"/>
        <w:rPr>
          <w:rFonts w:eastAsia="Times New Roman"/>
        </w:rPr>
      </w:pPr>
      <w:r>
        <w:rPr>
          <w:rFonts w:eastAsia="Times New Roman"/>
          <w:color w:val="000000"/>
          <w:sz w:val="16"/>
          <w:szCs w:val="16"/>
        </w:rPr>
        <w:t>(Exact name of registrant as specified in its</w:t>
      </w:r>
      <w:r>
        <w:rPr>
          <w:rFonts w:eastAsia="Times New Roman"/>
          <w:color w:val="000000"/>
          <w:sz w:val="16"/>
          <w:szCs w:val="16"/>
        </w:rPr>
        <w:t xml:space="preserve"> charter)</w:t>
      </w:r>
    </w:p>
    <w:p w:rsidR="00000000" w:rsidRDefault="00BC22AF">
      <w:pPr>
        <w:jc w:val="center"/>
        <w:rPr>
          <w:rFonts w:eastAsia="Times New Roman"/>
        </w:rPr>
      </w:pPr>
      <w:r>
        <w:rPr>
          <w:rFonts w:eastAsia="Times New Roman"/>
          <w:color w:val="000000"/>
          <w:sz w:val="16"/>
          <w:szCs w:val="16"/>
        </w:rPr>
        <w:t>_____________________________________________________________</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30"/>
        <w:gridCol w:w="36"/>
        <w:gridCol w:w="36"/>
        <w:gridCol w:w="179"/>
        <w:gridCol w:w="36"/>
        <w:gridCol w:w="61"/>
        <w:gridCol w:w="3931"/>
        <w:gridCol w:w="36"/>
      </w:tblGrid>
      <w:tr w:rsidR="00000000">
        <w:trPr>
          <w:divId w:val="373577777"/>
          <w:jc w:val="center"/>
        </w:trPr>
        <w:tc>
          <w:tcPr>
            <w:tcW w:w="50" w:type="pct"/>
            <w:vAlign w:val="center"/>
            <w:hideMark/>
          </w:tcPr>
          <w:p w:rsidR="00000000" w:rsidRDefault="00BC22AF">
            <w:pPr>
              <w:jc w:val="center"/>
              <w:rPr>
                <w:rFonts w:eastAsia="Times New Roman"/>
              </w:rPr>
            </w:pPr>
          </w:p>
        </w:tc>
        <w:tc>
          <w:tcPr>
            <w:tcW w:w="2379"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12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2379"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divId w:val="373577777"/>
          <w:jc w:val="center"/>
        </w:trPr>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20"/>
                <w:szCs w:val="20"/>
              </w:rPr>
              <w:t>84-1303469</w:t>
            </w:r>
          </w:p>
        </w:tc>
      </w:tr>
      <w:tr w:rsidR="00000000">
        <w:trPr>
          <w:divId w:val="373577777"/>
          <w:jc w:val="center"/>
        </w:trPr>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color w:val="000000"/>
                <w:sz w:val="20"/>
                <w:szCs w:val="20"/>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
                <w:szCs w:val="2"/>
              </w:rPr>
              <w:t> </w:t>
            </w: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color w:val="000000"/>
                <w:sz w:val="20"/>
                <w:szCs w:val="20"/>
              </w:rPr>
              <w:t>(I.R.S. Employer Identification No.)</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30"/>
        <w:gridCol w:w="37"/>
        <w:gridCol w:w="36"/>
        <w:gridCol w:w="179"/>
        <w:gridCol w:w="36"/>
        <w:gridCol w:w="61"/>
        <w:gridCol w:w="3930"/>
        <w:gridCol w:w="36"/>
      </w:tblGrid>
      <w:tr w:rsidR="00000000">
        <w:trPr>
          <w:jc w:val="center"/>
        </w:trPr>
        <w:tc>
          <w:tcPr>
            <w:tcW w:w="50" w:type="pct"/>
            <w:vAlign w:val="center"/>
            <w:hideMark/>
          </w:tcPr>
          <w:p w:rsidR="00000000" w:rsidRDefault="00BC22AF">
            <w:pPr>
              <w:jc w:val="center"/>
              <w:rPr>
                <w:rFonts w:eastAsia="Times New Roman"/>
              </w:rPr>
            </w:pPr>
          </w:p>
        </w:tc>
        <w:tc>
          <w:tcPr>
            <w:tcW w:w="2379"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12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2379"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20"/>
                <w:szCs w:val="20"/>
              </w:rPr>
              <w:t>520 Zang Street, Suite D</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2"/>
                <w:szCs w:val="2"/>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20"/>
                <w:szCs w:val="20"/>
              </w:rPr>
              <w:t>Broomfield, CO</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20"/>
                <w:szCs w:val="20"/>
              </w:rPr>
              <w:t>80021</w:t>
            </w:r>
          </w:p>
        </w:tc>
      </w:tr>
      <w:tr w:rsidR="00000000">
        <w:trPr>
          <w:jc w:val="center"/>
        </w:trPr>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color w:val="000000"/>
                <w:sz w:val="20"/>
                <w:szCs w:val="20"/>
              </w:rPr>
              <w:t>(Address of principal executive offices)</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color w:val="000000"/>
                <w:sz w:val="20"/>
                <w:szCs w:val="20"/>
              </w:rPr>
              <w:t>(Zip Code)</w:t>
            </w:r>
          </w:p>
        </w:tc>
      </w:tr>
    </w:tbl>
    <w:p w:rsidR="00000000" w:rsidRDefault="00BC22AF">
      <w:pPr>
        <w:jc w:val="center"/>
        <w:rPr>
          <w:rFonts w:eastAsia="Times New Roman"/>
        </w:rPr>
      </w:pPr>
    </w:p>
    <w:p w:rsidR="00000000" w:rsidRDefault="00BC22AF">
      <w:pPr>
        <w:jc w:val="center"/>
        <w:rPr>
          <w:rFonts w:eastAsia="Times New Roman"/>
        </w:rPr>
      </w:pPr>
      <w:r>
        <w:rPr>
          <w:rFonts w:eastAsia="Times New Roman"/>
          <w:b/>
          <w:bCs/>
          <w:color w:val="000000"/>
          <w:sz w:val="20"/>
          <w:szCs w:val="20"/>
        </w:rPr>
        <w:t>(720) 214-1900</w:t>
      </w:r>
    </w:p>
    <w:p w:rsidR="00000000" w:rsidRDefault="00BC22AF">
      <w:pPr>
        <w:jc w:val="center"/>
        <w:rPr>
          <w:rFonts w:eastAsia="Times New Roman"/>
        </w:rPr>
      </w:pPr>
      <w:r>
        <w:rPr>
          <w:rFonts w:eastAsia="Times New Roman"/>
          <w:color w:val="000000"/>
          <w:sz w:val="16"/>
          <w:szCs w:val="16"/>
        </w:rPr>
        <w:t>(Registrant’s telephone number, including area code)</w:t>
      </w:r>
    </w:p>
    <w:p w:rsidR="00000000" w:rsidRDefault="00BC22AF">
      <w:pPr>
        <w:jc w:val="center"/>
        <w:rPr>
          <w:rFonts w:eastAsia="Times New Roman"/>
        </w:rPr>
      </w:pPr>
      <w:r>
        <w:rPr>
          <w:rFonts w:eastAsia="Times New Roman"/>
          <w:color w:val="000000"/>
          <w:sz w:val="16"/>
          <w:szCs w:val="16"/>
        </w:rPr>
        <w:t>(Former name, former address and former fiscal year, if changed since last report)</w:t>
      </w:r>
    </w:p>
    <w:p w:rsidR="00000000" w:rsidRDefault="00BC22AF">
      <w:pPr>
        <w:jc w:val="center"/>
        <w:rPr>
          <w:rFonts w:eastAsia="Times New Roman"/>
        </w:rPr>
      </w:pPr>
    </w:p>
    <w:p w:rsidR="00000000" w:rsidRDefault="00BC22AF">
      <w:pPr>
        <w:jc w:val="center"/>
        <w:rPr>
          <w:rFonts w:eastAsia="Times New Roman"/>
        </w:rPr>
      </w:pPr>
      <w:r>
        <w:rPr>
          <w:rFonts w:eastAsia="Times New Roman"/>
          <w:color w:val="000000"/>
          <w:sz w:val="16"/>
          <w:szCs w:val="16"/>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015"/>
        <w:gridCol w:w="37"/>
        <w:gridCol w:w="69"/>
        <w:gridCol w:w="1606"/>
        <w:gridCol w:w="36"/>
        <w:gridCol w:w="69"/>
        <w:gridCol w:w="3356"/>
        <w:gridCol w:w="36"/>
      </w:tblGrid>
      <w:tr w:rsidR="00000000">
        <w:trPr>
          <w:jc w:val="center"/>
        </w:trPr>
        <w:tc>
          <w:tcPr>
            <w:tcW w:w="50" w:type="pct"/>
            <w:vAlign w:val="center"/>
            <w:hideMark/>
          </w:tcPr>
          <w:p w:rsidR="00000000" w:rsidRDefault="00BC22AF">
            <w:pPr>
              <w:jc w:val="center"/>
              <w:rPr>
                <w:rFonts w:eastAsia="Times New Roman"/>
              </w:rPr>
            </w:pPr>
          </w:p>
        </w:tc>
        <w:tc>
          <w:tcPr>
            <w:tcW w:w="18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977"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203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color w:val="000000"/>
                <w:sz w:val="16"/>
                <w:szCs w:val="16"/>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color w:val="000000"/>
                <w:sz w:val="16"/>
                <w:szCs w:val="16"/>
              </w:rPr>
              <w:t>Trading Symbol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color w:val="000000"/>
                <w:sz w:val="16"/>
                <w:szCs w:val="16"/>
              </w:rPr>
              <w:t>Name of each exchange on which registered</w:t>
            </w:r>
          </w:p>
        </w:tc>
      </w:tr>
      <w:tr w:rsidR="00000000">
        <w:trPr>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color w:val="000000"/>
                <w:sz w:val="16"/>
                <w:szCs w:val="16"/>
              </w:rPr>
              <w:t>Class A Common Stock, $0.01 par value per share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color w:val="000000"/>
                <w:sz w:val="16"/>
                <w:szCs w:val="16"/>
              </w:rPr>
              <w:t>NDLS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color w:val="000000"/>
                <w:sz w:val="16"/>
                <w:szCs w:val="16"/>
              </w:rPr>
              <w:t>Nasdaq Global Select Market</w:t>
            </w:r>
          </w:p>
        </w:tc>
      </w:tr>
    </w:tbl>
    <w:p w:rsidR="00000000" w:rsidRDefault="00BC22AF">
      <w:pPr>
        <w:jc w:val="center"/>
        <w:rPr>
          <w:rFonts w:eastAsia="Times New Roman"/>
        </w:rPr>
      </w:pPr>
      <w:r>
        <w:rPr>
          <w:rFonts w:eastAsia="Times New Roman"/>
          <w:color w:val="000000"/>
          <w:sz w:val="16"/>
          <w:szCs w:val="16"/>
        </w:rPr>
        <w:t> </w:t>
      </w:r>
    </w:p>
    <w:p w:rsidR="00000000" w:rsidRDefault="00BC22AF">
      <w:pPr>
        <w:ind w:firstLine="270"/>
        <w:divId w:val="144510376"/>
        <w:rPr>
          <w:rFonts w:eastAsia="Times New Roman"/>
        </w:rPr>
      </w:pPr>
      <w:r>
        <w:rPr>
          <w:rFonts w:eastAsia="Times New Roman"/>
          <w:color w:val="000000"/>
          <w:sz w:val="16"/>
          <w:szCs w:val="16"/>
        </w:rPr>
        <w:t>Indicate by check mark whether the registrant (1) </w:t>
      </w:r>
      <w:r>
        <w:rPr>
          <w:rFonts w:eastAsia="Times New Roman"/>
          <w:color w:val="000000"/>
          <w:sz w:val="16"/>
          <w:szCs w:val="16"/>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6"/>
          <w:szCs w:val="16"/>
        </w:rPr>
        <w:t>ing requirements for the past 90 days.  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r>
        <w:rPr>
          <w:rFonts w:eastAsia="Times New Roman"/>
          <w:color w:val="000000"/>
          <w:sz w:val="16"/>
          <w:szCs w:val="16"/>
        </w:rPr>
        <w:t>No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p>
    <w:p w:rsidR="00000000" w:rsidRDefault="00BC22AF">
      <w:pPr>
        <w:ind w:firstLine="270"/>
        <w:divId w:val="85928230"/>
        <w:rPr>
          <w:rFonts w:eastAsia="Times New Roman"/>
        </w:rPr>
      </w:pPr>
      <w:r>
        <w:rPr>
          <w:rFonts w:eastAsia="Times New Roman"/>
          <w:color w:val="000000"/>
          <w:sz w:val="16"/>
          <w:szCs w:val="16"/>
        </w:rPr>
        <w:t> </w:t>
      </w:r>
    </w:p>
    <w:p w:rsidR="00000000" w:rsidRDefault="00BC22AF">
      <w:pPr>
        <w:ind w:firstLine="270"/>
        <w:divId w:val="988511890"/>
        <w:rPr>
          <w:rFonts w:eastAsia="Times New Roman"/>
        </w:rPr>
      </w:pPr>
      <w:r>
        <w:rPr>
          <w:rFonts w:eastAsia="Times New Roman"/>
          <w:color w:val="000000"/>
          <w:sz w:val="16"/>
          <w:szCs w:val="16"/>
        </w:rPr>
        <w:t xml:space="preserve">Indicate by check mark whether the registrant has submitted electronically every Interactive Data File required to be submitted pursuant to Rule 405 of Regulation S-T (§232.405 of this chapter) during </w:t>
      </w:r>
      <w:r>
        <w:rPr>
          <w:rFonts w:eastAsia="Times New Roman"/>
          <w:color w:val="000000"/>
          <w:sz w:val="16"/>
          <w:szCs w:val="16"/>
        </w:rPr>
        <w:t>the preceding 12 months (or for such shorter period that the registrant was required to submit such files).  </w:t>
      </w:r>
    </w:p>
    <w:p w:rsidR="00000000" w:rsidRDefault="00BC22AF">
      <w:pPr>
        <w:ind w:firstLine="270"/>
        <w:divId w:val="1271156951"/>
        <w:rPr>
          <w:rFonts w:eastAsia="Times New Roman"/>
        </w:rPr>
      </w:pPr>
      <w:r>
        <w:rPr>
          <w:rFonts w:eastAsia="Times New Roman"/>
          <w:color w:val="000000"/>
          <w:sz w:val="16"/>
          <w:szCs w:val="16"/>
        </w:rPr>
        <w:t>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r>
        <w:rPr>
          <w:rFonts w:eastAsia="Times New Roman"/>
          <w:color w:val="000000"/>
          <w:sz w:val="16"/>
          <w:szCs w:val="16"/>
        </w:rPr>
        <w:t>No </w:t>
      </w:r>
      <w:r>
        <w:rPr>
          <w:rFonts w:ascii="Segoe UI Symbol" w:eastAsia="Times New Roman" w:hAnsi="Segoe UI Symbol" w:cs="Segoe UI Symbol"/>
          <w:color w:val="000000"/>
          <w:sz w:val="16"/>
          <w:szCs w:val="16"/>
        </w:rPr>
        <w:t>☐</w:t>
      </w:r>
    </w:p>
    <w:p w:rsidR="00000000" w:rsidRDefault="00BC22AF">
      <w:pPr>
        <w:ind w:firstLine="270"/>
        <w:divId w:val="1751265800"/>
        <w:rPr>
          <w:rFonts w:eastAsia="Times New Roman"/>
        </w:rPr>
      </w:pPr>
    </w:p>
    <w:p w:rsidR="00000000" w:rsidRDefault="00BC22AF">
      <w:pPr>
        <w:ind w:firstLine="270"/>
        <w:divId w:val="1654947427"/>
        <w:rPr>
          <w:rFonts w:eastAsia="Times New Roman"/>
        </w:rPr>
      </w:pPr>
      <w:r>
        <w:rPr>
          <w:rFonts w:eastAsia="Times New Roman"/>
          <w:color w:val="000000"/>
          <w:sz w:val="16"/>
          <w:szCs w:val="16"/>
        </w:rPr>
        <w:lastRenderedPageBreak/>
        <w:t>Indicate by check mark whether the registrant is a large accelerated filer, an accelerated filer, a non-accelerated filer, or a smal</w:t>
      </w:r>
      <w:r>
        <w:rPr>
          <w:rFonts w:eastAsia="Times New Roman"/>
          <w:color w:val="000000"/>
          <w:sz w:val="16"/>
          <w:szCs w:val="16"/>
        </w:rPr>
        <w:t>ler reporting company.  See the definitions of “large accelerated filer,” “accelerated filer,” “smaller reporting company,” and “emerging growth company” in Rule 12b-2 of the Exchange Act.</w:t>
      </w:r>
    </w:p>
    <w:tbl>
      <w:tblPr>
        <w:tblW w:w="10275" w:type="dxa"/>
        <w:jc w:val="center"/>
        <w:tblCellMar>
          <w:top w:w="15" w:type="dxa"/>
          <w:left w:w="15" w:type="dxa"/>
          <w:bottom w:w="15" w:type="dxa"/>
          <w:right w:w="15" w:type="dxa"/>
        </w:tblCellMar>
        <w:tblLook w:val="04A0" w:firstRow="1" w:lastRow="0" w:firstColumn="1" w:lastColumn="0" w:noHBand="0" w:noVBand="1"/>
      </w:tblPr>
      <w:tblGrid>
        <w:gridCol w:w="36"/>
        <w:gridCol w:w="4079"/>
        <w:gridCol w:w="36"/>
        <w:gridCol w:w="36"/>
        <w:gridCol w:w="243"/>
        <w:gridCol w:w="36"/>
        <w:gridCol w:w="36"/>
        <w:gridCol w:w="1271"/>
        <w:gridCol w:w="36"/>
        <w:gridCol w:w="36"/>
        <w:gridCol w:w="4079"/>
        <w:gridCol w:w="36"/>
        <w:gridCol w:w="36"/>
        <w:gridCol w:w="243"/>
        <w:gridCol w:w="36"/>
      </w:tblGrid>
      <w:tr w:rsidR="00000000">
        <w:trPr>
          <w:divId w:val="547647058"/>
          <w:jc w:val="center"/>
        </w:trPr>
        <w:tc>
          <w:tcPr>
            <w:tcW w:w="20" w:type="dxa"/>
            <w:vAlign w:val="center"/>
            <w:hideMark/>
          </w:tcPr>
          <w:p w:rsidR="00000000" w:rsidRDefault="00BC22AF">
            <w:pPr>
              <w:ind w:firstLine="270"/>
              <w:rPr>
                <w:rFonts w:eastAsia="Times New Roman"/>
              </w:rPr>
            </w:pPr>
          </w:p>
        </w:tc>
        <w:tc>
          <w:tcPr>
            <w:tcW w:w="4145" w:type="dxa"/>
            <w:vAlign w:val="center"/>
            <w:hideMark/>
          </w:tcPr>
          <w:p w:rsidR="00000000" w:rsidRDefault="00BC22AF">
            <w:pPr>
              <w:spacing w:after="100"/>
              <w:rPr>
                <w:rFonts w:eastAsia="Times New Roman"/>
                <w:sz w:val="20"/>
                <w:szCs w:val="20"/>
              </w:rPr>
            </w:pPr>
          </w:p>
        </w:tc>
        <w:tc>
          <w:tcPr>
            <w:tcW w:w="20" w:type="dxa"/>
            <w:vAlign w:val="center"/>
            <w:hideMark/>
          </w:tcPr>
          <w:p w:rsidR="00000000" w:rsidRDefault="00BC22AF">
            <w:pPr>
              <w:spacing w:after="100"/>
              <w:rPr>
                <w:rFonts w:eastAsia="Times New Roman"/>
                <w:sz w:val="20"/>
                <w:szCs w:val="20"/>
              </w:rPr>
            </w:pPr>
          </w:p>
        </w:tc>
        <w:tc>
          <w:tcPr>
            <w:tcW w:w="20" w:type="dxa"/>
            <w:vAlign w:val="center"/>
            <w:hideMark/>
          </w:tcPr>
          <w:p w:rsidR="00000000" w:rsidRDefault="00BC22AF">
            <w:pPr>
              <w:spacing w:after="100"/>
              <w:rPr>
                <w:rFonts w:eastAsia="Times New Roman"/>
                <w:sz w:val="20"/>
                <w:szCs w:val="20"/>
              </w:rPr>
            </w:pPr>
          </w:p>
        </w:tc>
        <w:tc>
          <w:tcPr>
            <w:tcW w:w="245" w:type="dxa"/>
            <w:vAlign w:val="center"/>
            <w:hideMark/>
          </w:tcPr>
          <w:p w:rsidR="00000000" w:rsidRDefault="00BC22AF">
            <w:pPr>
              <w:spacing w:after="100"/>
              <w:rPr>
                <w:rFonts w:eastAsia="Times New Roman"/>
                <w:sz w:val="20"/>
                <w:szCs w:val="20"/>
              </w:rPr>
            </w:pPr>
          </w:p>
        </w:tc>
        <w:tc>
          <w:tcPr>
            <w:tcW w:w="20" w:type="dxa"/>
            <w:vAlign w:val="center"/>
            <w:hideMark/>
          </w:tcPr>
          <w:p w:rsidR="00000000" w:rsidRDefault="00BC22AF">
            <w:pPr>
              <w:spacing w:after="100"/>
              <w:rPr>
                <w:rFonts w:eastAsia="Times New Roman"/>
                <w:sz w:val="20"/>
                <w:szCs w:val="20"/>
              </w:rPr>
            </w:pPr>
          </w:p>
        </w:tc>
        <w:tc>
          <w:tcPr>
            <w:tcW w:w="20" w:type="dxa"/>
            <w:vAlign w:val="center"/>
            <w:hideMark/>
          </w:tcPr>
          <w:p w:rsidR="00000000" w:rsidRDefault="00BC22AF">
            <w:pPr>
              <w:spacing w:after="100"/>
              <w:rPr>
                <w:rFonts w:eastAsia="Times New Roman"/>
                <w:sz w:val="20"/>
                <w:szCs w:val="20"/>
              </w:rPr>
            </w:pPr>
          </w:p>
        </w:tc>
        <w:tc>
          <w:tcPr>
            <w:tcW w:w="1295" w:type="dxa"/>
            <w:vAlign w:val="center"/>
            <w:hideMark/>
          </w:tcPr>
          <w:p w:rsidR="00000000" w:rsidRDefault="00BC22AF">
            <w:pPr>
              <w:spacing w:after="100"/>
              <w:rPr>
                <w:rFonts w:eastAsia="Times New Roman"/>
                <w:sz w:val="20"/>
                <w:szCs w:val="20"/>
              </w:rPr>
            </w:pPr>
          </w:p>
        </w:tc>
        <w:tc>
          <w:tcPr>
            <w:tcW w:w="20" w:type="dxa"/>
            <w:vAlign w:val="center"/>
            <w:hideMark/>
          </w:tcPr>
          <w:p w:rsidR="00000000" w:rsidRDefault="00BC22AF">
            <w:pPr>
              <w:spacing w:after="100"/>
              <w:rPr>
                <w:rFonts w:eastAsia="Times New Roman"/>
                <w:sz w:val="20"/>
                <w:szCs w:val="20"/>
              </w:rPr>
            </w:pPr>
          </w:p>
        </w:tc>
        <w:tc>
          <w:tcPr>
            <w:tcW w:w="20" w:type="dxa"/>
            <w:vAlign w:val="center"/>
            <w:hideMark/>
          </w:tcPr>
          <w:p w:rsidR="00000000" w:rsidRDefault="00BC22AF">
            <w:pPr>
              <w:spacing w:after="100"/>
              <w:rPr>
                <w:rFonts w:eastAsia="Times New Roman"/>
                <w:sz w:val="20"/>
                <w:szCs w:val="20"/>
              </w:rPr>
            </w:pPr>
          </w:p>
        </w:tc>
        <w:tc>
          <w:tcPr>
            <w:tcW w:w="4145" w:type="dxa"/>
            <w:vAlign w:val="center"/>
            <w:hideMark/>
          </w:tcPr>
          <w:p w:rsidR="00000000" w:rsidRDefault="00BC22AF">
            <w:pPr>
              <w:spacing w:after="100"/>
              <w:rPr>
                <w:rFonts w:eastAsia="Times New Roman"/>
                <w:sz w:val="20"/>
                <w:szCs w:val="20"/>
              </w:rPr>
            </w:pPr>
          </w:p>
        </w:tc>
        <w:tc>
          <w:tcPr>
            <w:tcW w:w="20" w:type="dxa"/>
            <w:vAlign w:val="center"/>
            <w:hideMark/>
          </w:tcPr>
          <w:p w:rsidR="00000000" w:rsidRDefault="00BC22AF">
            <w:pPr>
              <w:spacing w:after="100"/>
              <w:rPr>
                <w:rFonts w:eastAsia="Times New Roman"/>
                <w:sz w:val="20"/>
                <w:szCs w:val="20"/>
              </w:rPr>
            </w:pPr>
          </w:p>
        </w:tc>
        <w:tc>
          <w:tcPr>
            <w:tcW w:w="20" w:type="dxa"/>
            <w:vAlign w:val="center"/>
            <w:hideMark/>
          </w:tcPr>
          <w:p w:rsidR="00000000" w:rsidRDefault="00BC22AF">
            <w:pPr>
              <w:spacing w:after="100"/>
              <w:rPr>
                <w:rFonts w:eastAsia="Times New Roman"/>
                <w:sz w:val="20"/>
                <w:szCs w:val="20"/>
              </w:rPr>
            </w:pPr>
          </w:p>
        </w:tc>
        <w:tc>
          <w:tcPr>
            <w:tcW w:w="245" w:type="dxa"/>
            <w:vAlign w:val="center"/>
            <w:hideMark/>
          </w:tcPr>
          <w:p w:rsidR="00000000" w:rsidRDefault="00BC22AF">
            <w:pPr>
              <w:spacing w:after="100"/>
              <w:rPr>
                <w:rFonts w:eastAsia="Times New Roman"/>
                <w:sz w:val="20"/>
                <w:szCs w:val="20"/>
              </w:rPr>
            </w:pPr>
          </w:p>
        </w:tc>
        <w:tc>
          <w:tcPr>
            <w:tcW w:w="20" w:type="dxa"/>
            <w:vAlign w:val="center"/>
            <w:hideMark/>
          </w:tcPr>
          <w:p w:rsidR="00000000" w:rsidRDefault="00BC22AF">
            <w:pPr>
              <w:spacing w:after="100"/>
              <w:rPr>
                <w:rFonts w:eastAsia="Times New Roman"/>
                <w:sz w:val="20"/>
                <w:szCs w:val="20"/>
              </w:rPr>
            </w:pPr>
          </w:p>
        </w:tc>
      </w:tr>
      <w:tr w:rsidR="00000000">
        <w:trPr>
          <w:divId w:val="547647058"/>
          <w:trHeight w:val="280"/>
          <w:jc w:val="center"/>
        </w:trPr>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ascii="Segoe UI Symbol" w:eastAsia="Times New Roman" w:hAnsi="Segoe UI Symbol" w:cs="Segoe UI Symbol"/>
                <w:color w:val="000000"/>
                <w:sz w:val="20"/>
                <w:szCs w:val="20"/>
              </w:rPr>
              <w:t>☒</w:t>
            </w:r>
          </w:p>
        </w:tc>
      </w:tr>
      <w:tr w:rsidR="00000000">
        <w:trPr>
          <w:divId w:val="547647058"/>
          <w:trHeight w:val="60"/>
          <w:jc w:val="center"/>
        </w:trPr>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rPr>
          <w:divId w:val="547647058"/>
          <w:trHeight w:val="240"/>
          <w:jc w:val="center"/>
        </w:trPr>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color w:val="000000"/>
                <w:sz w:val="16"/>
                <w:szCs w:val="16"/>
              </w:rPr>
              <w:t>Non-accelerated filer </w:t>
            </w: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ascii="Segoe UI Symbol" w:eastAsia="Times New Roman" w:hAnsi="Segoe UI Symbol" w:cs="Segoe UI Symbol"/>
                <w:color w:val="000000"/>
                <w:sz w:val="20"/>
                <w:szCs w:val="20"/>
              </w:rPr>
              <w:t>☒</w:t>
            </w:r>
          </w:p>
        </w:tc>
      </w:tr>
      <w:tr w:rsidR="00000000">
        <w:trPr>
          <w:divId w:val="547647058"/>
          <w:trHeight w:val="280"/>
          <w:jc w:val="center"/>
        </w:trPr>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ascii="Segoe UI Symbol" w:eastAsia="Times New Roman" w:hAnsi="Segoe UI Symbol" w:cs="Segoe UI Symbol"/>
                <w:color w:val="000000"/>
                <w:sz w:val="20"/>
                <w:szCs w:val="20"/>
              </w:rPr>
              <w:t>☐</w:t>
            </w:r>
          </w:p>
        </w:tc>
      </w:tr>
    </w:tbl>
    <w:p w:rsidR="00000000" w:rsidRDefault="00BC22AF">
      <w:pPr>
        <w:divId w:val="1542471793"/>
        <w:rPr>
          <w:rFonts w:eastAsia="Times New Roman"/>
        </w:rPr>
      </w:pPr>
      <w:r>
        <w:rPr>
          <w:rFonts w:eastAsia="Times New Roman"/>
          <w:color w:val="000000"/>
          <w:sz w:val="16"/>
          <w:szCs w:val="16"/>
        </w:rPr>
        <w:t> </w:t>
      </w:r>
    </w:p>
    <w:p w:rsidR="00000000" w:rsidRDefault="00BC22AF">
      <w:pPr>
        <w:ind w:firstLine="270"/>
        <w:divId w:val="1294215203"/>
        <w:rPr>
          <w:rFonts w:eastAsia="Times New Roman"/>
        </w:rPr>
      </w:pPr>
      <w:r>
        <w:rPr>
          <w:rFonts w:eastAsia="Times New Roman"/>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6"/>
          <w:szCs w:val="16"/>
        </w:rPr>
        <w:t>☐</w:t>
      </w:r>
    </w:p>
    <w:p w:rsidR="00000000" w:rsidRDefault="00BC22AF">
      <w:pPr>
        <w:ind w:firstLine="270"/>
        <w:divId w:val="1832329429"/>
        <w:rPr>
          <w:rFonts w:eastAsia="Times New Roman"/>
        </w:rPr>
      </w:pPr>
    </w:p>
    <w:p w:rsidR="00000000" w:rsidRDefault="00BC22AF">
      <w:pPr>
        <w:ind w:firstLine="270"/>
        <w:divId w:val="638268586"/>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p>
    <w:p w:rsidR="00000000" w:rsidRDefault="00BC22AF">
      <w:pPr>
        <w:ind w:firstLine="270"/>
        <w:divId w:val="1894193472"/>
        <w:rPr>
          <w:rFonts w:eastAsia="Times New Roman"/>
        </w:rPr>
      </w:pPr>
      <w:r>
        <w:rPr>
          <w:rFonts w:eastAsia="Times New Roman"/>
          <w:color w:val="000000"/>
          <w:sz w:val="16"/>
          <w:szCs w:val="16"/>
        </w:rPr>
        <w:t> </w:t>
      </w:r>
    </w:p>
    <w:p w:rsidR="00000000" w:rsidRDefault="00BC22AF">
      <w:pPr>
        <w:ind w:firstLine="270"/>
        <w:divId w:val="942112682"/>
        <w:rPr>
          <w:rFonts w:eastAsia="Times New Roman"/>
        </w:rPr>
      </w:pPr>
      <w:r>
        <w:rPr>
          <w:rFonts w:eastAsia="Times New Roman"/>
          <w:color w:val="000000"/>
          <w:sz w:val="16"/>
          <w:szCs w:val="16"/>
        </w:rPr>
        <w:t>Indicate the number of shares outstanding of each of the issuer’s classes of common stock, as of the latest practicable date</w:t>
      </w:r>
      <w:r>
        <w:rPr>
          <w:rFonts w:eastAsia="Times New Roman"/>
          <w:color w:val="000000"/>
          <w:sz w:val="16"/>
          <w:szCs w:val="16"/>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67"/>
        <w:gridCol w:w="36"/>
        <w:gridCol w:w="36"/>
        <w:gridCol w:w="119"/>
        <w:gridCol w:w="36"/>
        <w:gridCol w:w="61"/>
        <w:gridCol w:w="3954"/>
        <w:gridCol w:w="36"/>
      </w:tblGrid>
      <w:tr w:rsidR="00000000">
        <w:trPr>
          <w:divId w:val="1042483424"/>
          <w:jc w:val="center"/>
        </w:trPr>
        <w:tc>
          <w:tcPr>
            <w:tcW w:w="50" w:type="pct"/>
            <w:vAlign w:val="center"/>
            <w:hideMark/>
          </w:tcPr>
          <w:p w:rsidR="00000000" w:rsidRDefault="00BC22AF">
            <w:pPr>
              <w:ind w:firstLine="270"/>
              <w:rPr>
                <w:rFonts w:eastAsia="Times New Roman"/>
              </w:rPr>
            </w:pPr>
          </w:p>
        </w:tc>
        <w:tc>
          <w:tcPr>
            <w:tcW w:w="240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8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2393"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divId w:val="1042483424"/>
          <w:jc w:val="center"/>
        </w:trPr>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Class</w:t>
            </w: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Outstanding at July 25, 2022</w:t>
            </w:r>
          </w:p>
        </w:tc>
      </w:tr>
      <w:tr w:rsidR="00000000">
        <w:trPr>
          <w:divId w:val="1042483424"/>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color w:val="000000"/>
                <w:sz w:val="16"/>
                <w:szCs w:val="16"/>
              </w:rPr>
              <w:t>Class A Common Stock, $0.01 par value per share</w:t>
            </w: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color w:val="000000"/>
                <w:sz w:val="16"/>
                <w:szCs w:val="16"/>
              </w:rPr>
              <w:t>45,701,280 shares</w:t>
            </w:r>
          </w:p>
        </w:tc>
      </w:tr>
    </w:tbl>
    <w:p w:rsidR="00000000" w:rsidRDefault="00BC22AF">
      <w:pPr>
        <w:jc w:val="center"/>
        <w:divId w:val="294020628"/>
        <w:rPr>
          <w:rFonts w:eastAsia="Times New Roman"/>
        </w:rPr>
      </w:pPr>
    </w:p>
    <w:p w:rsidR="00000000" w:rsidRDefault="00BC22AF">
      <w:pPr>
        <w:rPr>
          <w:rFonts w:eastAsia="Times New Roman"/>
        </w:rPr>
      </w:pPr>
      <w:r>
        <w:rPr>
          <w:rFonts w:eastAsia="Times New Roman"/>
        </w:rPr>
        <w:pict>
          <v:rect id="_x0000_i1025" style="width:0;height:1.5pt" o:hralign="center" o:hrstd="t" o:hr="t" fillcolor="#a0a0a0" stroked="f"/>
        </w:pict>
      </w:r>
    </w:p>
    <w:p w:rsidR="00000000" w:rsidRDefault="00BC22AF">
      <w:pPr>
        <w:divId w:val="340860558"/>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center"/>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70"/>
        <w:gridCol w:w="657"/>
        <w:gridCol w:w="37"/>
        <w:gridCol w:w="70"/>
        <w:gridCol w:w="669"/>
        <w:gridCol w:w="37"/>
        <w:gridCol w:w="69"/>
        <w:gridCol w:w="6113"/>
        <w:gridCol w:w="38"/>
        <w:gridCol w:w="69"/>
        <w:gridCol w:w="441"/>
        <w:gridCol w:w="36"/>
      </w:tblGrid>
      <w:tr w:rsidR="00000000">
        <w:trPr>
          <w:jc w:val="center"/>
        </w:trPr>
        <w:tc>
          <w:tcPr>
            <w:tcW w:w="50" w:type="pct"/>
            <w:vAlign w:val="center"/>
            <w:hideMark/>
          </w:tcPr>
          <w:p w:rsidR="00000000" w:rsidRDefault="00BC22AF">
            <w:pPr>
              <w:jc w:val="center"/>
              <w:rPr>
                <w:rFonts w:eastAsia="Times New Roman"/>
              </w:rPr>
            </w:pPr>
          </w:p>
        </w:tc>
        <w:tc>
          <w:tcPr>
            <w:tcW w:w="40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412"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3687"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274"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20"/>
                <w:szCs w:val="20"/>
              </w:rPr>
              <w:t>Page</w:t>
            </w:r>
          </w:p>
        </w:tc>
      </w:tr>
      <w:tr w:rsidR="00000000">
        <w:trPr>
          <w:jc w:val="center"/>
        </w:trPr>
        <w:tc>
          <w:tcPr>
            <w:tcW w:w="0" w:type="auto"/>
            <w:gridSpan w:val="3"/>
            <w:tcMar>
              <w:top w:w="30" w:type="dxa"/>
              <w:left w:w="20" w:type="dxa"/>
              <w:bottom w:w="30" w:type="dxa"/>
              <w:right w:w="20" w:type="dxa"/>
            </w:tcMar>
            <w:vAlign w:val="bottom"/>
            <w:hideMark/>
          </w:tcPr>
          <w:p w:rsidR="00000000" w:rsidRDefault="00BC22AF">
            <w:pPr>
              <w:spacing w:after="100"/>
              <w:divId w:val="657148025"/>
              <w:rPr>
                <w:rFonts w:eastAsia="Times New Roman"/>
              </w:rPr>
            </w:pPr>
            <w:hyperlink w:anchor="ieb49ef76ccb44390aea9b3491b58e300_13" w:history="1">
              <w:r>
                <w:rPr>
                  <w:rStyle w:val="a3"/>
                  <w:rFonts w:eastAsia="Times New Roman"/>
                  <w:sz w:val="20"/>
                  <w:szCs w:val="20"/>
                </w:rPr>
                <w:t>PART I</w:t>
              </w:r>
            </w:hyperlink>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22AF">
            <w:pPr>
              <w:spacing w:after="100"/>
              <w:divId w:val="1521163032"/>
              <w:rPr>
                <w:rFonts w:eastAsia="Times New Roman"/>
              </w:rPr>
            </w:pPr>
            <w:hyperlink w:anchor="ieb49ef76ccb44390aea9b3491b58e300_16" w:history="1">
              <w:r>
                <w:rPr>
                  <w:rStyle w:val="a3"/>
                  <w:rFonts w:eastAsia="Times New Roman"/>
                  <w:sz w:val="20"/>
                  <w:szCs w:val="20"/>
                </w:rPr>
                <w:t xml:space="preserve">Item 1. </w:t>
              </w:r>
            </w:hyperlink>
          </w:p>
        </w:tc>
        <w:tc>
          <w:tcPr>
            <w:tcW w:w="0" w:type="auto"/>
            <w:gridSpan w:val="3"/>
            <w:tcMar>
              <w:top w:w="30" w:type="dxa"/>
              <w:left w:w="20" w:type="dxa"/>
              <w:bottom w:w="30" w:type="dxa"/>
              <w:right w:w="20" w:type="dxa"/>
            </w:tcMar>
            <w:vAlign w:val="bottom"/>
            <w:hideMark/>
          </w:tcPr>
          <w:p w:rsidR="00000000" w:rsidRDefault="00BC22AF">
            <w:pPr>
              <w:spacing w:after="100"/>
              <w:divId w:val="50614848"/>
              <w:rPr>
                <w:rFonts w:eastAsia="Times New Roman"/>
              </w:rPr>
            </w:pPr>
            <w:hyperlink w:anchor="ieb49ef76ccb44390aea9b3491b58e300_16" w:history="1">
              <w:r>
                <w:rPr>
                  <w:rStyle w:val="a3"/>
                  <w:rFonts w:eastAsia="Times New Roman"/>
                  <w:sz w:val="20"/>
                  <w:szCs w:val="20"/>
                </w:rPr>
                <w:t>Financial Statements (unaudited)</w:t>
              </w:r>
            </w:hyperlink>
          </w:p>
        </w:tc>
        <w:tc>
          <w:tcPr>
            <w:tcW w:w="0" w:type="auto"/>
            <w:gridSpan w:val="3"/>
            <w:tcMar>
              <w:top w:w="30" w:type="dxa"/>
              <w:left w:w="20" w:type="dxa"/>
              <w:bottom w:w="30" w:type="dxa"/>
              <w:right w:w="20" w:type="dxa"/>
            </w:tcMar>
            <w:vAlign w:val="bottom"/>
            <w:hideMark/>
          </w:tcPr>
          <w:p w:rsidR="00000000" w:rsidRDefault="00BC22AF">
            <w:pPr>
              <w:spacing w:after="100"/>
              <w:jc w:val="right"/>
              <w:rPr>
                <w:rFonts w:eastAsia="Times New Roman"/>
              </w:rPr>
            </w:pPr>
            <w:hyperlink w:anchor="ieb49ef76ccb44390aea9b3491b58e300_16" w:history="1">
              <w:r>
                <w:rPr>
                  <w:rStyle w:val="a3"/>
                  <w:rFonts w:eastAsia="Times New Roman"/>
                  <w:sz w:val="20"/>
                  <w:szCs w:val="20"/>
                </w:rPr>
                <w:t>2</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C22AF">
            <w:pPr>
              <w:spacing w:after="100"/>
              <w:divId w:val="2131438049"/>
              <w:rPr>
                <w:rFonts w:eastAsia="Times New Roman"/>
              </w:rPr>
            </w:pPr>
            <w:hyperlink w:anchor="ieb49ef76ccb44390aea9b3491b58e300_19" w:history="1">
              <w:r>
                <w:rPr>
                  <w:rStyle w:val="a3"/>
                  <w:rFonts w:eastAsia="Times New Roman"/>
                  <w:sz w:val="20"/>
                  <w:szCs w:val="20"/>
                </w:rPr>
                <w:t>Condensed Consolidated Balance Sheets</w:t>
              </w:r>
            </w:hyperlink>
          </w:p>
        </w:tc>
        <w:tc>
          <w:tcPr>
            <w:tcW w:w="0" w:type="auto"/>
            <w:gridSpan w:val="3"/>
            <w:tcMar>
              <w:top w:w="30" w:type="dxa"/>
              <w:left w:w="20" w:type="dxa"/>
              <w:bottom w:w="30" w:type="dxa"/>
              <w:right w:w="20" w:type="dxa"/>
            </w:tcMar>
            <w:vAlign w:val="bottom"/>
            <w:hideMark/>
          </w:tcPr>
          <w:p w:rsidR="00000000" w:rsidRDefault="00BC22AF">
            <w:pPr>
              <w:spacing w:after="100"/>
              <w:jc w:val="right"/>
              <w:rPr>
                <w:rFonts w:eastAsia="Times New Roman"/>
              </w:rPr>
            </w:pPr>
            <w:hyperlink w:anchor="ieb49ef76ccb44390aea9b3491b58e300_19" w:history="1">
              <w:r>
                <w:rPr>
                  <w:rStyle w:val="a3"/>
                  <w:rFonts w:eastAsia="Times New Roman"/>
                  <w:sz w:val="20"/>
                  <w:szCs w:val="20"/>
                </w:rPr>
                <w:t>2</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C22AF">
            <w:pPr>
              <w:spacing w:after="100"/>
              <w:divId w:val="1040325731"/>
              <w:rPr>
                <w:rFonts w:eastAsia="Times New Roman"/>
              </w:rPr>
            </w:pPr>
            <w:hyperlink w:anchor="ieb49ef76ccb44390aea9b3491b58e300_22" w:history="1">
              <w:r>
                <w:rPr>
                  <w:rStyle w:val="a3"/>
                  <w:rFonts w:eastAsia="Times New Roman"/>
                  <w:sz w:val="20"/>
                  <w:szCs w:val="20"/>
                </w:rPr>
                <w:t>Condensed Consolidated State</w:t>
              </w:r>
              <w:r>
                <w:rPr>
                  <w:rStyle w:val="a3"/>
                  <w:rFonts w:eastAsia="Times New Roman"/>
                  <w:sz w:val="20"/>
                  <w:szCs w:val="20"/>
                </w:rPr>
                <w:t>ments of Operations</w:t>
              </w:r>
            </w:hyperlink>
          </w:p>
        </w:tc>
        <w:tc>
          <w:tcPr>
            <w:tcW w:w="0" w:type="auto"/>
            <w:gridSpan w:val="3"/>
            <w:tcMar>
              <w:top w:w="30" w:type="dxa"/>
              <w:left w:w="20" w:type="dxa"/>
              <w:bottom w:w="30" w:type="dxa"/>
              <w:right w:w="20" w:type="dxa"/>
            </w:tcMar>
            <w:vAlign w:val="bottom"/>
            <w:hideMark/>
          </w:tcPr>
          <w:p w:rsidR="00000000" w:rsidRDefault="00BC22AF">
            <w:pPr>
              <w:spacing w:after="100"/>
              <w:jc w:val="right"/>
              <w:rPr>
                <w:rFonts w:eastAsia="Times New Roman"/>
              </w:rPr>
            </w:pPr>
            <w:hyperlink w:anchor="ieb49ef76ccb44390aea9b3491b58e300_22" w:history="1">
              <w:r>
                <w:rPr>
                  <w:rStyle w:val="a3"/>
                  <w:rFonts w:eastAsia="Times New Roman"/>
                  <w:sz w:val="20"/>
                  <w:szCs w:val="20"/>
                </w:rPr>
                <w:t>3</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C22AF">
            <w:pPr>
              <w:spacing w:after="100"/>
              <w:divId w:val="313880570"/>
              <w:rPr>
                <w:rFonts w:eastAsia="Times New Roman"/>
              </w:rPr>
            </w:pPr>
            <w:hyperlink w:anchor="ieb49ef76ccb44390aea9b3491b58e300_25"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vAlign w:val="bottom"/>
            <w:hideMark/>
          </w:tcPr>
          <w:p w:rsidR="00000000" w:rsidRDefault="00BC22AF">
            <w:pPr>
              <w:spacing w:after="100"/>
              <w:jc w:val="right"/>
              <w:rPr>
                <w:rFonts w:eastAsia="Times New Roman"/>
              </w:rPr>
            </w:pPr>
            <w:hyperlink w:anchor="ieb49ef76ccb44390aea9b3491b58e300_25" w:history="1">
              <w:r>
                <w:rPr>
                  <w:rStyle w:val="a3"/>
                  <w:rFonts w:eastAsia="Times New Roman"/>
                  <w:sz w:val="20"/>
                  <w:szCs w:val="20"/>
                </w:rPr>
                <w:t>4</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C22AF">
            <w:pPr>
              <w:spacing w:after="100"/>
              <w:divId w:val="1899590960"/>
              <w:rPr>
                <w:rFonts w:eastAsia="Times New Roman"/>
              </w:rPr>
            </w:pPr>
            <w:hyperlink w:anchor="ieb49ef76ccb44390aea9b3491b58e300_28" w:history="1">
              <w:r>
                <w:rPr>
                  <w:rStyle w:val="a3"/>
                  <w:rFonts w:eastAsia="Times New Roman"/>
                  <w:sz w:val="20"/>
                  <w:szCs w:val="20"/>
                </w:rPr>
                <w:t>Condensed Consolidated Statements of Cash Flows</w:t>
              </w:r>
            </w:hyperlink>
          </w:p>
        </w:tc>
        <w:tc>
          <w:tcPr>
            <w:tcW w:w="0" w:type="auto"/>
            <w:gridSpan w:val="3"/>
            <w:tcMar>
              <w:top w:w="30" w:type="dxa"/>
              <w:left w:w="20" w:type="dxa"/>
              <w:bottom w:w="30" w:type="dxa"/>
              <w:right w:w="20" w:type="dxa"/>
            </w:tcMar>
            <w:vAlign w:val="bottom"/>
            <w:hideMark/>
          </w:tcPr>
          <w:p w:rsidR="00000000" w:rsidRDefault="00BC22AF">
            <w:pPr>
              <w:spacing w:after="100"/>
              <w:jc w:val="right"/>
              <w:rPr>
                <w:rFonts w:eastAsia="Times New Roman"/>
              </w:rPr>
            </w:pPr>
            <w:hyperlink w:anchor="ieb49ef76ccb44390aea9b3491b58e300_28" w:history="1">
              <w:r>
                <w:rPr>
                  <w:rStyle w:val="a3"/>
                  <w:rFonts w:eastAsia="Times New Roman"/>
                  <w:sz w:val="20"/>
                  <w:szCs w:val="20"/>
                </w:rPr>
                <w:t>5</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BC22AF">
            <w:pPr>
              <w:spacing w:after="100"/>
              <w:divId w:val="1639263884"/>
              <w:rPr>
                <w:rFonts w:eastAsia="Times New Roman"/>
              </w:rPr>
            </w:pPr>
            <w:hyperlink w:anchor="ieb49ef76ccb44390aea9b3491b58e300_31" w:history="1">
              <w:r>
                <w:rPr>
                  <w:rStyle w:val="a3"/>
                  <w:rFonts w:eastAsia="Times New Roman"/>
                  <w:sz w:val="20"/>
                  <w:szCs w:val="20"/>
                </w:rPr>
                <w:t>Notes to Condensed Consolidated Financial Statements</w:t>
              </w:r>
            </w:hyperlink>
          </w:p>
        </w:tc>
        <w:tc>
          <w:tcPr>
            <w:tcW w:w="0" w:type="auto"/>
            <w:gridSpan w:val="3"/>
            <w:tcMar>
              <w:top w:w="30" w:type="dxa"/>
              <w:left w:w="20" w:type="dxa"/>
              <w:bottom w:w="30" w:type="dxa"/>
              <w:right w:w="20" w:type="dxa"/>
            </w:tcMar>
            <w:vAlign w:val="bottom"/>
            <w:hideMark/>
          </w:tcPr>
          <w:p w:rsidR="00000000" w:rsidRDefault="00BC22AF">
            <w:pPr>
              <w:spacing w:after="100"/>
              <w:jc w:val="right"/>
              <w:rPr>
                <w:rFonts w:eastAsia="Times New Roman"/>
              </w:rPr>
            </w:pPr>
            <w:hyperlink w:anchor="ieb49ef76ccb44390aea9b3491b58e300_31" w:history="1">
              <w:r>
                <w:rPr>
                  <w:rStyle w:val="a3"/>
                  <w:rFonts w:eastAsia="Times New Roman"/>
                  <w:sz w:val="20"/>
                  <w:szCs w:val="20"/>
                </w:rPr>
                <w:t>6</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divId w:val="1208252149"/>
              <w:rPr>
                <w:rFonts w:eastAsia="Times New Roman"/>
              </w:rPr>
            </w:pPr>
            <w:hyperlink w:anchor="ieb49ef76ccb44390aea9b3491b58e300_82"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bottom"/>
            <w:hideMark/>
          </w:tcPr>
          <w:p w:rsidR="00000000" w:rsidRDefault="00BC22AF">
            <w:pPr>
              <w:spacing w:after="100"/>
              <w:divId w:val="1362826838"/>
              <w:rPr>
                <w:rFonts w:eastAsia="Times New Roman"/>
              </w:rPr>
            </w:pPr>
            <w:hyperlink w:anchor="ieb49ef76ccb44390aea9b3491b58e300_82" w:history="1">
              <w:r>
                <w:rPr>
                  <w:rStyle w:val="a3"/>
                  <w:rFonts w:eastAsia="Times New Roman"/>
                  <w:sz w:val="20"/>
                  <w:szCs w:val="20"/>
                </w:rPr>
                <w:t>Management's Discussion and Analysis of Financial Condition a</w:t>
              </w:r>
              <w:r>
                <w:rPr>
                  <w:rStyle w:val="a3"/>
                  <w:rFonts w:eastAsia="Times New Roman"/>
                  <w:sz w:val="20"/>
                  <w:szCs w:val="20"/>
                </w:rPr>
                <w:t>nd Results of Operations</w:t>
              </w:r>
            </w:hyperlink>
          </w:p>
        </w:tc>
        <w:tc>
          <w:tcPr>
            <w:tcW w:w="0" w:type="auto"/>
            <w:gridSpan w:val="3"/>
            <w:tcMar>
              <w:top w:w="30" w:type="dxa"/>
              <w:left w:w="20" w:type="dxa"/>
              <w:bottom w:w="30" w:type="dxa"/>
              <w:right w:w="20" w:type="dxa"/>
            </w:tcMar>
            <w:vAlign w:val="bottom"/>
            <w:hideMark/>
          </w:tcPr>
          <w:p w:rsidR="00000000" w:rsidRDefault="00BC22AF">
            <w:pPr>
              <w:spacing w:after="100"/>
              <w:jc w:val="right"/>
              <w:rPr>
                <w:rFonts w:eastAsia="Times New Roman"/>
              </w:rPr>
            </w:pPr>
            <w:hyperlink w:anchor="ieb49ef76ccb44390aea9b3491b58e300_82" w:history="1">
              <w:r>
                <w:rPr>
                  <w:rStyle w:val="a3"/>
                  <w:rFonts w:eastAsia="Times New Roman"/>
                  <w:sz w:val="20"/>
                  <w:szCs w:val="20"/>
                </w:rPr>
                <w:t>14</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divId w:val="1854760019"/>
              <w:rPr>
                <w:rFonts w:eastAsia="Times New Roman"/>
              </w:rPr>
            </w:pPr>
            <w:hyperlink w:anchor="ieb49ef76ccb44390aea9b3491b58e300_103"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bottom"/>
            <w:hideMark/>
          </w:tcPr>
          <w:p w:rsidR="00000000" w:rsidRDefault="00BC22AF">
            <w:pPr>
              <w:spacing w:after="100"/>
              <w:divId w:val="1943107430"/>
              <w:rPr>
                <w:rFonts w:eastAsia="Times New Roman"/>
              </w:rPr>
            </w:pPr>
            <w:hyperlink w:anchor="ieb49ef76ccb44390aea9b3491b58e300_103"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BC22AF">
            <w:pPr>
              <w:spacing w:after="100"/>
              <w:jc w:val="right"/>
              <w:rPr>
                <w:rFonts w:eastAsia="Times New Roman"/>
              </w:rPr>
            </w:pPr>
            <w:hyperlink w:anchor="ieb49ef76ccb44390aea9b3491b58e300_103" w:history="1">
              <w:r>
                <w:rPr>
                  <w:rStyle w:val="a3"/>
                  <w:rFonts w:eastAsia="Times New Roman"/>
                  <w:sz w:val="20"/>
                  <w:szCs w:val="20"/>
                </w:rPr>
                <w:t>26</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divId w:val="684136154"/>
              <w:rPr>
                <w:rFonts w:eastAsia="Times New Roman"/>
              </w:rPr>
            </w:pPr>
            <w:hyperlink w:anchor="ieb49ef76ccb44390aea9b3491b58e300_106" w:history="1">
              <w:r>
                <w:rPr>
                  <w:rStyle w:val="a3"/>
                  <w:rFonts w:eastAsia="Times New Roman"/>
                  <w:sz w:val="20"/>
                  <w:szCs w:val="20"/>
                </w:rPr>
                <w:t>Item 4</w:t>
              </w:r>
              <w:r>
                <w:rPr>
                  <w:rStyle w:val="a3"/>
                  <w:rFonts w:eastAsia="Times New Roman"/>
                  <w:sz w:val="20"/>
                  <w:szCs w:val="20"/>
                </w:rPr>
                <w:t>.</w:t>
              </w:r>
            </w:hyperlink>
          </w:p>
        </w:tc>
        <w:tc>
          <w:tcPr>
            <w:tcW w:w="0" w:type="auto"/>
            <w:gridSpan w:val="3"/>
            <w:tcMar>
              <w:top w:w="30" w:type="dxa"/>
              <w:left w:w="20" w:type="dxa"/>
              <w:bottom w:w="30" w:type="dxa"/>
              <w:right w:w="20" w:type="dxa"/>
            </w:tcMar>
            <w:vAlign w:val="bottom"/>
            <w:hideMark/>
          </w:tcPr>
          <w:p w:rsidR="00000000" w:rsidRDefault="00BC22AF">
            <w:pPr>
              <w:spacing w:after="100"/>
              <w:divId w:val="1171484492"/>
              <w:rPr>
                <w:rFonts w:eastAsia="Times New Roman"/>
              </w:rPr>
            </w:pPr>
            <w:hyperlink w:anchor="ieb49ef76ccb44390aea9b3491b58e300_106"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BC22AF">
            <w:pPr>
              <w:spacing w:after="100"/>
              <w:jc w:val="right"/>
              <w:rPr>
                <w:rFonts w:eastAsia="Times New Roman"/>
              </w:rPr>
            </w:pPr>
            <w:hyperlink w:anchor="ieb49ef76ccb44390aea9b3491b58e300_106" w:history="1">
              <w:r>
                <w:rPr>
                  <w:rStyle w:val="a3"/>
                  <w:rFonts w:eastAsia="Times New Roman"/>
                  <w:sz w:val="20"/>
                  <w:szCs w:val="20"/>
                </w:rPr>
                <w:t>26</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BC22AF">
            <w:pPr>
              <w:spacing w:after="100"/>
              <w:divId w:val="1556231652"/>
              <w:rPr>
                <w:rFonts w:eastAsia="Times New Roman"/>
              </w:rPr>
            </w:pPr>
            <w:hyperlink w:anchor="ieb49ef76ccb44390aea9b3491b58e300_109" w:history="1">
              <w:r>
                <w:rPr>
                  <w:rStyle w:val="a3"/>
                  <w:rFonts w:eastAsia="Times New Roman"/>
                  <w:sz w:val="20"/>
                  <w:szCs w:val="20"/>
                </w:rPr>
                <w:t>PART II</w:t>
              </w:r>
            </w:hyperlink>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22AF">
            <w:pPr>
              <w:spacing w:after="100"/>
              <w:divId w:val="217785102"/>
              <w:rPr>
                <w:rFonts w:eastAsia="Times New Roman"/>
              </w:rPr>
            </w:pPr>
            <w:hyperlink w:anchor="ieb49ef76ccb44390aea9b3491b58e300_112"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bottom"/>
            <w:hideMark/>
          </w:tcPr>
          <w:p w:rsidR="00000000" w:rsidRDefault="00BC22AF">
            <w:pPr>
              <w:spacing w:after="100"/>
              <w:divId w:val="1840151034"/>
              <w:rPr>
                <w:rFonts w:eastAsia="Times New Roman"/>
              </w:rPr>
            </w:pPr>
            <w:hyperlink w:anchor="ieb49ef76ccb44390aea9b3491b58e300_112"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BC22AF">
            <w:pPr>
              <w:spacing w:after="100"/>
              <w:jc w:val="right"/>
              <w:rPr>
                <w:rFonts w:eastAsia="Times New Roman"/>
              </w:rPr>
            </w:pPr>
            <w:hyperlink w:anchor="ieb49ef76ccb44390aea9b3491b58e300_112" w:history="1">
              <w:r>
                <w:rPr>
                  <w:rStyle w:val="a3"/>
                  <w:rFonts w:eastAsia="Times New Roman"/>
                  <w:sz w:val="20"/>
                  <w:szCs w:val="20"/>
                </w:rPr>
                <w:t>28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divId w:val="490565360"/>
              <w:rPr>
                <w:rFonts w:eastAsia="Times New Roman"/>
              </w:rPr>
            </w:pPr>
            <w:hyperlink w:anchor="ieb49ef76ccb44390aea9b3491b58e300_115" w:history="1">
              <w:r>
                <w:rPr>
                  <w:rStyle w:val="a3"/>
                  <w:rFonts w:eastAsia="Times New Roman"/>
                  <w:sz w:val="20"/>
                  <w:szCs w:val="20"/>
                </w:rPr>
                <w:t>Item 1A.</w:t>
              </w:r>
            </w:hyperlink>
          </w:p>
        </w:tc>
        <w:tc>
          <w:tcPr>
            <w:tcW w:w="0" w:type="auto"/>
            <w:gridSpan w:val="3"/>
            <w:tcMar>
              <w:top w:w="30" w:type="dxa"/>
              <w:left w:w="20" w:type="dxa"/>
              <w:bottom w:w="30" w:type="dxa"/>
              <w:right w:w="20" w:type="dxa"/>
            </w:tcMar>
            <w:vAlign w:val="bottom"/>
            <w:hideMark/>
          </w:tcPr>
          <w:p w:rsidR="00000000" w:rsidRDefault="00BC22AF">
            <w:pPr>
              <w:spacing w:after="100"/>
              <w:divId w:val="345209645"/>
              <w:rPr>
                <w:rFonts w:eastAsia="Times New Roman"/>
              </w:rPr>
            </w:pPr>
            <w:hyperlink w:anchor="ieb49ef76ccb44390aea9b3491b58e300_115"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BC22AF">
            <w:pPr>
              <w:spacing w:after="100"/>
              <w:jc w:val="right"/>
              <w:rPr>
                <w:rFonts w:eastAsia="Times New Roman"/>
              </w:rPr>
            </w:pPr>
            <w:hyperlink w:anchor="ieb49ef76ccb44390aea9b3491b58e300_115" w:history="1">
              <w:r>
                <w:rPr>
                  <w:rStyle w:val="a3"/>
                  <w:rFonts w:eastAsia="Times New Roman"/>
                  <w:sz w:val="20"/>
                  <w:szCs w:val="20"/>
                </w:rPr>
                <w:t>28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divId w:val="535313221"/>
              <w:rPr>
                <w:rFonts w:eastAsia="Times New Roman"/>
              </w:rPr>
            </w:pPr>
            <w:hyperlink w:anchor="ieb49ef76ccb44390aea9b3491b58e300_118"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bottom"/>
            <w:hideMark/>
          </w:tcPr>
          <w:p w:rsidR="00000000" w:rsidRDefault="00BC22AF">
            <w:pPr>
              <w:spacing w:after="100"/>
              <w:divId w:val="1356888421"/>
              <w:rPr>
                <w:rFonts w:eastAsia="Times New Roman"/>
              </w:rPr>
            </w:pPr>
            <w:hyperlink w:anchor="ieb49ef76ccb44390aea9b3491b58e300_118"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BC22AF">
            <w:pPr>
              <w:spacing w:after="100"/>
              <w:jc w:val="right"/>
              <w:rPr>
                <w:rFonts w:eastAsia="Times New Roman"/>
              </w:rPr>
            </w:pPr>
            <w:hyperlink w:anchor="ieb49ef76ccb44390aea9b3491b58e300_118" w:history="1">
              <w:r>
                <w:rPr>
                  <w:rStyle w:val="a3"/>
                  <w:rFonts w:eastAsia="Times New Roman"/>
                  <w:sz w:val="20"/>
                  <w:szCs w:val="20"/>
                </w:rPr>
                <w:t>28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divId w:val="969283399"/>
              <w:rPr>
                <w:rFonts w:eastAsia="Times New Roman"/>
              </w:rPr>
            </w:pPr>
            <w:hyperlink w:anchor="ieb49ef76ccb44390aea9b3491b58e300_121"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bottom"/>
            <w:hideMark/>
          </w:tcPr>
          <w:p w:rsidR="00000000" w:rsidRDefault="00BC22AF">
            <w:pPr>
              <w:spacing w:after="100"/>
              <w:divId w:val="413092305"/>
              <w:rPr>
                <w:rFonts w:eastAsia="Times New Roman"/>
              </w:rPr>
            </w:pPr>
            <w:hyperlink w:anchor="ieb49ef76ccb44390aea9b3491b58e300_121"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bottom"/>
            <w:hideMark/>
          </w:tcPr>
          <w:p w:rsidR="00000000" w:rsidRDefault="00BC22AF">
            <w:pPr>
              <w:spacing w:after="100"/>
              <w:jc w:val="right"/>
              <w:rPr>
                <w:rFonts w:eastAsia="Times New Roman"/>
              </w:rPr>
            </w:pPr>
            <w:hyperlink w:anchor="ieb49ef76ccb44390aea9b3491b58e300_121" w:history="1">
              <w:r>
                <w:rPr>
                  <w:rStyle w:val="a3"/>
                  <w:rFonts w:eastAsia="Times New Roman"/>
                  <w:sz w:val="20"/>
                  <w:szCs w:val="20"/>
                </w:rPr>
                <w:t>28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divId w:val="21829205"/>
              <w:rPr>
                <w:rFonts w:eastAsia="Times New Roman"/>
              </w:rPr>
            </w:pPr>
            <w:hyperlink w:anchor="ieb49ef76ccb44390aea9b3491b58e300_124"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bottom"/>
            <w:hideMark/>
          </w:tcPr>
          <w:p w:rsidR="00000000" w:rsidRDefault="00BC22AF">
            <w:pPr>
              <w:spacing w:after="100"/>
              <w:divId w:val="1116367592"/>
              <w:rPr>
                <w:rFonts w:eastAsia="Times New Roman"/>
              </w:rPr>
            </w:pPr>
            <w:hyperlink w:anchor="ieb49ef76ccb44390aea9b3491b58e300_124"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BC22AF">
            <w:pPr>
              <w:spacing w:after="100"/>
              <w:jc w:val="right"/>
              <w:rPr>
                <w:rFonts w:eastAsia="Times New Roman"/>
              </w:rPr>
            </w:pPr>
            <w:hyperlink w:anchor="ieb49ef76ccb44390aea9b3491b58e300_124" w:history="1">
              <w:r>
                <w:rPr>
                  <w:rStyle w:val="a3"/>
                  <w:rFonts w:eastAsia="Times New Roman"/>
                  <w:sz w:val="20"/>
                  <w:szCs w:val="20"/>
                </w:rPr>
                <w:t>28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divId w:val="1849368591"/>
              <w:rPr>
                <w:rFonts w:eastAsia="Times New Roman"/>
              </w:rPr>
            </w:pPr>
            <w:hyperlink w:anchor="ieb49ef76ccb44390aea9b3491b58e300_127" w:history="1">
              <w:r>
                <w:rPr>
                  <w:rStyle w:val="a3"/>
                  <w:rFonts w:eastAsia="Times New Roman"/>
                  <w:sz w:val="20"/>
                  <w:szCs w:val="20"/>
                </w:rPr>
                <w:t>Item 5.</w:t>
              </w:r>
            </w:hyperlink>
          </w:p>
        </w:tc>
        <w:tc>
          <w:tcPr>
            <w:tcW w:w="0" w:type="auto"/>
            <w:gridSpan w:val="3"/>
            <w:tcMar>
              <w:top w:w="30" w:type="dxa"/>
              <w:left w:w="20" w:type="dxa"/>
              <w:bottom w:w="30" w:type="dxa"/>
              <w:right w:w="20" w:type="dxa"/>
            </w:tcMar>
            <w:vAlign w:val="bottom"/>
            <w:hideMark/>
          </w:tcPr>
          <w:p w:rsidR="00000000" w:rsidRDefault="00BC22AF">
            <w:pPr>
              <w:spacing w:after="100"/>
              <w:divId w:val="1894924576"/>
              <w:rPr>
                <w:rFonts w:eastAsia="Times New Roman"/>
              </w:rPr>
            </w:pPr>
            <w:hyperlink w:anchor="ieb49ef76ccb44390aea9b3491b58e300_127"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BC22AF">
            <w:pPr>
              <w:spacing w:after="100"/>
              <w:jc w:val="right"/>
              <w:rPr>
                <w:rFonts w:eastAsia="Times New Roman"/>
              </w:rPr>
            </w:pPr>
            <w:hyperlink w:anchor="ieb49ef76ccb44390aea9b3491b58e300_127" w:history="1">
              <w:r>
                <w:rPr>
                  <w:rStyle w:val="a3"/>
                  <w:rFonts w:eastAsia="Times New Roman"/>
                  <w:sz w:val="20"/>
                  <w:szCs w:val="20"/>
                </w:rPr>
                <w:t>28</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divId w:val="1977837463"/>
              <w:rPr>
                <w:rFonts w:eastAsia="Times New Roman"/>
              </w:rPr>
            </w:pPr>
            <w:hyperlink w:anchor="ieb49ef76ccb44390aea9b3491b58e300_130" w:history="1">
              <w:r>
                <w:rPr>
                  <w:rStyle w:val="a3"/>
                  <w:rFonts w:eastAsia="Times New Roman"/>
                  <w:sz w:val="20"/>
                  <w:szCs w:val="20"/>
                </w:rPr>
                <w:t>Item 6.</w:t>
              </w:r>
            </w:hyperlink>
          </w:p>
        </w:tc>
        <w:tc>
          <w:tcPr>
            <w:tcW w:w="0" w:type="auto"/>
            <w:gridSpan w:val="3"/>
            <w:tcMar>
              <w:top w:w="30" w:type="dxa"/>
              <w:left w:w="20" w:type="dxa"/>
              <w:bottom w:w="30" w:type="dxa"/>
              <w:right w:w="20" w:type="dxa"/>
            </w:tcMar>
            <w:vAlign w:val="bottom"/>
            <w:hideMark/>
          </w:tcPr>
          <w:p w:rsidR="00000000" w:rsidRDefault="00BC22AF">
            <w:pPr>
              <w:spacing w:after="100"/>
              <w:divId w:val="767694749"/>
              <w:rPr>
                <w:rFonts w:eastAsia="Times New Roman"/>
              </w:rPr>
            </w:pPr>
            <w:hyperlink w:anchor="ieb49ef76ccb44390aea9b3491b58e300_130"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bottom"/>
            <w:hideMark/>
          </w:tcPr>
          <w:p w:rsidR="00000000" w:rsidRDefault="00BC22AF">
            <w:pPr>
              <w:spacing w:after="100"/>
              <w:jc w:val="right"/>
              <w:rPr>
                <w:rFonts w:eastAsia="Times New Roman"/>
              </w:rPr>
            </w:pPr>
            <w:hyperlink w:anchor="ieb49ef76ccb44390aea9b3491b58e300_130" w:history="1">
              <w:r>
                <w:rPr>
                  <w:rStyle w:val="a3"/>
                  <w:rFonts w:eastAsia="Times New Roman"/>
                  <w:sz w:val="20"/>
                  <w:szCs w:val="20"/>
                </w:rPr>
                <w:t>29</w:t>
              </w:r>
            </w:hyperlink>
          </w:p>
        </w:tc>
      </w:tr>
      <w:tr w:rsidR="00000000">
        <w:trPr>
          <w:jc w:val="center"/>
        </w:trPr>
        <w:tc>
          <w:tcPr>
            <w:tcW w:w="0" w:type="auto"/>
            <w:gridSpan w:val="6"/>
            <w:tcMar>
              <w:top w:w="30" w:type="dxa"/>
              <w:left w:w="20" w:type="dxa"/>
              <w:bottom w:w="30" w:type="dxa"/>
              <w:right w:w="20" w:type="dxa"/>
            </w:tcMar>
            <w:vAlign w:val="bottom"/>
            <w:hideMark/>
          </w:tcPr>
          <w:p w:rsidR="00000000" w:rsidRDefault="00BC22AF">
            <w:pPr>
              <w:spacing w:after="100"/>
              <w:divId w:val="2065326660"/>
              <w:rPr>
                <w:rFonts w:eastAsia="Times New Roman"/>
              </w:rPr>
            </w:pPr>
            <w:hyperlink w:anchor="ieb49ef76ccb44390aea9b3491b58e300_133"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jc w:val="right"/>
              <w:rPr>
                <w:rFonts w:eastAsia="Times New Roman"/>
              </w:rPr>
            </w:pPr>
            <w:hyperlink w:anchor="ieb49ef76ccb44390aea9b3491b58e300_133" w:history="1">
              <w:r>
                <w:rPr>
                  <w:rStyle w:val="a3"/>
                  <w:rFonts w:eastAsia="Times New Roman"/>
                  <w:sz w:val="20"/>
                  <w:szCs w:val="20"/>
                </w:rPr>
                <w:t>30</w:t>
              </w:r>
            </w:hyperlink>
          </w:p>
        </w:tc>
      </w:tr>
    </w:tbl>
    <w:p w:rsidR="00000000" w:rsidRDefault="00BC22AF">
      <w:pPr>
        <w:divId w:val="381490911"/>
        <w:rPr>
          <w:rFonts w:eastAsia="Times New Roman"/>
        </w:rPr>
      </w:pPr>
    </w:p>
    <w:p w:rsidR="00000000" w:rsidRDefault="00BC22AF">
      <w:pPr>
        <w:divId w:val="1856993226"/>
        <w:rPr>
          <w:rFonts w:eastAsia="Times New Roman"/>
        </w:rPr>
      </w:pPr>
    </w:p>
    <w:p w:rsidR="00000000" w:rsidRDefault="00BC22AF">
      <w:pPr>
        <w:jc w:val="center"/>
        <w:divId w:val="591016028"/>
        <w:rPr>
          <w:rFonts w:eastAsia="Times New Roman"/>
        </w:rPr>
      </w:pPr>
      <w:r>
        <w:rPr>
          <w:rFonts w:eastAsia="Times New Roman"/>
          <w:color w:val="000000"/>
          <w:sz w:val="20"/>
          <w:szCs w:val="20"/>
        </w:rPr>
        <w:t>1</w:t>
      </w:r>
    </w:p>
    <w:p w:rsidR="00000000" w:rsidRDefault="00BC22AF">
      <w:pPr>
        <w:rPr>
          <w:rFonts w:eastAsia="Times New Roman"/>
        </w:rPr>
      </w:pPr>
      <w:r>
        <w:rPr>
          <w:rFonts w:eastAsia="Times New Roman"/>
        </w:rPr>
        <w:pict>
          <v:rect id="_x0000_i1026" style="width:0;height:1.5pt" o:hralign="center" o:hrstd="t" o:hr="t" fillcolor="#a0a0a0" stroked="f"/>
        </w:pict>
      </w:r>
    </w:p>
    <w:p w:rsidR="00000000" w:rsidRDefault="00BC22AF">
      <w:pPr>
        <w:divId w:val="497692961"/>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center"/>
        <w:rPr>
          <w:rFonts w:eastAsia="Times New Roman"/>
        </w:rPr>
      </w:pPr>
      <w:r>
        <w:rPr>
          <w:rFonts w:eastAsia="Times New Roman"/>
          <w:b/>
          <w:bCs/>
          <w:color w:val="000000"/>
          <w:sz w:val="20"/>
          <w:szCs w:val="20"/>
        </w:rPr>
        <w:t>PART I</w:t>
      </w:r>
    </w:p>
    <w:p w:rsidR="00000000" w:rsidRDefault="00BC22AF">
      <w:pPr>
        <w:jc w:val="center"/>
        <w:rPr>
          <w:rFonts w:eastAsia="Times New Roman"/>
        </w:rPr>
      </w:pPr>
    </w:p>
    <w:p w:rsidR="00000000" w:rsidRDefault="00BC22AF">
      <w:pPr>
        <w:divId w:val="399520837"/>
        <w:rPr>
          <w:rFonts w:eastAsia="Times New Roman"/>
        </w:rPr>
      </w:pPr>
      <w:r>
        <w:rPr>
          <w:rFonts w:eastAsia="Times New Roman"/>
          <w:b/>
          <w:bCs/>
          <w:color w:val="000000"/>
          <w:sz w:val="20"/>
          <w:szCs w:val="20"/>
        </w:rPr>
        <w:t>Item 1. Financial Statements</w:t>
      </w:r>
    </w:p>
    <w:p w:rsidR="00000000" w:rsidRDefault="00BC22AF">
      <w:pPr>
        <w:divId w:val="1413771282"/>
        <w:rPr>
          <w:rFonts w:eastAsia="Times New Roman"/>
        </w:rPr>
      </w:pPr>
    </w:p>
    <w:p w:rsidR="00000000" w:rsidRDefault="00BC22AF">
      <w:pPr>
        <w:jc w:val="center"/>
        <w:divId w:val="220605530"/>
        <w:rPr>
          <w:rFonts w:eastAsia="Times New Roman"/>
        </w:rPr>
      </w:pPr>
      <w:r>
        <w:rPr>
          <w:rFonts w:eastAsia="Times New Roman"/>
          <w:b/>
          <w:bCs/>
          <w:color w:val="000000"/>
          <w:sz w:val="20"/>
          <w:szCs w:val="20"/>
        </w:rPr>
        <w:t>Noodles &amp; Company</w:t>
      </w:r>
    </w:p>
    <w:p w:rsidR="00000000" w:rsidRDefault="00BC22AF">
      <w:pPr>
        <w:jc w:val="center"/>
        <w:divId w:val="406269173"/>
        <w:rPr>
          <w:rFonts w:eastAsia="Times New Roman"/>
        </w:rPr>
      </w:pPr>
      <w:r>
        <w:rPr>
          <w:rFonts w:eastAsia="Times New Roman"/>
          <w:b/>
          <w:bCs/>
          <w:color w:val="000000"/>
          <w:sz w:val="20"/>
          <w:szCs w:val="20"/>
        </w:rPr>
        <w:t>Condensed Consolidated Balance Sheets</w:t>
      </w:r>
    </w:p>
    <w:p w:rsidR="00000000" w:rsidRDefault="00BC22AF">
      <w:pPr>
        <w:jc w:val="center"/>
        <w:divId w:val="950940590"/>
        <w:rPr>
          <w:rFonts w:eastAsia="Times New Roman"/>
        </w:rPr>
      </w:pPr>
      <w:r>
        <w:rPr>
          <w:rFonts w:eastAsia="Times New Roman"/>
          <w:b/>
          <w:bCs/>
          <w:color w:val="000000"/>
          <w:sz w:val="20"/>
          <w:szCs w:val="20"/>
        </w:rPr>
        <w:t>(in thousands, except share and per share data)</w:t>
      </w:r>
    </w:p>
    <w:tbl>
      <w:tblPr>
        <w:tblW w:w="4985" w:type="pct"/>
        <w:tblCellMar>
          <w:top w:w="15" w:type="dxa"/>
          <w:left w:w="15" w:type="dxa"/>
          <w:bottom w:w="15" w:type="dxa"/>
          <w:right w:w="15" w:type="dxa"/>
        </w:tblCellMar>
        <w:tblLook w:val="04A0" w:firstRow="1" w:lastRow="0" w:firstColumn="1" w:lastColumn="0" w:noHBand="0" w:noVBand="1"/>
      </w:tblPr>
      <w:tblGrid>
        <w:gridCol w:w="41"/>
        <w:gridCol w:w="5115"/>
        <w:gridCol w:w="38"/>
        <w:gridCol w:w="36"/>
        <w:gridCol w:w="36"/>
        <w:gridCol w:w="36"/>
        <w:gridCol w:w="111"/>
        <w:gridCol w:w="1288"/>
        <w:gridCol w:w="36"/>
        <w:gridCol w:w="36"/>
        <w:gridCol w:w="36"/>
        <w:gridCol w:w="36"/>
        <w:gridCol w:w="111"/>
        <w:gridCol w:w="1289"/>
        <w:gridCol w:w="36"/>
      </w:tblGrid>
      <w:tr w:rsidR="00000000">
        <w:trPr>
          <w:divId w:val="91557098"/>
        </w:trPr>
        <w:tc>
          <w:tcPr>
            <w:tcW w:w="50" w:type="pct"/>
            <w:vAlign w:val="center"/>
            <w:hideMark/>
          </w:tcPr>
          <w:p w:rsidR="00000000" w:rsidRDefault="00BC22AF">
            <w:pPr>
              <w:jc w:val="center"/>
              <w:rPr>
                <w:rFonts w:eastAsia="Times New Roman"/>
              </w:rPr>
            </w:pPr>
          </w:p>
        </w:tc>
        <w:tc>
          <w:tcPr>
            <w:tcW w:w="3112"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824"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824"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divId w:val="91557098"/>
        </w:trPr>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8"/>
                <w:szCs w:val="18"/>
              </w:rPr>
              <w:t>December 28,</w:t>
            </w:r>
            <w:r>
              <w:rPr>
                <w:rFonts w:eastAsia="Times New Roman"/>
                <w:b/>
                <w:bCs/>
                <w:color w:val="000000"/>
                <w:sz w:val="18"/>
                <w:szCs w:val="18"/>
              </w:rPr>
              <w:br/>
              <w:t>2021</w:t>
            </w:r>
          </w:p>
        </w:tc>
      </w:tr>
      <w:tr w:rsidR="00000000">
        <w:trPr>
          <w:divId w:val="91557098"/>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(unaudited)</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r>
      <w:tr w:rsidR="00000000">
        <w:trPr>
          <w:divId w:val="91557098"/>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8"/>
                <w:szCs w:val="18"/>
              </w:rPr>
              <w:t>Assets</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r>
      <w:tr w:rsidR="00000000">
        <w:trPr>
          <w:divId w:val="91557098"/>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Current assets:</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r>
      <w:tr w:rsidR="00000000">
        <w:trPr>
          <w:divId w:val="91557098"/>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1,789 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2,255 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3,967 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3,958 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Inventories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9,930 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9,404 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Prepaid expenses and other assets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4,598 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6,837 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Income tax receivable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211 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108 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Total current assets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20,495 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22,562 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Property and equipment, net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124,034 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119,276 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Operating lease assets, net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184,947 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188,440 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7,154 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7,154 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Intangibles, net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640 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Other assets, net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1,311 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3,359 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Total long-term assets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318,086 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318,897 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338,581 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341,459 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8"/>
                <w:szCs w:val="18"/>
              </w:rPr>
              <w:t>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 </w:t>
            </w:r>
          </w:p>
        </w:tc>
      </w:tr>
      <w:tr w:rsidR="00000000">
        <w:trPr>
          <w:divId w:val="91557098"/>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 </w:t>
            </w:r>
          </w:p>
        </w:tc>
      </w:tr>
      <w:tr w:rsidR="00000000">
        <w:trPr>
          <w:divId w:val="91557098"/>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15,279 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15,543 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Accrued payroll and benefits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14,772 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18,600 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12,398 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13,791 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Current 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27,518 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26,617 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Current portion of long-term debt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2,031 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Total current liabilities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69,967 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76,582 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Long-term debt, net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31,142 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18,931 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lastRenderedPageBreak/>
              <w:t>Long-term operating lease liabilities, net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194,197 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200,243 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Deferred tax liabilities, net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229 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269 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8,159 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7,801 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303,694 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303,826 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Height w:val="240"/>
        </w:trPr>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rPr>
          <w:divId w:val="91557098"/>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 </w:t>
            </w:r>
          </w:p>
        </w:tc>
      </w:tr>
      <w:tr w:rsidR="00000000">
        <w:trPr>
          <w:divId w:val="91557098"/>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divId w:val="630284411"/>
              <w:rPr>
                <w:rFonts w:eastAsia="Times New Roman"/>
              </w:rPr>
            </w:pPr>
            <w:r>
              <w:rPr>
                <w:rFonts w:eastAsia="Times New Roman"/>
                <w:color w:val="000000"/>
                <w:sz w:val="18"/>
                <w:szCs w:val="18"/>
              </w:rPr>
              <w:t xml:space="preserve">Preferred stock—$0.01 par value, 1,000,000 shares authorized and undesignated as of June 28, 2022 and December 28, 2021; no </w:t>
            </w:r>
            <w:r>
              <w:rPr>
                <w:rFonts w:eastAsia="Times New Roman"/>
                <w:color w:val="000000"/>
                <w:sz w:val="18"/>
                <w:szCs w:val="18"/>
              </w:rPr>
              <w:t>shares issued or outstanding</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divId w:val="30807289"/>
              <w:rPr>
                <w:rFonts w:eastAsia="Times New Roman"/>
              </w:rPr>
            </w:pPr>
            <w:r>
              <w:rPr>
                <w:rFonts w:eastAsia="Times New Roman"/>
                <w:color w:val="000000"/>
                <w:sz w:val="18"/>
                <w:szCs w:val="18"/>
              </w:rPr>
              <w:t xml:space="preserve">Common stock—$0.01 par value, 180,000,000 shares authorized as of June 28, 2022 and December 28, 2021; 48,384,193 issued and 45,960,322 outstanding as of June 28, 2022 and 48,125,151 issued and </w:t>
            </w:r>
            <w:r>
              <w:rPr>
                <w:rFonts w:eastAsia="Times New Roman"/>
                <w:color w:val="000000"/>
                <w:sz w:val="18"/>
                <w:szCs w:val="18"/>
              </w:rPr>
              <w:t>45,701,280 outstanding as of December 28, 2021</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484 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481 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divId w:val="535655914"/>
              <w:rPr>
                <w:rFonts w:eastAsia="Times New Roman"/>
              </w:rPr>
            </w:pPr>
            <w:r>
              <w:rPr>
                <w:rFonts w:eastAsia="Times New Roman"/>
                <w:color w:val="000000"/>
                <w:sz w:val="18"/>
                <w:szCs w:val="18"/>
              </w:rPr>
              <w:t>Treasury stock, at cost, 2,423,871 shares as of June 28, 2022 and December 28, 2021</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(35,000)</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(35,000)</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Additional paid-in capital</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209,561 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207,226 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Accumulated deficit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(140,158)</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(135,074)</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Total stockholders’ equity</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34,887 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37,633 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91557098"/>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8"/>
                <w:szCs w:val="18"/>
              </w:rPr>
              <w:t>Total liabilities and stockholders’ equity</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338,581 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8"/>
                <w:szCs w:val="18"/>
              </w:rPr>
              <w:t>341,459 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bl>
    <w:p w:rsidR="00000000" w:rsidRDefault="00BC22AF">
      <w:pPr>
        <w:ind w:firstLine="360"/>
        <w:jc w:val="center"/>
        <w:divId w:val="1823502838"/>
        <w:rPr>
          <w:rFonts w:eastAsia="Times New Roman"/>
        </w:rPr>
      </w:pPr>
      <w:r>
        <w:rPr>
          <w:rFonts w:eastAsia="Times New Roman"/>
          <w:color w:val="000000"/>
          <w:sz w:val="20"/>
          <w:szCs w:val="20"/>
        </w:rPr>
        <w:t>  </w:t>
      </w:r>
      <w:r>
        <w:rPr>
          <w:rFonts w:eastAsia="Times New Roman"/>
          <w:color w:val="000000"/>
          <w:sz w:val="18"/>
          <w:szCs w:val="18"/>
        </w:rPr>
        <w:t> </w:t>
      </w:r>
      <w:r>
        <w:rPr>
          <w:rFonts w:eastAsia="Times New Roman"/>
          <w:i/>
          <w:iCs/>
          <w:color w:val="000000"/>
          <w:sz w:val="18"/>
          <w:szCs w:val="18"/>
        </w:rPr>
        <w:t>See accompanying notes to condensed consolidated financial statements.</w:t>
      </w:r>
    </w:p>
    <w:p w:rsidR="00000000" w:rsidRDefault="00BC22AF">
      <w:pPr>
        <w:jc w:val="center"/>
        <w:divId w:val="498738904"/>
        <w:rPr>
          <w:rFonts w:eastAsia="Times New Roman"/>
        </w:rPr>
      </w:pPr>
      <w:r>
        <w:rPr>
          <w:rFonts w:eastAsia="Times New Roman"/>
          <w:color w:val="000000"/>
          <w:sz w:val="20"/>
          <w:szCs w:val="20"/>
        </w:rPr>
        <w:t>2</w:t>
      </w:r>
    </w:p>
    <w:p w:rsidR="00000000" w:rsidRDefault="00BC22AF">
      <w:pPr>
        <w:rPr>
          <w:rFonts w:eastAsia="Times New Roman"/>
        </w:rPr>
      </w:pPr>
      <w:r>
        <w:rPr>
          <w:rFonts w:eastAsia="Times New Roman"/>
        </w:rPr>
        <w:pict>
          <v:rect id="_x0000_i1027" style="width:0;height:1.5pt" o:hralign="center" o:hrstd="t" o:hr="t" fillcolor="#a0a0a0" stroked="f"/>
        </w:pict>
      </w:r>
    </w:p>
    <w:p w:rsidR="00000000" w:rsidRDefault="00BC22AF">
      <w:pPr>
        <w:divId w:val="698893837"/>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center"/>
        <w:divId w:val="1443305228"/>
        <w:rPr>
          <w:rFonts w:eastAsia="Times New Roman"/>
        </w:rPr>
      </w:pPr>
      <w:r>
        <w:rPr>
          <w:rFonts w:eastAsia="Times New Roman"/>
          <w:b/>
          <w:bCs/>
          <w:color w:val="000000"/>
          <w:sz w:val="20"/>
          <w:szCs w:val="20"/>
        </w:rPr>
        <w:t>Noodles &amp; Company</w:t>
      </w:r>
    </w:p>
    <w:p w:rsidR="00000000" w:rsidRDefault="00BC22AF">
      <w:pPr>
        <w:jc w:val="center"/>
        <w:divId w:val="869490467"/>
        <w:rPr>
          <w:rFonts w:eastAsia="Times New Roman"/>
        </w:rPr>
      </w:pPr>
      <w:r>
        <w:rPr>
          <w:rFonts w:eastAsia="Times New Roman"/>
          <w:b/>
          <w:bCs/>
          <w:color w:val="000000"/>
          <w:sz w:val="20"/>
          <w:szCs w:val="20"/>
        </w:rPr>
        <w:t>Condensed Consolidated Statements of Operations</w:t>
      </w:r>
    </w:p>
    <w:p w:rsidR="00000000" w:rsidRDefault="00BC22AF">
      <w:pPr>
        <w:jc w:val="center"/>
        <w:divId w:val="1466312053"/>
        <w:rPr>
          <w:rFonts w:eastAsia="Times New Roman"/>
        </w:rPr>
      </w:pPr>
      <w:r>
        <w:rPr>
          <w:rFonts w:eastAsia="Times New Roman"/>
          <w:b/>
          <w:bCs/>
          <w:color w:val="000000"/>
          <w:sz w:val="20"/>
          <w:szCs w:val="20"/>
        </w:rPr>
        <w:t>(in thousands, except share and per share data, 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3581"/>
        <w:gridCol w:w="39"/>
        <w:gridCol w:w="36"/>
        <w:gridCol w:w="36"/>
        <w:gridCol w:w="36"/>
        <w:gridCol w:w="121"/>
        <w:gridCol w:w="893"/>
        <w:gridCol w:w="36"/>
        <w:gridCol w:w="36"/>
        <w:gridCol w:w="36"/>
        <w:gridCol w:w="36"/>
        <w:gridCol w:w="121"/>
        <w:gridCol w:w="893"/>
        <w:gridCol w:w="36"/>
        <w:gridCol w:w="36"/>
        <w:gridCol w:w="36"/>
        <w:gridCol w:w="36"/>
        <w:gridCol w:w="121"/>
        <w:gridCol w:w="893"/>
        <w:gridCol w:w="36"/>
        <w:gridCol w:w="36"/>
        <w:gridCol w:w="36"/>
        <w:gridCol w:w="36"/>
        <w:gridCol w:w="121"/>
        <w:gridCol w:w="893"/>
        <w:gridCol w:w="36"/>
      </w:tblGrid>
      <w:tr w:rsidR="00000000">
        <w:trPr>
          <w:jc w:val="center"/>
        </w:trPr>
        <w:tc>
          <w:tcPr>
            <w:tcW w:w="50" w:type="pct"/>
            <w:vAlign w:val="center"/>
            <w:hideMark/>
          </w:tcPr>
          <w:p w:rsidR="00000000" w:rsidRDefault="00BC22AF">
            <w:pPr>
              <w:jc w:val="center"/>
              <w:rPr>
                <w:rFonts w:eastAsia="Times New Roman"/>
              </w:rPr>
            </w:pPr>
          </w:p>
        </w:tc>
        <w:tc>
          <w:tcPr>
            <w:tcW w:w="225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2"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Two Fiscal Quarters Ended</w:t>
            </w:r>
          </w:p>
        </w:tc>
      </w:tr>
      <w:tr w:rsidR="00000000">
        <w:trPr>
          <w:jc w:val="center"/>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r>
      <w:tr w:rsidR="00000000">
        <w:trPr>
          <w:jc w:val="center"/>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128,274 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123,715 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238,235 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231,459 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2,793 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1,934 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5,394 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3,767 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131,067 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125,649 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243,629 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235,226 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35,664 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30,805 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66,435 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57,782 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38,828 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36,926 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74,321 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71,232 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11,074 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11,519 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22,223 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23,168 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22,792 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21,082 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44,658 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41,287 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lastRenderedPageBreak/>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12,744 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12,978 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24,584 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23,907 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5,763 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5,576 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11,484 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11,163 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353 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761 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221 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1,971 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390 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3,360 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1,621 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129,189 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119,439 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247,826 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230,381 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1,878 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(4,197)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vAlign w:val="center"/>
            <w:hideMark/>
          </w:tcPr>
          <w:p w:rsidR="00000000" w:rsidRDefault="00BC22AF">
            <w:pPr>
              <w:spacing w:after="100"/>
              <w:jc w:val="right"/>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489 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498 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926 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1,120 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Income (loss) before taxes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1,389 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5,712 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(5,123)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3,725 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Provision for (benefit from) income taxes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1,345 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5,683 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(5,084)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3,706 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Earnings (loss) per Class A and Class B common stock, combined</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0.03 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(0.11)</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0.08 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Diluted</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0.03 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(0.11)</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0.08 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Weighted average shares of Class A and Class B common stock outstanding, combined:</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45,881,354 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45,506,476 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45,803,927 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45,303,160 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Diluted</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46,108,720 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46,246,169 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45,803,927 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45,992,119 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bl>
    <w:p w:rsidR="00000000" w:rsidRDefault="00BC22AF">
      <w:pPr>
        <w:jc w:val="center"/>
        <w:divId w:val="28919245"/>
        <w:rPr>
          <w:rFonts w:eastAsia="Times New Roman"/>
        </w:rPr>
      </w:pPr>
      <w:r>
        <w:rPr>
          <w:rFonts w:eastAsia="Times New Roman"/>
          <w:i/>
          <w:iCs/>
          <w:color w:val="000000"/>
          <w:sz w:val="20"/>
          <w:szCs w:val="20"/>
        </w:rPr>
        <w:t>See accompanying notes to condensed consolidated financial statements.</w:t>
      </w:r>
    </w:p>
    <w:p w:rsidR="00000000" w:rsidRDefault="00BC22AF">
      <w:pPr>
        <w:jc w:val="center"/>
        <w:divId w:val="1985691555"/>
        <w:rPr>
          <w:rFonts w:eastAsia="Times New Roman"/>
        </w:rPr>
      </w:pPr>
      <w:r>
        <w:rPr>
          <w:rFonts w:eastAsia="Times New Roman"/>
          <w:color w:val="000000"/>
          <w:sz w:val="20"/>
          <w:szCs w:val="20"/>
        </w:rPr>
        <w:t>3</w:t>
      </w:r>
    </w:p>
    <w:p w:rsidR="00000000" w:rsidRDefault="00BC22AF">
      <w:pPr>
        <w:rPr>
          <w:rFonts w:eastAsia="Times New Roman"/>
        </w:rPr>
      </w:pPr>
      <w:r>
        <w:rPr>
          <w:rFonts w:eastAsia="Times New Roman"/>
        </w:rPr>
        <w:pict>
          <v:rect id="_x0000_i1028" style="width:0;height:1.5pt" o:hralign="center" o:hrstd="t" o:hr="t" fillcolor="#a0a0a0" stroked="f"/>
        </w:pict>
      </w:r>
    </w:p>
    <w:p w:rsidR="00000000" w:rsidRDefault="00BC22AF">
      <w:pPr>
        <w:divId w:val="813185833"/>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center"/>
        <w:divId w:val="895241276"/>
        <w:rPr>
          <w:rFonts w:eastAsia="Times New Roman"/>
        </w:rPr>
      </w:pPr>
      <w:r>
        <w:rPr>
          <w:rFonts w:eastAsia="Times New Roman"/>
          <w:b/>
          <w:bCs/>
          <w:color w:val="000000"/>
          <w:sz w:val="16"/>
          <w:szCs w:val="16"/>
        </w:rPr>
        <w:t>Noodles &amp; Company</w:t>
      </w:r>
    </w:p>
    <w:p w:rsidR="00000000" w:rsidRDefault="00BC22AF">
      <w:pPr>
        <w:jc w:val="center"/>
        <w:divId w:val="835613913"/>
        <w:rPr>
          <w:rFonts w:eastAsia="Times New Roman"/>
        </w:rPr>
      </w:pPr>
      <w:r>
        <w:rPr>
          <w:rFonts w:eastAsia="Times New Roman"/>
          <w:b/>
          <w:bCs/>
          <w:color w:val="000000"/>
          <w:sz w:val="16"/>
          <w:szCs w:val="16"/>
        </w:rPr>
        <w:t>Condensed Consolidated Statements of Stockholders’ Equity</w:t>
      </w:r>
    </w:p>
    <w:p w:rsidR="00000000" w:rsidRDefault="00BC22AF">
      <w:pPr>
        <w:jc w:val="center"/>
        <w:divId w:val="1280649848"/>
        <w:rPr>
          <w:rFonts w:eastAsia="Times New Roman"/>
        </w:rPr>
      </w:pPr>
      <w:r>
        <w:rPr>
          <w:rFonts w:eastAsia="Times New Roman"/>
          <w:b/>
          <w:bCs/>
          <w:color w:val="000000"/>
          <w:sz w:val="16"/>
          <w:szCs w:val="16"/>
        </w:rPr>
        <w:t>(in thousands, except share data, unaudited)</w:t>
      </w:r>
    </w:p>
    <w:tbl>
      <w:tblPr>
        <w:tblW w:w="4994" w:type="pct"/>
        <w:jc w:val="center"/>
        <w:tblCellMar>
          <w:top w:w="15" w:type="dxa"/>
          <w:left w:w="15" w:type="dxa"/>
          <w:bottom w:w="15" w:type="dxa"/>
          <w:right w:w="15" w:type="dxa"/>
        </w:tblCellMar>
        <w:tblLook w:val="04A0" w:firstRow="1" w:lastRow="0" w:firstColumn="1" w:lastColumn="0" w:noHBand="0" w:noVBand="1"/>
      </w:tblPr>
      <w:tblGrid>
        <w:gridCol w:w="39"/>
        <w:gridCol w:w="1710"/>
        <w:gridCol w:w="38"/>
        <w:gridCol w:w="36"/>
        <w:gridCol w:w="36"/>
        <w:gridCol w:w="36"/>
        <w:gridCol w:w="82"/>
        <w:gridCol w:w="698"/>
        <w:gridCol w:w="37"/>
        <w:gridCol w:w="37"/>
        <w:gridCol w:w="36"/>
        <w:gridCol w:w="36"/>
        <w:gridCol w:w="101"/>
        <w:gridCol w:w="533"/>
        <w:gridCol w:w="36"/>
        <w:gridCol w:w="36"/>
        <w:gridCol w:w="36"/>
        <w:gridCol w:w="36"/>
        <w:gridCol w:w="73"/>
        <w:gridCol w:w="627"/>
        <w:gridCol w:w="36"/>
        <w:gridCol w:w="36"/>
        <w:gridCol w:w="36"/>
        <w:gridCol w:w="36"/>
        <w:gridCol w:w="100"/>
        <w:gridCol w:w="547"/>
        <w:gridCol w:w="36"/>
        <w:gridCol w:w="36"/>
        <w:gridCol w:w="36"/>
        <w:gridCol w:w="36"/>
        <w:gridCol w:w="101"/>
        <w:gridCol w:w="727"/>
        <w:gridCol w:w="36"/>
        <w:gridCol w:w="36"/>
        <w:gridCol w:w="36"/>
        <w:gridCol w:w="36"/>
        <w:gridCol w:w="110"/>
        <w:gridCol w:w="827"/>
        <w:gridCol w:w="36"/>
        <w:gridCol w:w="36"/>
        <w:gridCol w:w="36"/>
        <w:gridCol w:w="36"/>
        <w:gridCol w:w="101"/>
        <w:gridCol w:w="872"/>
        <w:gridCol w:w="36"/>
      </w:tblGrid>
      <w:tr w:rsidR="00000000">
        <w:trPr>
          <w:divId w:val="2057005605"/>
          <w:jc w:val="center"/>
        </w:trPr>
        <w:tc>
          <w:tcPr>
            <w:tcW w:w="50" w:type="pct"/>
            <w:vAlign w:val="center"/>
            <w:hideMark/>
          </w:tcPr>
          <w:p w:rsidR="00000000" w:rsidRDefault="00BC22AF">
            <w:pPr>
              <w:jc w:val="center"/>
              <w:rPr>
                <w:rFonts w:eastAsia="Times New Roman"/>
              </w:rPr>
            </w:pPr>
          </w:p>
        </w:tc>
        <w:tc>
          <w:tcPr>
            <w:tcW w:w="135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1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43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1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43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1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43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1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43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1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479"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1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378"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1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432"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divId w:val="2057005605"/>
          <w:jc w:val="center"/>
        </w:trPr>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Fiscal Quarter Ended</w:t>
            </w:r>
          </w:p>
        </w:tc>
      </w:tr>
      <w:tr w:rsidR="00000000">
        <w:trPr>
          <w:divId w:val="2057005605"/>
          <w:trHeight w:val="240"/>
          <w:jc w:val="center"/>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Common Stoc</w:t>
            </w:r>
            <w:r>
              <w:rPr>
                <w:rFonts w:eastAsia="Times New Roman"/>
                <w:b/>
                <w:bCs/>
                <w:color w:val="000000"/>
                <w:sz w:val="16"/>
                <w:szCs w:val="16"/>
              </w:rPr>
              <w:t>k</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Treasury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 Additional Paid-In</w:t>
            </w:r>
            <w:r>
              <w:rPr>
                <w:rFonts w:eastAsia="Times New Roman"/>
                <w:b/>
                <w:bCs/>
                <w:color w:val="000000"/>
                <w:sz w:val="16"/>
                <w:szCs w:val="16"/>
              </w:rPr>
              <w:br/>
              <w:t>Capital</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trPr>
          <w:divId w:val="2057005605"/>
          <w:trHeight w:val="360"/>
          <w:jc w:val="center"/>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BC22AF">
            <w:pPr>
              <w:spacing w:after="100"/>
              <w:rPr>
                <w:rFonts w:eastAsia="Times New Roman"/>
              </w:rPr>
            </w:pPr>
          </w:p>
        </w:tc>
        <w:tc>
          <w:tcPr>
            <w:tcW w:w="0" w:type="auto"/>
            <w:gridSpan w:val="3"/>
            <w:vMerge/>
            <w:tcBorders>
              <w:top w:val="single" w:sz="8" w:space="0" w:color="000000"/>
            </w:tcBorders>
            <w:vAlign w:val="center"/>
            <w:hideMark/>
          </w:tcPr>
          <w:p w:rsidR="00000000" w:rsidRDefault="00BC22AF">
            <w:pPr>
              <w:spacing w:after="100"/>
              <w:rPr>
                <w:rFonts w:eastAsia="Times New Roman"/>
              </w:rPr>
            </w:pPr>
          </w:p>
        </w:tc>
        <w:tc>
          <w:tcPr>
            <w:tcW w:w="0" w:type="auto"/>
            <w:gridSpan w:val="3"/>
            <w:vMerge/>
            <w:tcBorders>
              <w:top w:val="single" w:sz="8" w:space="0" w:color="000000"/>
            </w:tcBorders>
            <w:vAlign w:val="center"/>
            <w:hideMark/>
          </w:tcPr>
          <w:p w:rsidR="00000000" w:rsidRDefault="00BC22AF">
            <w:pPr>
              <w:spacing w:after="100"/>
              <w:rPr>
                <w:rFonts w:eastAsia="Times New Roman"/>
              </w:rPr>
            </w:pPr>
          </w:p>
        </w:tc>
        <w:tc>
          <w:tcPr>
            <w:tcW w:w="0" w:type="auto"/>
            <w:gridSpan w:val="3"/>
            <w:vMerge/>
            <w:tcBorders>
              <w:top w:val="single" w:sz="8" w:space="0" w:color="000000"/>
            </w:tcBorders>
            <w:vAlign w:val="center"/>
            <w:hideMark/>
          </w:tcPr>
          <w:p w:rsidR="00000000" w:rsidRDefault="00BC22AF">
            <w:pPr>
              <w:spacing w:after="100"/>
              <w:rPr>
                <w:rFonts w:eastAsia="Times New Roman"/>
              </w:rPr>
            </w:pPr>
          </w:p>
        </w:tc>
        <w:tc>
          <w:tcPr>
            <w:tcW w:w="0" w:type="auto"/>
            <w:gridSpan w:val="3"/>
            <w:vMerge/>
            <w:tcBorders>
              <w:top w:val="single" w:sz="8" w:space="0" w:color="000000"/>
            </w:tcBorders>
            <w:vAlign w:val="center"/>
            <w:hideMark/>
          </w:tcPr>
          <w:p w:rsidR="00000000" w:rsidRDefault="00BC22AF">
            <w:pPr>
              <w:spacing w:after="100"/>
              <w:rPr>
                <w:rFonts w:eastAsia="Times New Roman"/>
              </w:rPr>
            </w:pPr>
          </w:p>
        </w:tc>
      </w:tr>
      <w:tr w:rsidR="00BC22AF">
        <w:trPr>
          <w:divId w:val="2057005605"/>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Balance—March 29, 2022</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48,258,594 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483 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208,065 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(141,503)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32,045 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2057005605"/>
          <w:jc w:val="center"/>
        </w:trPr>
        <w:tc>
          <w:tcPr>
            <w:tcW w:w="0" w:type="auto"/>
            <w:gridSpan w:val="3"/>
            <w:shd w:val="clear" w:color="auto" w:fill="FFFF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Stock plan transactions and other</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125,599 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(19)</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w:t>
            </w:r>
            <w:r>
              <w:rPr>
                <w:rFonts w:eastAsia="Times New Roman"/>
                <w:color w:val="000000"/>
                <w:sz w:val="16"/>
                <w:szCs w:val="16"/>
              </w:rPr>
              <w:t>18)</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2057005605"/>
          <w:jc w:val="center"/>
        </w:trPr>
        <w:tc>
          <w:tcPr>
            <w:tcW w:w="0" w:type="auto"/>
            <w:gridSpan w:val="3"/>
            <w:shd w:val="clear" w:color="auto" w:fill="CCEE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1,515 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1,515 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2057005605"/>
          <w:jc w:val="center"/>
        </w:trPr>
        <w:tc>
          <w:tcPr>
            <w:tcW w:w="0" w:type="auto"/>
            <w:gridSpan w:val="3"/>
            <w:shd w:val="clear" w:color="auto" w:fill="FFFF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1,345 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1,345 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BC22AF">
        <w:trPr>
          <w:divId w:val="2057005605"/>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Balance—June 28, 2022</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48,384,193 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484 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209,561 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(140,158)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34,887 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2057005605"/>
          <w:trHeight w:val="180"/>
          <w:jc w:val="center"/>
        </w:trPr>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BC22AF">
        <w:trPr>
          <w:divId w:val="2057005605"/>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Balance—March 30, 2021</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47,890,488 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479 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2,423,871 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(35,000)</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203,362 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(140,716)</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28,125 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2057005605"/>
          <w:jc w:val="center"/>
        </w:trPr>
        <w:tc>
          <w:tcPr>
            <w:tcW w:w="0" w:type="auto"/>
            <w:gridSpan w:val="3"/>
            <w:shd w:val="clear" w:color="auto" w:fill="FFFF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lastRenderedPageBreak/>
              <w:t>Stock plan transactions and other</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121,273 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55 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56 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2057005605"/>
          <w:jc w:val="center"/>
        </w:trPr>
        <w:tc>
          <w:tcPr>
            <w:tcW w:w="0" w:type="auto"/>
            <w:gridSpan w:val="3"/>
            <w:shd w:val="clear" w:color="auto" w:fill="CCEE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1,579 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1,579 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2057005605"/>
          <w:jc w:val="center"/>
        </w:trPr>
        <w:tc>
          <w:tcPr>
            <w:tcW w:w="0" w:type="auto"/>
            <w:gridSpan w:val="3"/>
            <w:shd w:val="clear" w:color="auto" w:fill="FFFF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5,683 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5,683 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BC22AF">
        <w:trPr>
          <w:divId w:val="2057005605"/>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Balance—June 29, 2021</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48,011,761 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480 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204,996 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(135,033)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35,443 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2057005605"/>
          <w:trHeight w:val="180"/>
          <w:jc w:val="center"/>
        </w:trPr>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rPr>
          <w:divId w:val="2057005605"/>
          <w:jc w:val="center"/>
        </w:trPr>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9"/>
            <w:shd w:val="clear" w:color="auto" w:fill="FFFFFF"/>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Two Fiscal Quarters Ended</w:t>
            </w:r>
          </w:p>
        </w:tc>
      </w:tr>
      <w:tr w:rsidR="00000000">
        <w:trPr>
          <w:divId w:val="2057005605"/>
          <w:trHeight w:val="240"/>
          <w:jc w:val="center"/>
        </w:trPr>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Common Stoc</w:t>
            </w:r>
            <w:r>
              <w:rPr>
                <w:rFonts w:eastAsia="Times New Roman"/>
                <w:b/>
                <w:bCs/>
                <w:color w:val="000000"/>
                <w:sz w:val="16"/>
                <w:szCs w:val="16"/>
              </w:rPr>
              <w:t>k</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Treasury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 Additional Paid-In</w:t>
            </w:r>
            <w:r>
              <w:rPr>
                <w:rFonts w:eastAsia="Times New Roman"/>
                <w:b/>
                <w:bCs/>
                <w:color w:val="000000"/>
                <w:sz w:val="16"/>
                <w:szCs w:val="16"/>
              </w:rPr>
              <w:br/>
              <w:t>Capital</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trPr>
          <w:divId w:val="2057005605"/>
          <w:trHeight w:val="360"/>
          <w:jc w:val="center"/>
        </w:trPr>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BC22AF">
            <w:pPr>
              <w:spacing w:after="100"/>
              <w:rPr>
                <w:rFonts w:eastAsia="Times New Roman"/>
              </w:rPr>
            </w:pPr>
          </w:p>
        </w:tc>
        <w:tc>
          <w:tcPr>
            <w:tcW w:w="0" w:type="auto"/>
            <w:gridSpan w:val="3"/>
            <w:vMerge/>
            <w:tcBorders>
              <w:top w:val="single" w:sz="8" w:space="0" w:color="000000"/>
            </w:tcBorders>
            <w:vAlign w:val="center"/>
            <w:hideMark/>
          </w:tcPr>
          <w:p w:rsidR="00000000" w:rsidRDefault="00BC22AF">
            <w:pPr>
              <w:spacing w:after="100"/>
              <w:rPr>
                <w:rFonts w:eastAsia="Times New Roman"/>
              </w:rPr>
            </w:pPr>
          </w:p>
        </w:tc>
        <w:tc>
          <w:tcPr>
            <w:tcW w:w="0" w:type="auto"/>
            <w:gridSpan w:val="3"/>
            <w:vMerge/>
            <w:tcBorders>
              <w:top w:val="single" w:sz="8" w:space="0" w:color="000000"/>
            </w:tcBorders>
            <w:vAlign w:val="center"/>
            <w:hideMark/>
          </w:tcPr>
          <w:p w:rsidR="00000000" w:rsidRDefault="00BC22AF">
            <w:pPr>
              <w:spacing w:after="100"/>
              <w:rPr>
                <w:rFonts w:eastAsia="Times New Roman"/>
              </w:rPr>
            </w:pPr>
          </w:p>
        </w:tc>
        <w:tc>
          <w:tcPr>
            <w:tcW w:w="0" w:type="auto"/>
            <w:gridSpan w:val="3"/>
            <w:vMerge/>
            <w:tcBorders>
              <w:top w:val="single" w:sz="8" w:space="0" w:color="000000"/>
            </w:tcBorders>
            <w:vAlign w:val="center"/>
            <w:hideMark/>
          </w:tcPr>
          <w:p w:rsidR="00000000" w:rsidRDefault="00BC22AF">
            <w:pPr>
              <w:spacing w:after="100"/>
              <w:rPr>
                <w:rFonts w:eastAsia="Times New Roman"/>
              </w:rPr>
            </w:pPr>
          </w:p>
        </w:tc>
        <w:tc>
          <w:tcPr>
            <w:tcW w:w="0" w:type="auto"/>
            <w:gridSpan w:val="3"/>
            <w:vMerge/>
            <w:tcBorders>
              <w:top w:val="single" w:sz="8" w:space="0" w:color="000000"/>
            </w:tcBorders>
            <w:vAlign w:val="center"/>
            <w:hideMark/>
          </w:tcPr>
          <w:p w:rsidR="00000000" w:rsidRDefault="00BC22AF">
            <w:pPr>
              <w:spacing w:after="100"/>
              <w:rPr>
                <w:rFonts w:eastAsia="Times New Roman"/>
              </w:rPr>
            </w:pPr>
          </w:p>
        </w:tc>
      </w:tr>
      <w:tr w:rsidR="00BC22AF">
        <w:trPr>
          <w:divId w:val="2057005605"/>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Balance—</w:t>
            </w:r>
            <w:r>
              <w:rPr>
                <w:rFonts w:eastAsia="Times New Roman"/>
                <w:color w:val="000000"/>
                <w:sz w:val="16"/>
                <w:szCs w:val="16"/>
              </w:rPr>
              <w:t>December 28, 2021</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48,125,151 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481 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207,226 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(135,074)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37,633 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2057005605"/>
          <w:jc w:val="center"/>
        </w:trPr>
        <w:tc>
          <w:tcPr>
            <w:tcW w:w="0" w:type="auto"/>
            <w:gridSpan w:val="3"/>
            <w:shd w:val="clear" w:color="auto" w:fill="FFFF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Stock plan transactions and other</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259,042 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(320)</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(317)</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2057005605"/>
          <w:jc w:val="center"/>
        </w:trPr>
        <w:tc>
          <w:tcPr>
            <w:tcW w:w="0" w:type="auto"/>
            <w:gridSpan w:val="3"/>
            <w:shd w:val="clear" w:color="auto" w:fill="CCEE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2,655 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2,655 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2057005605"/>
          <w:jc w:val="center"/>
        </w:trPr>
        <w:tc>
          <w:tcPr>
            <w:tcW w:w="0" w:type="auto"/>
            <w:gridSpan w:val="3"/>
            <w:shd w:val="clear" w:color="auto" w:fill="FFFF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Net loss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(5,084)</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(5,084)</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BC22AF">
        <w:trPr>
          <w:divId w:val="2057005605"/>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Balance—June 28, 2022</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48,384,193 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484 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w:t>
            </w: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209,561 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(140,158)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34,887 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2057005605"/>
          <w:trHeight w:val="120"/>
          <w:jc w:val="center"/>
        </w:trPr>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BC22AF">
        <w:trPr>
          <w:divId w:val="2057005605"/>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Balance—December 29, 2020</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46,807,587 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468 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2,423,871 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(35,000)</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202,970 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(138,739)</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29,699 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2057005605"/>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divId w:val="1298142359"/>
              <w:rPr>
                <w:rFonts w:eastAsia="Times New Roman"/>
              </w:rPr>
            </w:pPr>
            <w:r>
              <w:rPr>
                <w:rFonts w:eastAsia="Times New Roman"/>
                <w:i/>
                <w:iCs/>
                <w:color w:val="000000"/>
                <w:sz w:val="16"/>
                <w:szCs w:val="16"/>
              </w:rPr>
              <w:t>L</w:t>
            </w:r>
            <w:r>
              <w:rPr>
                <w:rFonts w:eastAsia="Times New Roman"/>
                <w:color w:val="000000"/>
                <w:sz w:val="16"/>
                <w:szCs w:val="16"/>
              </w:rPr>
              <w:t xml:space="preserve"> </w:t>
            </w:r>
            <w:r>
              <w:rPr>
                <w:rFonts w:eastAsia="Times New Roman"/>
                <w:color w:val="000000"/>
                <w:sz w:val="16"/>
                <w:szCs w:val="16"/>
              </w:rPr>
              <w:t>Catterton warrants exercised</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975,458 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(10)</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2057005605"/>
          <w:jc w:val="center"/>
        </w:trPr>
        <w:tc>
          <w:tcPr>
            <w:tcW w:w="0" w:type="auto"/>
            <w:gridSpan w:val="3"/>
            <w:shd w:val="clear" w:color="auto" w:fill="CCEE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Stock plan transactions and other</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228,716 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(281)</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(279)</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2057005605"/>
          <w:jc w:val="center"/>
        </w:trPr>
        <w:tc>
          <w:tcPr>
            <w:tcW w:w="0" w:type="auto"/>
            <w:gridSpan w:val="3"/>
            <w:shd w:val="clear" w:color="auto" w:fill="FFFF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2,317 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2,317 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2057005605"/>
          <w:jc w:val="center"/>
        </w:trPr>
        <w:tc>
          <w:tcPr>
            <w:tcW w:w="0" w:type="auto"/>
            <w:gridSpan w:val="3"/>
            <w:shd w:val="clear" w:color="auto" w:fill="CCEE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Net income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3,706 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3,706 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BC22AF">
        <w:trPr>
          <w:divId w:val="2057005605"/>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16"/>
                <w:szCs w:val="16"/>
              </w:rPr>
              <w:t>Balance—June 29, 2021</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48,011,761 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480 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w:t>
            </w:r>
            <w:r>
              <w:rPr>
                <w:rFonts w:eastAsia="Times New Roman"/>
                <w:color w:val="000000"/>
                <w:sz w:val="16"/>
                <w:szCs w:val="16"/>
              </w:rPr>
              <w:t>35,000)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204,996 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(135,033)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16"/>
                <w:szCs w:val="16"/>
              </w:rPr>
              <w:t>35,443 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bl>
    <w:p w:rsidR="00000000" w:rsidRDefault="00BC22AF">
      <w:pPr>
        <w:divId w:val="902832484"/>
        <w:rPr>
          <w:rFonts w:eastAsia="Times New Roman"/>
        </w:rPr>
      </w:pPr>
      <w:r>
        <w:rPr>
          <w:rFonts w:eastAsia="Times New Roman"/>
          <w:color w:val="000000"/>
          <w:sz w:val="16"/>
          <w:szCs w:val="16"/>
        </w:rPr>
        <w:t>_____________</w:t>
      </w:r>
    </w:p>
    <w:p w:rsidR="00000000" w:rsidRDefault="00BC22AF">
      <w:pPr>
        <w:ind w:hanging="720"/>
        <w:divId w:val="2044742433"/>
        <w:rPr>
          <w:rFonts w:eastAsia="Times New Roman"/>
        </w:rPr>
      </w:pPr>
      <w:r>
        <w:rPr>
          <w:rFonts w:eastAsia="Times New Roman"/>
          <w:color w:val="000000"/>
          <w:sz w:val="16"/>
          <w:szCs w:val="16"/>
        </w:rPr>
        <w:t>(1)Unless otherwise noted, activity relates to Class A common stock.</w:t>
      </w:r>
    </w:p>
    <w:p w:rsidR="00000000" w:rsidRDefault="00BC22AF">
      <w:pPr>
        <w:divId w:val="1188715116"/>
        <w:rPr>
          <w:rFonts w:eastAsia="Times New Roman"/>
        </w:rPr>
      </w:pPr>
    </w:p>
    <w:p w:rsidR="00000000" w:rsidRDefault="00BC22AF">
      <w:pPr>
        <w:jc w:val="center"/>
        <w:divId w:val="2096121537"/>
        <w:rPr>
          <w:rFonts w:eastAsia="Times New Roman"/>
        </w:rPr>
      </w:pPr>
      <w:r>
        <w:rPr>
          <w:rFonts w:eastAsia="Times New Roman"/>
          <w:i/>
          <w:iCs/>
          <w:color w:val="000000"/>
          <w:sz w:val="16"/>
          <w:szCs w:val="16"/>
        </w:rPr>
        <w:t>See accompanying notes to condensed consolidated financial statements.</w:t>
      </w:r>
    </w:p>
    <w:p w:rsidR="00000000" w:rsidRDefault="00BC22AF">
      <w:pPr>
        <w:jc w:val="center"/>
        <w:divId w:val="10495588"/>
        <w:rPr>
          <w:rFonts w:eastAsia="Times New Roman"/>
        </w:rPr>
      </w:pPr>
      <w:r>
        <w:rPr>
          <w:rFonts w:eastAsia="Times New Roman"/>
          <w:color w:val="000000"/>
          <w:sz w:val="20"/>
          <w:szCs w:val="20"/>
        </w:rPr>
        <w:t>4</w:t>
      </w:r>
    </w:p>
    <w:p w:rsidR="00000000" w:rsidRDefault="00BC22AF">
      <w:pPr>
        <w:rPr>
          <w:rFonts w:eastAsia="Times New Roman"/>
        </w:rPr>
      </w:pPr>
      <w:r>
        <w:rPr>
          <w:rFonts w:eastAsia="Times New Roman"/>
        </w:rPr>
        <w:pict>
          <v:rect id="_x0000_i1029" style="width:0;height:1.5pt" o:hralign="center" o:hrstd="t" o:hr="t" fillcolor="#a0a0a0" stroked="f"/>
        </w:pict>
      </w:r>
    </w:p>
    <w:p w:rsidR="00000000" w:rsidRDefault="00BC22AF">
      <w:pPr>
        <w:divId w:val="252128380"/>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center"/>
        <w:divId w:val="639306905"/>
        <w:rPr>
          <w:rFonts w:eastAsia="Times New Roman"/>
        </w:rPr>
      </w:pPr>
      <w:r>
        <w:rPr>
          <w:rFonts w:eastAsia="Times New Roman"/>
          <w:b/>
          <w:bCs/>
          <w:color w:val="000000"/>
          <w:sz w:val="20"/>
          <w:szCs w:val="20"/>
        </w:rPr>
        <w:t>Noodles &amp; Company</w:t>
      </w:r>
    </w:p>
    <w:p w:rsidR="00000000" w:rsidRDefault="00BC22AF">
      <w:pPr>
        <w:jc w:val="center"/>
        <w:divId w:val="1312521502"/>
        <w:rPr>
          <w:rFonts w:eastAsia="Times New Roman"/>
        </w:rPr>
      </w:pPr>
      <w:r>
        <w:rPr>
          <w:rFonts w:eastAsia="Times New Roman"/>
          <w:b/>
          <w:bCs/>
          <w:color w:val="000000"/>
          <w:sz w:val="20"/>
          <w:szCs w:val="20"/>
        </w:rPr>
        <w:t>Condensed Consolidated Statements of Cash Flows</w:t>
      </w:r>
    </w:p>
    <w:p w:rsidR="00000000" w:rsidRDefault="00BC22AF">
      <w:pPr>
        <w:jc w:val="center"/>
        <w:divId w:val="421417627"/>
        <w:rPr>
          <w:rFonts w:eastAsia="Times New Roman"/>
        </w:rPr>
      </w:pPr>
      <w:r>
        <w:rPr>
          <w:rFonts w:eastAsia="Times New Roman"/>
          <w:b/>
          <w:bCs/>
          <w:color w:val="000000"/>
          <w:sz w:val="20"/>
          <w:szCs w:val="20"/>
        </w:rPr>
        <w:t>(in thousands, 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5924"/>
        <w:gridCol w:w="39"/>
        <w:gridCol w:w="36"/>
        <w:gridCol w:w="36"/>
        <w:gridCol w:w="36"/>
        <w:gridCol w:w="120"/>
        <w:gridCol w:w="881"/>
        <w:gridCol w:w="36"/>
        <w:gridCol w:w="36"/>
        <w:gridCol w:w="36"/>
        <w:gridCol w:w="36"/>
        <w:gridCol w:w="120"/>
        <w:gridCol w:w="881"/>
        <w:gridCol w:w="36"/>
      </w:tblGrid>
      <w:tr w:rsidR="00000000">
        <w:trPr>
          <w:jc w:val="center"/>
        </w:trPr>
        <w:tc>
          <w:tcPr>
            <w:tcW w:w="50" w:type="pct"/>
            <w:vAlign w:val="center"/>
            <w:hideMark/>
          </w:tcPr>
          <w:p w:rsidR="00000000" w:rsidRDefault="00BC22AF">
            <w:pPr>
              <w:jc w:val="center"/>
              <w:rPr>
                <w:rFonts w:eastAsia="Times New Roman"/>
              </w:rPr>
            </w:pPr>
          </w:p>
        </w:tc>
        <w:tc>
          <w:tcPr>
            <w:tcW w:w="3598"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Two Fiscal Quarters Ended</w:t>
            </w:r>
          </w:p>
        </w:tc>
      </w:tr>
      <w:tr w:rsidR="00000000">
        <w:trPr>
          <w:jc w:val="center"/>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20"/>
                <w:szCs w:val="20"/>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Net (loss) income</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(5,084)</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3,706 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Adjustments to reconcile net (loss)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11,484 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11,163 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Deferred income taxes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1,363 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898 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Amortization of debt issuance costs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223 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222 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Stock-based compensation</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2,618 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2,283 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Gain on insurance proceeds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(406)</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xml:space="preserve">Accounts receivable </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(521)</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Inventories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(588)</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Prepaid expenses and other assets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768 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(961)</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(438)</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3,060 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Income taxes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(103)</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Operating lease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(1,741)</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830 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Accrued expenses and other liabilities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(2,364)</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2,983 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Net cash provided by operating activities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6,043 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23,246 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20"/>
                <w:szCs w:val="20"/>
              </w:rPr>
              <w:t>Investing activities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Purchases of property and equipment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(16,724)</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(7,476)</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vAlign w:val="center"/>
            <w:hideMark/>
          </w:tcPr>
          <w:p w:rsidR="00000000" w:rsidRDefault="00BC22AF">
            <w:pPr>
              <w:spacing w:after="100"/>
              <w:jc w:val="right"/>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Proceeds from restaurant divestitures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1,577 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Net cash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(15,147)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(7,476)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20"/>
                <w:szCs w:val="20"/>
              </w:rPr>
              <w:t>Financing activities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Net borrowings from swing line loan</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509 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Proceeds from borrowings on long-term debt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10,600 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Payments on long-term debt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(1,125)</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(5,042)</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Payments on finance leases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(1,002)</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(965)</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Debt issuance costs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Stock plan transactions and tax withholding on share-based compensation awards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(317)</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(279)</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Net cash provided by (used in) financing activities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8,638 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(6,286)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Net (decrease) increase in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9,484 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20"/>
                <w:szCs w:val="20"/>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Beginning of period</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2,255 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7,840 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End of period</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1,789 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17,324 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bl>
    <w:p w:rsidR="00000000" w:rsidRDefault="00BC22AF">
      <w:pPr>
        <w:ind w:firstLine="360"/>
        <w:jc w:val="center"/>
        <w:divId w:val="349720519"/>
        <w:rPr>
          <w:rFonts w:eastAsia="Times New Roman"/>
        </w:rPr>
      </w:pPr>
      <w:r>
        <w:rPr>
          <w:rFonts w:eastAsia="Times New Roman"/>
          <w:i/>
          <w:iCs/>
          <w:color w:val="000000"/>
          <w:sz w:val="20"/>
          <w:szCs w:val="20"/>
        </w:rPr>
        <w:t>S</w:t>
      </w:r>
      <w:r>
        <w:rPr>
          <w:rFonts w:eastAsia="Times New Roman"/>
          <w:i/>
          <w:iCs/>
          <w:color w:val="000000"/>
          <w:sz w:val="20"/>
          <w:szCs w:val="20"/>
        </w:rPr>
        <w:t>ee accompanying notes to condensed consolidated financial statements.</w:t>
      </w:r>
    </w:p>
    <w:p w:rsidR="00000000" w:rsidRDefault="00BC22AF">
      <w:pPr>
        <w:jc w:val="center"/>
        <w:divId w:val="581111958"/>
        <w:rPr>
          <w:rFonts w:eastAsia="Times New Roman"/>
        </w:rPr>
      </w:pPr>
      <w:r>
        <w:rPr>
          <w:rFonts w:eastAsia="Times New Roman"/>
          <w:color w:val="000000"/>
          <w:sz w:val="20"/>
          <w:szCs w:val="20"/>
        </w:rPr>
        <w:t>5</w:t>
      </w:r>
    </w:p>
    <w:p w:rsidR="00000000" w:rsidRDefault="00BC22AF">
      <w:pPr>
        <w:rPr>
          <w:rFonts w:eastAsia="Times New Roman"/>
        </w:rPr>
      </w:pPr>
      <w:r>
        <w:rPr>
          <w:rFonts w:eastAsia="Times New Roman"/>
        </w:rPr>
        <w:pict>
          <v:rect id="_x0000_i1030" style="width:0;height:1.5pt" o:hralign="center" o:hrstd="t" o:hr="t" fillcolor="#a0a0a0" stroked="f"/>
        </w:pict>
      </w:r>
    </w:p>
    <w:p w:rsidR="00000000" w:rsidRDefault="00BC22AF">
      <w:pPr>
        <w:divId w:val="955218101"/>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center"/>
        <w:divId w:val="1652245764"/>
        <w:rPr>
          <w:rFonts w:eastAsia="Times New Roman"/>
        </w:rPr>
      </w:pPr>
      <w:r>
        <w:rPr>
          <w:rFonts w:eastAsia="Times New Roman"/>
          <w:b/>
          <w:bCs/>
          <w:color w:val="000000"/>
          <w:sz w:val="20"/>
          <w:szCs w:val="20"/>
        </w:rPr>
        <w:t>NOODLES &amp; COMPANY</w:t>
      </w:r>
    </w:p>
    <w:p w:rsidR="00000000" w:rsidRDefault="00BC22AF">
      <w:pPr>
        <w:jc w:val="center"/>
        <w:divId w:val="1032194141"/>
        <w:rPr>
          <w:rFonts w:eastAsia="Times New Roman"/>
        </w:rPr>
      </w:pPr>
      <w:r>
        <w:rPr>
          <w:rFonts w:eastAsia="Times New Roman"/>
          <w:b/>
          <w:bCs/>
          <w:color w:val="000000"/>
          <w:sz w:val="20"/>
          <w:szCs w:val="20"/>
        </w:rPr>
        <w:t>Notes to Condensed Consolidated Financial Statements</w:t>
      </w:r>
    </w:p>
    <w:p w:rsidR="00000000" w:rsidRDefault="00BC22AF">
      <w:pPr>
        <w:jc w:val="center"/>
        <w:divId w:val="1960869828"/>
        <w:rPr>
          <w:rFonts w:eastAsia="Times New Roman"/>
        </w:rPr>
      </w:pPr>
      <w:r>
        <w:rPr>
          <w:rFonts w:eastAsia="Times New Roman"/>
          <w:b/>
          <w:bCs/>
          <w:color w:val="000000"/>
          <w:sz w:val="20"/>
          <w:szCs w:val="20"/>
        </w:rPr>
        <w:t>(unaudited)</w:t>
      </w:r>
    </w:p>
    <w:p w:rsidR="00000000" w:rsidRDefault="00BC22AF">
      <w:pPr>
        <w:divId w:val="901670232"/>
        <w:rPr>
          <w:rFonts w:eastAsia="Times New Roman"/>
        </w:rPr>
      </w:pPr>
    </w:p>
    <w:p w:rsidR="00000000" w:rsidRDefault="00BC22AF">
      <w:pPr>
        <w:jc w:val="both"/>
        <w:rPr>
          <w:rFonts w:eastAsia="Times New Roman"/>
        </w:rPr>
      </w:pPr>
      <w:r>
        <w:rPr>
          <w:rFonts w:eastAsia="Times New Roman"/>
          <w:b/>
          <w:bCs/>
          <w:color w:val="000000"/>
          <w:sz w:val="20"/>
          <w:szCs w:val="20"/>
        </w:rPr>
        <w:t>1. Business Summary and Basis of Presentation</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Business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Noodles &amp; Company (the “Company”), a Delaware corporation, develops and operates fast casual restaurants that serve globally inspi</w:t>
      </w:r>
      <w:r>
        <w:rPr>
          <w:rFonts w:eastAsia="Times New Roman"/>
          <w:color w:val="000000"/>
          <w:sz w:val="20"/>
          <w:szCs w:val="20"/>
        </w:rPr>
        <w:t>red noodle and pasta dishes, soups, salads and appetizers. As of June 28, 2022, the Company had 456 restaurants system-wide in 31 states, comprised of 363 company-owned restaurants and 93 franchise restaurants. The Company operates its business as one oper</w:t>
      </w:r>
      <w:r>
        <w:rPr>
          <w:rFonts w:eastAsia="Times New Roman"/>
          <w:color w:val="000000"/>
          <w:sz w:val="20"/>
          <w:szCs w:val="20"/>
        </w:rPr>
        <w:t xml:space="preserve">ating and reportable segment. </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 xml:space="preserve">Basis of Presentation </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The accompanying unaudited condensed consolidated financial statements include the accounts of Noodles &amp; Company and its subsidiaries. All intercompany accounts and transactions have been eliminated</w:t>
      </w:r>
      <w:r>
        <w:rPr>
          <w:rFonts w:eastAsia="Times New Roman"/>
          <w:color w:val="000000"/>
          <w:sz w:val="20"/>
          <w:szCs w:val="20"/>
        </w:rPr>
        <w:t xml:space="preserve"> in consolidation. The accompanying interim unaudited condensed consolidated financial statements have been prepared by the Company pursuant to the rules and regulations of the Securities and Exchange Commission (the “SEC”). Accordingly, they do not includ</w:t>
      </w:r>
      <w:r>
        <w:rPr>
          <w:rFonts w:eastAsia="Times New Roman"/>
          <w:color w:val="000000"/>
          <w:sz w:val="20"/>
          <w:szCs w:val="20"/>
        </w:rPr>
        <w:t>e all the information and footnotes required by accounting principles generally accepted in the United States of America (“GAAP”) for complete financial statements. In the opinion of the Company, all adjustments considered necessary for the fair presentati</w:t>
      </w:r>
      <w:r>
        <w:rPr>
          <w:rFonts w:eastAsia="Times New Roman"/>
          <w:color w:val="000000"/>
          <w:sz w:val="20"/>
          <w:szCs w:val="20"/>
        </w:rPr>
        <w:t>on of the Company’s results of operations, financial position and cash flows for the periods presented have been included and are of a normal, recurring nature. The preparation of financial statements in conformity with GAAP requires management to make est</w:t>
      </w:r>
      <w:r>
        <w:rPr>
          <w:rFonts w:eastAsia="Times New Roman"/>
          <w:color w:val="000000"/>
          <w:sz w:val="20"/>
          <w:szCs w:val="20"/>
        </w:rPr>
        <w:t>imates and assumptions that affect the reported amounts of assets and liabilities and disclosure of contingent assets and liabilities at the date of the financial statements and the reported amounts of revenues and expenses during the reporting period. The</w:t>
      </w:r>
      <w:r>
        <w:rPr>
          <w:rFonts w:eastAsia="Times New Roman"/>
          <w:color w:val="000000"/>
          <w:sz w:val="20"/>
          <w:szCs w:val="20"/>
        </w:rPr>
        <w:t xml:space="preserve"> results of operations for any interim period are not necessarily indicative of results for the full year. Certain information and footnote disclosures normally included in the Company’s annual consolidated financial statements on Form 10-K have been conde</w:t>
      </w:r>
      <w:r>
        <w:rPr>
          <w:rFonts w:eastAsia="Times New Roman"/>
          <w:color w:val="000000"/>
          <w:sz w:val="20"/>
          <w:szCs w:val="20"/>
        </w:rPr>
        <w:t>nsed or omitted. The condensed consolidated balance sheet as of December 28, 2021 was derived from audited financial statements. These financial statements should be read in conjunction with the audited financial statements and the related notes included i</w:t>
      </w:r>
      <w:r>
        <w:rPr>
          <w:rFonts w:eastAsia="Times New Roman"/>
          <w:color w:val="000000"/>
          <w:sz w:val="20"/>
          <w:szCs w:val="20"/>
        </w:rPr>
        <w:t>n the Company’s</w:t>
      </w:r>
      <w:r>
        <w:rPr>
          <w:rFonts w:eastAsia="Times New Roman"/>
          <w:i/>
          <w:iCs/>
          <w:color w:val="000000"/>
          <w:sz w:val="20"/>
          <w:szCs w:val="20"/>
        </w:rPr>
        <w:t xml:space="preserve"> </w:t>
      </w:r>
      <w:r>
        <w:rPr>
          <w:rFonts w:eastAsia="Times New Roman"/>
          <w:color w:val="000000"/>
          <w:sz w:val="20"/>
          <w:szCs w:val="20"/>
        </w:rPr>
        <w:t xml:space="preserve">Annual Report on Form 10-K for the fiscal year ended December 28, 2021. </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Fiscal Year</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The Company operates on a 52- or 53-week fiscal year ending on the Tuesday closest to December 31. The Company’s fiscal quarters each contain 13 operat</w:t>
      </w:r>
      <w:r>
        <w:rPr>
          <w:rFonts w:eastAsia="Times New Roman"/>
          <w:color w:val="000000"/>
          <w:sz w:val="20"/>
          <w:szCs w:val="20"/>
        </w:rPr>
        <w:t>ing weeks, with the exception of the fourth quarter of a 53-week fiscal year, which contains 14 operating weeks. Fiscal year 2022, which ends on January 3, 2023 contains 53 weeks and fiscal year 2021, which ended on December 28, 2021, contained 52 weeks. T</w:t>
      </w:r>
      <w:r>
        <w:rPr>
          <w:rFonts w:eastAsia="Times New Roman"/>
          <w:color w:val="000000"/>
          <w:sz w:val="20"/>
          <w:szCs w:val="20"/>
        </w:rPr>
        <w:t>he Company’s fiscal quarter that ended June 28, 2022 is referred to as the second quarter of 2022, and the fiscal quarter ended June 29, 2021 is referred to as the second quarter of 2021.</w:t>
      </w:r>
    </w:p>
    <w:p w:rsidR="00000000" w:rsidRDefault="00BC22AF">
      <w:pPr>
        <w:jc w:val="both"/>
        <w:rPr>
          <w:rFonts w:eastAsia="Times New Roman"/>
        </w:rPr>
      </w:pPr>
    </w:p>
    <w:p w:rsidR="00000000" w:rsidRDefault="00BC22AF">
      <w:pPr>
        <w:jc w:val="both"/>
        <w:divId w:val="169102837"/>
        <w:rPr>
          <w:rFonts w:eastAsia="Times New Roman"/>
        </w:rPr>
      </w:pPr>
      <w:r>
        <w:rPr>
          <w:rFonts w:eastAsia="Times New Roman"/>
          <w:b/>
          <w:bCs/>
          <w:i/>
          <w:iCs/>
          <w:color w:val="000000"/>
          <w:sz w:val="20"/>
          <w:szCs w:val="20"/>
        </w:rPr>
        <w:t>Recent Accounting Pronouncements</w:t>
      </w:r>
    </w:p>
    <w:p w:rsidR="00000000" w:rsidRDefault="00BC22AF">
      <w:pPr>
        <w:jc w:val="both"/>
        <w:divId w:val="1154300253"/>
        <w:rPr>
          <w:rFonts w:eastAsia="Times New Roman"/>
        </w:rPr>
      </w:pPr>
      <w:r>
        <w:rPr>
          <w:rFonts w:eastAsia="Times New Roman"/>
          <w:color w:val="000000"/>
          <w:sz w:val="20"/>
          <w:szCs w:val="20"/>
        </w:rPr>
        <w:t>In March 2020, the FASB issued AS</w:t>
      </w:r>
      <w:r>
        <w:rPr>
          <w:rFonts w:eastAsia="Times New Roman"/>
          <w:color w:val="000000"/>
          <w:sz w:val="20"/>
          <w:szCs w:val="20"/>
        </w:rPr>
        <w:t>U No. 2020-04, </w:t>
      </w:r>
      <w:r>
        <w:rPr>
          <w:rFonts w:eastAsia="Times New Roman"/>
          <w:i/>
          <w:iCs/>
          <w:color w:val="000000"/>
          <w:sz w:val="20"/>
          <w:szCs w:val="20"/>
        </w:rPr>
        <w:t xml:space="preserve">Facilitation of the Effects of Reference Rate Reform on Financial Reporting </w:t>
      </w:r>
      <w:r>
        <w:rPr>
          <w:rFonts w:eastAsia="Times New Roman"/>
          <w:color w:val="000000"/>
          <w:sz w:val="20"/>
          <w:szCs w:val="20"/>
        </w:rPr>
        <w:t>(“ASU 2020-04”). ASU 2020-04 is intended to provide temporary optional expedients and exceptions to the U.S. GAAP guidance on contract modifications and hedge accoun</w:t>
      </w:r>
      <w:r>
        <w:rPr>
          <w:rFonts w:eastAsia="Times New Roman"/>
          <w:color w:val="000000"/>
          <w:sz w:val="20"/>
          <w:szCs w:val="20"/>
        </w:rPr>
        <w:t>ting to ease the financial reporting burdens related to the expected market transition from the London Interbank Offered Rate (“LIBOR”) and other interbank offered rates to alternative reference rates. The Company may elect to apply the amendments prospect</w:t>
      </w:r>
      <w:r>
        <w:rPr>
          <w:rFonts w:eastAsia="Times New Roman"/>
          <w:color w:val="000000"/>
          <w:sz w:val="20"/>
          <w:szCs w:val="20"/>
        </w:rPr>
        <w:t>ively through December 31, 202</w:t>
      </w:r>
      <w:r>
        <w:rPr>
          <w:rFonts w:eastAsia="Times New Roman"/>
          <w:color w:val="000000"/>
          <w:sz w:val="20"/>
          <w:szCs w:val="20"/>
          <w:shd w:val="clear" w:color="auto" w:fill="FFFFFF"/>
        </w:rPr>
        <w:t>2. The Company intends to adopt this pronouncement in the third quarter of 2022. The adoption of this guidance will not have a material impact on the Company’s consolidated financial statements and related disclosures.</w:t>
      </w:r>
    </w:p>
    <w:p w:rsidR="00000000" w:rsidRDefault="00BC22AF">
      <w:pPr>
        <w:jc w:val="both"/>
        <w:rPr>
          <w:rFonts w:eastAsia="Times New Roman"/>
        </w:rPr>
      </w:pPr>
    </w:p>
    <w:p w:rsidR="00000000" w:rsidRDefault="00BC22AF">
      <w:pPr>
        <w:jc w:val="center"/>
        <w:divId w:val="1273049669"/>
        <w:rPr>
          <w:rFonts w:eastAsia="Times New Roman"/>
        </w:rPr>
      </w:pPr>
      <w:r>
        <w:rPr>
          <w:rFonts w:eastAsia="Times New Roman"/>
          <w:color w:val="000000"/>
          <w:sz w:val="20"/>
          <w:szCs w:val="20"/>
        </w:rPr>
        <w:t>6</w:t>
      </w:r>
    </w:p>
    <w:p w:rsidR="00000000" w:rsidRDefault="00BC22AF">
      <w:pPr>
        <w:rPr>
          <w:rFonts w:eastAsia="Times New Roman"/>
        </w:rPr>
      </w:pPr>
      <w:r>
        <w:rPr>
          <w:rFonts w:eastAsia="Times New Roman"/>
        </w:rPr>
        <w:pict>
          <v:rect id="_x0000_i1031" style="width:0;height:1.5pt" o:hralign="center" o:hrstd="t" o:hr="t" fillcolor="#a0a0a0" stroked="f"/>
        </w:pict>
      </w:r>
    </w:p>
    <w:p w:rsidR="00000000" w:rsidRDefault="00BC22AF">
      <w:pPr>
        <w:divId w:val="935673663"/>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both"/>
        <w:rPr>
          <w:rFonts w:eastAsia="Times New Roman"/>
        </w:rPr>
      </w:pPr>
      <w:r>
        <w:rPr>
          <w:rFonts w:eastAsia="Times New Roman"/>
          <w:b/>
          <w:bCs/>
          <w:color w:val="000000"/>
          <w:sz w:val="20"/>
          <w:szCs w:val="20"/>
        </w:rPr>
        <w:t>2. Supplemental Financial Information</w:t>
      </w:r>
    </w:p>
    <w:p w:rsidR="00000000" w:rsidRDefault="00BC22AF">
      <w:pPr>
        <w:jc w:val="both"/>
        <w:rPr>
          <w:rFonts w:eastAsia="Times New Roman"/>
        </w:rPr>
      </w:pPr>
    </w:p>
    <w:p w:rsidR="00000000" w:rsidRDefault="00BC22AF">
      <w:pPr>
        <w:jc w:val="both"/>
        <w:divId w:val="1917739134"/>
        <w:rPr>
          <w:rFonts w:eastAsia="Times New Roman"/>
        </w:rPr>
      </w:pPr>
      <w:r>
        <w:rPr>
          <w:rFonts w:eastAsia="Times New Roman"/>
          <w:color w:val="000000"/>
          <w:sz w:val="20"/>
          <w:szCs w:val="20"/>
        </w:rPr>
        <w:t>Accounts receivable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10"/>
        <w:gridCol w:w="36"/>
        <w:gridCol w:w="36"/>
        <w:gridCol w:w="36"/>
        <w:gridCol w:w="36"/>
        <w:gridCol w:w="120"/>
        <w:gridCol w:w="1344"/>
        <w:gridCol w:w="36"/>
        <w:gridCol w:w="36"/>
        <w:gridCol w:w="36"/>
        <w:gridCol w:w="36"/>
        <w:gridCol w:w="121"/>
        <w:gridCol w:w="1236"/>
        <w:gridCol w:w="36"/>
      </w:tblGrid>
      <w:tr w:rsidR="00000000">
        <w:trPr>
          <w:divId w:val="1792481383"/>
        </w:trPr>
        <w:tc>
          <w:tcPr>
            <w:tcW w:w="50" w:type="pct"/>
            <w:vAlign w:val="center"/>
            <w:hideMark/>
          </w:tcPr>
          <w:p w:rsidR="00000000" w:rsidRDefault="00BC22AF">
            <w:pPr>
              <w:jc w:val="both"/>
              <w:rPr>
                <w:rFonts w:eastAsia="Times New Roman"/>
              </w:rPr>
            </w:pPr>
          </w:p>
        </w:tc>
        <w:tc>
          <w:tcPr>
            <w:tcW w:w="3107"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860"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794"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divId w:val="1792481383"/>
        </w:trPr>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2021</w:t>
            </w:r>
          </w:p>
        </w:tc>
      </w:tr>
      <w:tr w:rsidR="00000000">
        <w:trPr>
          <w:divId w:val="1792481383"/>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Delivery program receivables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1,432 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792481383"/>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Vendor rebate receivables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605 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695 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792481383"/>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jc w:val="both"/>
              <w:rPr>
                <w:rFonts w:eastAsia="Times New Roman"/>
              </w:rPr>
            </w:pPr>
            <w:r>
              <w:rPr>
                <w:rFonts w:eastAsia="Times New Roman"/>
                <w:color w:val="000000"/>
                <w:sz w:val="20"/>
                <w:szCs w:val="20"/>
              </w:rPr>
              <w:t>Franchise receivables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both"/>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958 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644 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792481383"/>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jc w:val="both"/>
              <w:rPr>
                <w:rFonts w:eastAsia="Times New Roman"/>
              </w:rPr>
            </w:pPr>
            <w:r>
              <w:rPr>
                <w:rFonts w:eastAsia="Times New Roman"/>
                <w:color w:val="000000"/>
                <w:sz w:val="20"/>
                <w:szCs w:val="20"/>
              </w:rPr>
              <w:t>Other receivables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both"/>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972 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1,152 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792481383"/>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Accounts receivable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3,967 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3,958 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bl>
    <w:p w:rsidR="00000000" w:rsidRDefault="00BC22AF">
      <w:pPr>
        <w:ind w:firstLine="360"/>
        <w:jc w:val="both"/>
        <w:rPr>
          <w:rFonts w:eastAsia="Times New Roman"/>
        </w:rPr>
      </w:pPr>
    </w:p>
    <w:p w:rsidR="00000000" w:rsidRDefault="00BC22AF">
      <w:pPr>
        <w:jc w:val="both"/>
        <w:rPr>
          <w:rFonts w:eastAsia="Times New Roman"/>
        </w:rPr>
      </w:pPr>
      <w:r>
        <w:rPr>
          <w:rFonts w:eastAsia="Times New Roman"/>
          <w:color w:val="000000"/>
          <w:sz w:val="20"/>
          <w:szCs w:val="20"/>
        </w:rPr>
        <w:t>P</w:t>
      </w:r>
      <w:r>
        <w:rPr>
          <w:rFonts w:eastAsia="Times New Roman"/>
          <w:color w:val="000000"/>
          <w:sz w:val="20"/>
          <w:szCs w:val="20"/>
        </w:rPr>
        <w:t>repaid expenses and other assets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7"/>
        <w:gridCol w:w="36"/>
        <w:gridCol w:w="36"/>
        <w:gridCol w:w="36"/>
        <w:gridCol w:w="120"/>
        <w:gridCol w:w="1282"/>
        <w:gridCol w:w="36"/>
        <w:gridCol w:w="36"/>
        <w:gridCol w:w="36"/>
        <w:gridCol w:w="36"/>
        <w:gridCol w:w="121"/>
        <w:gridCol w:w="1284"/>
        <w:gridCol w:w="36"/>
      </w:tblGrid>
      <w:tr w:rsidR="00000000">
        <w:trPr>
          <w:divId w:val="1857966484"/>
        </w:trPr>
        <w:tc>
          <w:tcPr>
            <w:tcW w:w="50" w:type="pct"/>
            <w:vAlign w:val="center"/>
            <w:hideMark/>
          </w:tcPr>
          <w:p w:rsidR="00000000" w:rsidRDefault="00BC22AF">
            <w:pPr>
              <w:jc w:val="both"/>
              <w:rPr>
                <w:rFonts w:eastAsia="Times New Roman"/>
              </w:rPr>
            </w:pPr>
          </w:p>
        </w:tc>
        <w:tc>
          <w:tcPr>
            <w:tcW w:w="3114"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823"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823"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divId w:val="1857966484"/>
        </w:trPr>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2021</w:t>
            </w:r>
          </w:p>
        </w:tc>
      </w:tr>
      <w:tr w:rsidR="00000000">
        <w:trPr>
          <w:divId w:val="1857966484"/>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Prepaid insurance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1,719 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857966484"/>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Prepaid occupancy related costs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857966484"/>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divId w:val="993948518"/>
              <w:rPr>
                <w:rFonts w:eastAsia="Times New Roman"/>
              </w:rPr>
            </w:pPr>
            <w:r>
              <w:rPr>
                <w:rFonts w:eastAsia="Times New Roman"/>
                <w:color w:val="000000"/>
                <w:sz w:val="20"/>
                <w:szCs w:val="20"/>
              </w:rPr>
              <w:t>Current assets held for sale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3,514 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857966484"/>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Prepaid expenses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2,666 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2,272 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857966484"/>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152 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857966484"/>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Prepaid expenses and other assets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6,837 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bl>
    <w:p w:rsidR="00000000" w:rsidRDefault="00BC22AF">
      <w:pPr>
        <w:jc w:val="both"/>
        <w:rPr>
          <w:rFonts w:eastAsia="Times New Roman"/>
        </w:rPr>
      </w:pPr>
      <w:r>
        <w:rPr>
          <w:rFonts w:eastAsia="Times New Roman"/>
          <w:color w:val="000000"/>
          <w:sz w:val="20"/>
          <w:szCs w:val="20"/>
        </w:rPr>
        <w:t>___</w:t>
      </w:r>
      <w:r>
        <w:rPr>
          <w:rFonts w:eastAsia="Times New Roman"/>
          <w:color w:val="000000"/>
          <w:sz w:val="20"/>
          <w:szCs w:val="20"/>
        </w:rPr>
        <w:t>__________________________</w:t>
      </w:r>
    </w:p>
    <w:p w:rsidR="00000000" w:rsidRDefault="00BC22AF">
      <w:pPr>
        <w:divId w:val="77575285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Current assets held for sale as of December 28, 2021 included assets held in connection with the divestiture of 15 company-owned restaurants to a franchisee (“Warner Sale”) which closed in January 2022.</w:t>
      </w:r>
    </w:p>
    <w:p w:rsidR="00000000" w:rsidRDefault="00BC22AF">
      <w:pPr>
        <w:divId w:val="500701871"/>
        <w:rPr>
          <w:rFonts w:eastAsia="Times New Roman"/>
        </w:rPr>
      </w:pPr>
    </w:p>
    <w:p w:rsidR="00000000" w:rsidRDefault="00BC22AF">
      <w:pPr>
        <w:jc w:val="both"/>
        <w:divId w:val="1087264352"/>
        <w:rPr>
          <w:rFonts w:eastAsia="Times New Roman"/>
        </w:rPr>
      </w:pPr>
      <w:r>
        <w:rPr>
          <w:rFonts w:eastAsia="Times New Roman"/>
          <w:color w:val="000000"/>
          <w:sz w:val="20"/>
          <w:szCs w:val="20"/>
        </w:rPr>
        <w:t>Property and equipme</w:t>
      </w:r>
      <w:r>
        <w:rPr>
          <w:rFonts w:eastAsia="Times New Roman"/>
          <w:color w:val="000000"/>
          <w:sz w:val="20"/>
          <w:szCs w:val="20"/>
        </w:rPr>
        <w:t>nt, net, consists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6"/>
        <w:gridCol w:w="36"/>
        <w:gridCol w:w="36"/>
        <w:gridCol w:w="36"/>
        <w:gridCol w:w="120"/>
        <w:gridCol w:w="1284"/>
        <w:gridCol w:w="36"/>
        <w:gridCol w:w="36"/>
        <w:gridCol w:w="36"/>
        <w:gridCol w:w="36"/>
        <w:gridCol w:w="120"/>
        <w:gridCol w:w="1284"/>
        <w:gridCol w:w="36"/>
      </w:tblGrid>
      <w:tr w:rsidR="00000000">
        <w:trPr>
          <w:divId w:val="1184713392"/>
        </w:trPr>
        <w:tc>
          <w:tcPr>
            <w:tcW w:w="50" w:type="pct"/>
            <w:vAlign w:val="center"/>
            <w:hideMark/>
          </w:tcPr>
          <w:p w:rsidR="00000000" w:rsidRDefault="00BC22AF">
            <w:pPr>
              <w:jc w:val="both"/>
              <w:rPr>
                <w:rFonts w:eastAsia="Times New Roman"/>
              </w:rPr>
            </w:pPr>
          </w:p>
        </w:tc>
        <w:tc>
          <w:tcPr>
            <w:tcW w:w="3114"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823"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823"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divId w:val="1184713392"/>
        </w:trPr>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2021</w:t>
            </w:r>
          </w:p>
        </w:tc>
      </w:tr>
      <w:tr w:rsidR="00000000">
        <w:trPr>
          <w:divId w:val="1184713392"/>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Leasehold improvements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204,573 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197,722 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184713392"/>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Furniture, fixtures and equipment</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144,212 </w:t>
            </w:r>
          </w:p>
        </w:tc>
        <w:tc>
          <w:tcPr>
            <w:tcW w:w="0" w:type="auto"/>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140,698 </w:t>
            </w:r>
          </w:p>
        </w:tc>
        <w:tc>
          <w:tcPr>
            <w:tcW w:w="0" w:type="auto"/>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184713392"/>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Construction in progress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9,640 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6,306 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184713392"/>
        </w:trPr>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358,425 </w:t>
            </w:r>
          </w:p>
        </w:tc>
        <w:tc>
          <w:tcPr>
            <w:tcW w:w="0" w:type="auto"/>
            <w:tcBorders>
              <w:top w:val="single" w:sz="8" w:space="0" w:color="000000"/>
            </w:tcBorders>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344,726 </w:t>
            </w:r>
          </w:p>
        </w:tc>
        <w:tc>
          <w:tcPr>
            <w:tcW w:w="0" w:type="auto"/>
            <w:tcBorders>
              <w:top w:val="single" w:sz="8" w:space="0" w:color="000000"/>
            </w:tcBorders>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184713392"/>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Accumulated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(234,391)</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(225,450)</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184713392"/>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Property and equipment, net</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124,034 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119,276 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BC22AF">
            <w:pPr>
              <w:spacing w:after="100"/>
              <w:jc w:val="right"/>
              <w:rPr>
                <w:rFonts w:eastAsia="Times New Roman"/>
              </w:rPr>
            </w:pPr>
          </w:p>
        </w:tc>
      </w:tr>
    </w:tbl>
    <w:p w:rsidR="00000000" w:rsidRDefault="00BC22AF">
      <w:pPr>
        <w:jc w:val="both"/>
        <w:divId w:val="1657487669"/>
        <w:rPr>
          <w:rFonts w:eastAsia="Times New Roman"/>
        </w:rPr>
      </w:pPr>
    </w:p>
    <w:p w:rsidR="00000000" w:rsidRDefault="00BC22AF">
      <w:pPr>
        <w:jc w:val="both"/>
        <w:divId w:val="902525367"/>
        <w:rPr>
          <w:rFonts w:eastAsia="Times New Roman"/>
        </w:rPr>
      </w:pPr>
      <w:r>
        <w:rPr>
          <w:rFonts w:eastAsia="Times New Roman"/>
          <w:color w:val="000000"/>
          <w:sz w:val="20"/>
          <w:szCs w:val="20"/>
        </w:rPr>
        <w:t>Accrued payroll and benefits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6"/>
        <w:gridCol w:w="36"/>
        <w:gridCol w:w="36"/>
        <w:gridCol w:w="36"/>
        <w:gridCol w:w="120"/>
        <w:gridCol w:w="1345"/>
        <w:gridCol w:w="36"/>
        <w:gridCol w:w="36"/>
        <w:gridCol w:w="36"/>
        <w:gridCol w:w="36"/>
        <w:gridCol w:w="120"/>
        <w:gridCol w:w="1223"/>
        <w:gridCol w:w="36"/>
      </w:tblGrid>
      <w:tr w:rsidR="00000000">
        <w:trPr>
          <w:divId w:val="2131632359"/>
        </w:trPr>
        <w:tc>
          <w:tcPr>
            <w:tcW w:w="50" w:type="pct"/>
            <w:vAlign w:val="center"/>
            <w:hideMark/>
          </w:tcPr>
          <w:p w:rsidR="00000000" w:rsidRDefault="00BC22AF">
            <w:pPr>
              <w:jc w:val="both"/>
              <w:rPr>
                <w:rFonts w:eastAsia="Times New Roman"/>
              </w:rPr>
            </w:pPr>
          </w:p>
        </w:tc>
        <w:tc>
          <w:tcPr>
            <w:tcW w:w="3114"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860"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78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divId w:val="2131632359"/>
        </w:trPr>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2021</w:t>
            </w:r>
          </w:p>
        </w:tc>
      </w:tr>
      <w:tr w:rsidR="00000000">
        <w:trPr>
          <w:divId w:val="2131632359"/>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Accrued payroll and related liabilities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10,756 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9,851 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2131632359"/>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Accrued bonus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993 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5,078 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2131632359"/>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Insurance liabilities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3,023 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3,671 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2131632359"/>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Accrued payroll and benefits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14,772 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18,600 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bl>
    <w:p w:rsidR="00000000" w:rsidRDefault="00BC22AF">
      <w:pPr>
        <w:divId w:val="1232930354"/>
        <w:rPr>
          <w:rFonts w:eastAsia="Times New Roman"/>
        </w:rPr>
      </w:pPr>
    </w:p>
    <w:p w:rsidR="00000000" w:rsidRDefault="00BC22AF">
      <w:pPr>
        <w:jc w:val="center"/>
        <w:divId w:val="1072240095"/>
        <w:rPr>
          <w:rFonts w:eastAsia="Times New Roman"/>
        </w:rPr>
      </w:pPr>
      <w:r>
        <w:rPr>
          <w:rFonts w:eastAsia="Times New Roman"/>
          <w:color w:val="000000"/>
          <w:sz w:val="20"/>
          <w:szCs w:val="20"/>
        </w:rPr>
        <w:t>7</w:t>
      </w:r>
    </w:p>
    <w:p w:rsidR="00000000" w:rsidRDefault="00BC22AF">
      <w:pPr>
        <w:rPr>
          <w:rFonts w:eastAsia="Times New Roman"/>
        </w:rPr>
      </w:pPr>
      <w:r>
        <w:rPr>
          <w:rFonts w:eastAsia="Times New Roman"/>
        </w:rPr>
        <w:pict>
          <v:rect id="_x0000_i1032" style="width:0;height:1.5pt" o:hralign="center" o:hrstd="t" o:hr="t" fillcolor="#a0a0a0" stroked="f"/>
        </w:pict>
      </w:r>
    </w:p>
    <w:p w:rsidR="00000000" w:rsidRDefault="00BC22AF">
      <w:pPr>
        <w:divId w:val="203948039"/>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divId w:val="1609311492"/>
        <w:rPr>
          <w:rFonts w:eastAsia="Times New Roman"/>
        </w:rPr>
      </w:pPr>
      <w:r>
        <w:rPr>
          <w:rFonts w:eastAsia="Times New Roman"/>
          <w:color w:val="000000"/>
          <w:sz w:val="20"/>
          <w:szCs w:val="20"/>
        </w:rPr>
        <w:t>Accrued expenses and other current liabilities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7"/>
        <w:gridCol w:w="36"/>
        <w:gridCol w:w="36"/>
        <w:gridCol w:w="36"/>
        <w:gridCol w:w="120"/>
        <w:gridCol w:w="1283"/>
        <w:gridCol w:w="36"/>
        <w:gridCol w:w="36"/>
        <w:gridCol w:w="36"/>
        <w:gridCol w:w="36"/>
        <w:gridCol w:w="120"/>
        <w:gridCol w:w="1284"/>
        <w:gridCol w:w="36"/>
      </w:tblGrid>
      <w:tr w:rsidR="00000000">
        <w:trPr>
          <w:divId w:val="809977701"/>
        </w:trPr>
        <w:tc>
          <w:tcPr>
            <w:tcW w:w="50" w:type="pct"/>
            <w:vAlign w:val="center"/>
            <w:hideMark/>
          </w:tcPr>
          <w:p w:rsidR="00000000" w:rsidRDefault="00BC22AF">
            <w:pPr>
              <w:rPr>
                <w:rFonts w:eastAsia="Times New Roman"/>
              </w:rPr>
            </w:pPr>
          </w:p>
        </w:tc>
        <w:tc>
          <w:tcPr>
            <w:tcW w:w="3114"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823"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823"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divId w:val="809977701"/>
        </w:trPr>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2021</w:t>
            </w:r>
          </w:p>
        </w:tc>
      </w:tr>
      <w:tr w:rsidR="00000000">
        <w:trPr>
          <w:divId w:val="809977701"/>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Gift card liability</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2,447 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2,850 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809977701"/>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Occupancy related</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1,705 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1,615 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809977701"/>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Utilities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1,379 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1,302 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809977701"/>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Current portion of finance lease liability</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2,075 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1,956 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809977701"/>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divId w:val="378631786"/>
              <w:rPr>
                <w:rFonts w:eastAsia="Times New Roman"/>
              </w:rPr>
            </w:pPr>
            <w:r>
              <w:rPr>
                <w:rFonts w:eastAsia="Times New Roman"/>
                <w:color w:val="000000"/>
                <w:sz w:val="20"/>
                <w:szCs w:val="20"/>
              </w:rPr>
              <w:t>Liabilities held for sale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1,671 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809977701"/>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Accrued interest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285 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809977701"/>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Insurance liabilities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359 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393 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809977701"/>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Other restaurant expense accruals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1,279 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995 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809977701"/>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Other corporate expense accruals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2,869 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2,738 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809977701"/>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12,398 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13,791 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bl>
    <w:p w:rsidR="00000000" w:rsidRDefault="00BC22AF">
      <w:pPr>
        <w:jc w:val="both"/>
        <w:rPr>
          <w:rFonts w:eastAsia="Times New Roman"/>
        </w:rPr>
      </w:pPr>
      <w:r>
        <w:rPr>
          <w:rFonts w:eastAsia="Times New Roman"/>
          <w:color w:val="000000"/>
          <w:sz w:val="20"/>
          <w:szCs w:val="20"/>
        </w:rPr>
        <w:t>___</w:t>
      </w:r>
      <w:r>
        <w:rPr>
          <w:rFonts w:eastAsia="Times New Roman"/>
          <w:color w:val="000000"/>
          <w:sz w:val="20"/>
          <w:szCs w:val="20"/>
        </w:rPr>
        <w:t>__________________________</w:t>
      </w:r>
    </w:p>
    <w:p w:rsidR="00000000" w:rsidRDefault="00BC22AF">
      <w:pPr>
        <w:divId w:val="35469716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Liabilities held for sale as of December 28, 2021 included liabilities held in connection with the Warner Sale which closed in January 2022.</w:t>
      </w:r>
    </w:p>
    <w:p w:rsidR="00000000" w:rsidRDefault="00BC22AF">
      <w:pPr>
        <w:divId w:val="61298156"/>
        <w:rPr>
          <w:rFonts w:eastAsia="Times New Roman"/>
        </w:rPr>
      </w:pPr>
    </w:p>
    <w:p w:rsidR="00000000" w:rsidRDefault="00BC22AF">
      <w:pPr>
        <w:jc w:val="both"/>
        <w:rPr>
          <w:rFonts w:eastAsia="Times New Roman"/>
        </w:rPr>
      </w:pPr>
      <w:r>
        <w:rPr>
          <w:rFonts w:eastAsia="Times New Roman"/>
          <w:b/>
          <w:bCs/>
          <w:color w:val="000000"/>
          <w:sz w:val="20"/>
          <w:szCs w:val="20"/>
        </w:rPr>
        <w:t>3. Long-Term Debt</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On May 9, 2018, the Company entered into a credit facility with U.S. Bank National Association (the “2018 Credit Facility”). The 2018 Credit Facility consisted of a term loan facility in an aggregate principal amount of $25.0 million and a revolving credit</w:t>
      </w:r>
      <w:r>
        <w:rPr>
          <w:rFonts w:eastAsia="Times New Roman"/>
          <w:color w:val="000000"/>
          <w:sz w:val="20"/>
          <w:szCs w:val="20"/>
        </w:rPr>
        <w:t xml:space="preserve"> facility of $65.0 million, which included a letter of credit subfacility in the amount of $15.0 million and a swingline subfacility in the amount of $10.0 million. </w:t>
      </w:r>
    </w:p>
    <w:p w:rsidR="00000000" w:rsidRDefault="00BC22AF">
      <w:pPr>
        <w:jc w:val="both"/>
        <w:divId w:val="1786849620"/>
        <w:rPr>
          <w:rFonts w:eastAsia="Times New Roman"/>
        </w:rPr>
      </w:pPr>
      <w:r>
        <w:rPr>
          <w:rFonts w:eastAsia="Times New Roman"/>
          <w:color w:val="000000"/>
          <w:sz w:val="20"/>
          <w:szCs w:val="20"/>
        </w:rPr>
        <w:t>On November 20, 2019, the Company amended its 2018 Credit Facility by entering into the Fi</w:t>
      </w:r>
      <w:r>
        <w:rPr>
          <w:rFonts w:eastAsia="Times New Roman"/>
          <w:color w:val="000000"/>
          <w:sz w:val="20"/>
          <w:szCs w:val="20"/>
        </w:rPr>
        <w:t>rst Amendment to the Credit Agreement (the “Amendment” and the 2018 Credit Facility, as amended, the “First Amended Credit Facility”). Among other things, the Amendment: (i) extended the maturity date to November 20, 2024; (ii) increased the revolving cred</w:t>
      </w:r>
      <w:r>
        <w:rPr>
          <w:rFonts w:eastAsia="Times New Roman"/>
          <w:color w:val="000000"/>
          <w:sz w:val="20"/>
          <w:szCs w:val="20"/>
        </w:rPr>
        <w:t xml:space="preserve">it facility from $65.0 million to $75.0 million; (iii) delayed step downs of the Company’s leverage covenant; and (iv) increased the limit on capital expenditures to $37.0 million in 2020 and to $45.0 million in 2021 and each fiscal year thereafter. </w:t>
      </w:r>
    </w:p>
    <w:p w:rsidR="00000000" w:rsidRDefault="00BC22AF">
      <w:pPr>
        <w:jc w:val="both"/>
        <w:divId w:val="449276917"/>
        <w:rPr>
          <w:rFonts w:eastAsia="Times New Roman"/>
        </w:rPr>
      </w:pPr>
      <w:r>
        <w:rPr>
          <w:rFonts w:eastAsia="Times New Roman"/>
          <w:color w:val="000000"/>
          <w:sz w:val="20"/>
          <w:szCs w:val="20"/>
        </w:rPr>
        <w:t>Borro</w:t>
      </w:r>
      <w:r>
        <w:rPr>
          <w:rFonts w:eastAsia="Times New Roman"/>
          <w:color w:val="000000"/>
          <w:sz w:val="20"/>
          <w:szCs w:val="20"/>
        </w:rPr>
        <w:t>wings under the First Amended Credit Facility, including the term loan facility, bear interest annually, at the Company’s option, at either (i) LIBOR plus a margin of 2.00% to 2.75% per annum, based upon the consolidated total lease-adjusted leverage ratio</w:t>
      </w:r>
      <w:r>
        <w:rPr>
          <w:rFonts w:eastAsia="Times New Roman"/>
          <w:color w:val="000000"/>
          <w:sz w:val="20"/>
          <w:szCs w:val="20"/>
        </w:rPr>
        <w:t xml:space="preserve"> or (ii) the highest of the following base rates plus a margin of 1.00% to 1.75% per annum: (a) the federal funds rate plus 0.50%; (b) the U.S. Bank prime rate or (c) the one-month LIBOR plus 1.00%. The Amendment includes a commitment fee of 0.20% to 0.35%</w:t>
      </w:r>
      <w:r>
        <w:rPr>
          <w:rFonts w:eastAsia="Times New Roman"/>
          <w:color w:val="000000"/>
          <w:sz w:val="20"/>
          <w:szCs w:val="20"/>
        </w:rPr>
        <w:t xml:space="preserve"> per annum, based upon the consolidated total lease-adjusted leverage ratio, on any unused portion of the revolving credit facility.</w:t>
      </w:r>
    </w:p>
    <w:p w:rsidR="00000000" w:rsidRDefault="00BC22AF">
      <w:pPr>
        <w:jc w:val="both"/>
        <w:rPr>
          <w:rFonts w:eastAsia="Times New Roman"/>
        </w:rPr>
      </w:pPr>
      <w:r>
        <w:rPr>
          <w:rFonts w:eastAsia="Times New Roman"/>
          <w:color w:val="000000"/>
          <w:sz w:val="20"/>
          <w:szCs w:val="20"/>
        </w:rPr>
        <w:t xml:space="preserve">On June 16, 2020 (the “Effective Date”), the Company amended its First Amended Credit Facility by entering into the Second </w:t>
      </w:r>
      <w:r>
        <w:rPr>
          <w:rFonts w:eastAsia="Times New Roman"/>
          <w:color w:val="000000"/>
          <w:sz w:val="20"/>
          <w:szCs w:val="20"/>
        </w:rPr>
        <w:t>Amendment to the Credit Agreement (the “Second Amendment” and the First Amended Credit Facility, as amended, or the “Second Amended Credit Facility”). Beginning on the Effective Date and through the third quarter of 2021 (the “Amendment Period”), borrowing</w:t>
      </w:r>
      <w:r>
        <w:rPr>
          <w:rFonts w:eastAsia="Times New Roman"/>
          <w:color w:val="000000"/>
          <w:sz w:val="20"/>
          <w:szCs w:val="20"/>
        </w:rPr>
        <w:t>s under the Second Amended Credit Facility, including the term loan facility, bore interest at LIBOR plus 3.25% per annum. Following the Amendment Period, borrowings bore interest at LIBOR plus a margin of 2.00% to 3.00% per annum, based upon the consolida</w:t>
      </w:r>
      <w:r>
        <w:rPr>
          <w:rFonts w:eastAsia="Times New Roman"/>
          <w:color w:val="000000"/>
          <w:sz w:val="20"/>
          <w:szCs w:val="20"/>
        </w:rPr>
        <w:t>ted total lease-adjusted leverage ratio. Through the end of the second quarter of 2022, the Company continued to use LIBOR. Among other things, the Second Amendment (i) waives the lease-adjusted leverage ratio and fixed charge ratio covenants through the f</w:t>
      </w:r>
      <w:r>
        <w:rPr>
          <w:rFonts w:eastAsia="Times New Roman"/>
          <w:color w:val="000000"/>
          <w:sz w:val="20"/>
          <w:szCs w:val="20"/>
        </w:rPr>
        <w:t>irst quarter of 2021; (ii) amends the Company’s lease-adjusted leverage ratio and fixed coverage ratio covenant thresholds beginning in the second quarter of 2021 through the third quarter of 2022 and the first quarter of 2022, respectively; and (iii) limi</w:t>
      </w:r>
      <w:r>
        <w:rPr>
          <w:rFonts w:eastAsia="Times New Roman"/>
          <w:color w:val="000000"/>
          <w:sz w:val="20"/>
          <w:szCs w:val="20"/>
        </w:rPr>
        <w:t xml:space="preserve">ts capital expenditures to $12.0 million in 2020, $12.0 million plus a liquidity-based performance basket up to an additional $12.0 million in 2021, $34.0 million in 2022, $37.0 million in 2023 and $45.0 million annually thereafter. </w:t>
      </w:r>
    </w:p>
    <w:p w:rsidR="00000000" w:rsidRDefault="00BC22AF">
      <w:pPr>
        <w:jc w:val="both"/>
        <w:divId w:val="1094788707"/>
        <w:rPr>
          <w:rFonts w:eastAsia="Times New Roman"/>
        </w:rPr>
      </w:pPr>
      <w:r>
        <w:rPr>
          <w:rFonts w:eastAsia="Times New Roman"/>
          <w:color w:val="000000"/>
          <w:sz w:val="20"/>
          <w:szCs w:val="20"/>
        </w:rPr>
        <w:t>As of June 28, 2022, t</w:t>
      </w:r>
      <w:r>
        <w:rPr>
          <w:rFonts w:eastAsia="Times New Roman"/>
          <w:color w:val="000000"/>
          <w:sz w:val="20"/>
          <w:szCs w:val="20"/>
        </w:rPr>
        <w:t xml:space="preserve">he Company had $32.2 million of indebtedness (excluding $1.1 million of unamortized debt issuance costs) </w:t>
      </w:r>
      <w:r>
        <w:rPr>
          <w:rFonts w:eastAsia="Times New Roman"/>
          <w:color w:val="000000"/>
          <w:sz w:val="20"/>
          <w:szCs w:val="20"/>
          <w:shd w:val="clear" w:color="auto" w:fill="FFFFFF"/>
        </w:rPr>
        <w:t>and $3.0 million of l</w:t>
      </w:r>
      <w:r>
        <w:rPr>
          <w:rFonts w:eastAsia="Times New Roman"/>
          <w:color w:val="000000"/>
          <w:sz w:val="20"/>
          <w:szCs w:val="20"/>
        </w:rPr>
        <w:t>etters of credit outstanding under the Second Amended Credit Facility. As of June 28, 2022, the Company had cash on hand of $1.8 m</w:t>
      </w:r>
      <w:r>
        <w:rPr>
          <w:rFonts w:eastAsia="Times New Roman"/>
          <w:color w:val="000000"/>
          <w:sz w:val="20"/>
          <w:szCs w:val="20"/>
        </w:rPr>
        <w:t xml:space="preserve">illion. </w:t>
      </w:r>
    </w:p>
    <w:p w:rsidR="00000000" w:rsidRDefault="00BC22AF">
      <w:pPr>
        <w:jc w:val="both"/>
        <w:divId w:val="715198064"/>
        <w:rPr>
          <w:rFonts w:eastAsia="Times New Roman"/>
        </w:rPr>
      </w:pPr>
      <w:r>
        <w:rPr>
          <w:rFonts w:eastAsia="Times New Roman"/>
          <w:color w:val="000000"/>
          <w:sz w:val="20"/>
          <w:szCs w:val="20"/>
        </w:rPr>
        <w:t>The Company’s outstanding indebtedness bore interest at rates betw</w:t>
      </w:r>
      <w:r>
        <w:rPr>
          <w:rFonts w:eastAsia="Times New Roman"/>
          <w:color w:val="000000"/>
          <w:sz w:val="20"/>
          <w:szCs w:val="20"/>
          <w:shd w:val="clear" w:color="auto" w:fill="FFFFFF"/>
        </w:rPr>
        <w:t xml:space="preserve">een </w:t>
      </w:r>
      <w:r>
        <w:rPr>
          <w:rFonts w:eastAsia="Times New Roman"/>
          <w:color w:val="000000"/>
          <w:sz w:val="20"/>
          <w:szCs w:val="20"/>
        </w:rPr>
        <w:t>2.35%</w:t>
      </w:r>
      <w:r>
        <w:rPr>
          <w:rFonts w:eastAsia="Times New Roman"/>
          <w:color w:val="000000"/>
          <w:sz w:val="20"/>
          <w:szCs w:val="20"/>
          <w:shd w:val="clear" w:color="auto" w:fill="FFFFFF"/>
        </w:rPr>
        <w:t xml:space="preserve"> to </w:t>
      </w:r>
      <w:r>
        <w:rPr>
          <w:rFonts w:eastAsia="Times New Roman"/>
          <w:color w:val="000000"/>
          <w:sz w:val="20"/>
          <w:szCs w:val="20"/>
        </w:rPr>
        <w:t>6.25%</w:t>
      </w:r>
      <w:r>
        <w:rPr>
          <w:rFonts w:eastAsia="Times New Roman"/>
          <w:color w:val="000000"/>
          <w:sz w:val="20"/>
          <w:szCs w:val="20"/>
          <w:shd w:val="clear" w:color="auto" w:fill="FFFFFF"/>
        </w:rPr>
        <w:t xml:space="preserve"> duri</w:t>
      </w:r>
      <w:r>
        <w:rPr>
          <w:rFonts w:eastAsia="Times New Roman"/>
          <w:color w:val="000000"/>
          <w:sz w:val="20"/>
          <w:szCs w:val="20"/>
        </w:rPr>
        <w:t xml:space="preserve">ng the first two quarters of 2022. </w:t>
      </w:r>
    </w:p>
    <w:p w:rsidR="00000000" w:rsidRDefault="00BC22AF">
      <w:pPr>
        <w:jc w:val="both"/>
        <w:rPr>
          <w:rFonts w:eastAsia="Times New Roman"/>
        </w:rPr>
      </w:pPr>
    </w:p>
    <w:p w:rsidR="00000000" w:rsidRDefault="00BC22AF">
      <w:pPr>
        <w:jc w:val="both"/>
        <w:divId w:val="1847478455"/>
        <w:rPr>
          <w:rFonts w:eastAsia="Times New Roman"/>
        </w:rPr>
      </w:pPr>
      <w:r>
        <w:rPr>
          <w:rFonts w:eastAsia="Times New Roman"/>
          <w:color w:val="000000"/>
          <w:sz w:val="20"/>
          <w:szCs w:val="20"/>
        </w:rPr>
        <w:t>The Company also maintains outstanding letters of credit to secure obligations under its workers’ compensation program a</w:t>
      </w:r>
      <w:r>
        <w:rPr>
          <w:rFonts w:eastAsia="Times New Roman"/>
          <w:color w:val="000000"/>
          <w:sz w:val="20"/>
          <w:szCs w:val="20"/>
        </w:rPr>
        <w:t>nd certain lease obligations. The Company was in compliance with all of its debt covenants as of June 28, 2022</w:t>
      </w:r>
      <w:r>
        <w:rPr>
          <w:rFonts w:eastAsia="Times New Roman"/>
          <w:color w:val="000000"/>
          <w:sz w:val="20"/>
          <w:szCs w:val="20"/>
          <w:shd w:val="clear" w:color="auto" w:fill="FFFFFF"/>
        </w:rPr>
        <w:t xml:space="preserve">. </w:t>
      </w:r>
    </w:p>
    <w:p w:rsidR="00000000" w:rsidRDefault="00BC22AF">
      <w:pPr>
        <w:jc w:val="center"/>
        <w:divId w:val="1132021235"/>
        <w:rPr>
          <w:rFonts w:eastAsia="Times New Roman"/>
        </w:rPr>
      </w:pPr>
      <w:r>
        <w:rPr>
          <w:rFonts w:eastAsia="Times New Roman"/>
          <w:color w:val="000000"/>
          <w:sz w:val="20"/>
          <w:szCs w:val="20"/>
        </w:rPr>
        <w:t>8</w:t>
      </w:r>
    </w:p>
    <w:p w:rsidR="00000000" w:rsidRDefault="00BC22AF">
      <w:pPr>
        <w:rPr>
          <w:rFonts w:eastAsia="Times New Roman"/>
        </w:rPr>
      </w:pPr>
      <w:r>
        <w:rPr>
          <w:rFonts w:eastAsia="Times New Roman"/>
        </w:rPr>
        <w:pict>
          <v:rect id="_x0000_i1033" style="width:0;height:1.5pt" o:hralign="center" o:hrstd="t" o:hr="t" fillcolor="#a0a0a0" stroked="f"/>
        </w:pict>
      </w:r>
    </w:p>
    <w:p w:rsidR="00000000" w:rsidRDefault="00BC22AF">
      <w:pPr>
        <w:divId w:val="1821657369"/>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both"/>
        <w:divId w:val="1397705264"/>
        <w:rPr>
          <w:rFonts w:eastAsia="Times New Roman"/>
        </w:rPr>
      </w:pPr>
      <w:r>
        <w:rPr>
          <w:rFonts w:eastAsia="Times New Roman"/>
          <w:color w:val="000000"/>
          <w:sz w:val="20"/>
          <w:szCs w:val="20"/>
        </w:rPr>
        <w:t>O</w:t>
      </w:r>
      <w:r>
        <w:rPr>
          <w:rFonts w:eastAsia="Times New Roman"/>
          <w:color w:val="000000"/>
          <w:sz w:val="20"/>
          <w:szCs w:val="20"/>
          <w:shd w:val="clear" w:color="auto" w:fill="FFFFFF"/>
        </w:rPr>
        <w:t>n July 27, 2022, the Company amended and restated its Second Amended Credit Facility by entering into the Third Amendment to the Credit Agreement (the “Third Amendment” or the “Third Amended Credit Facility”). Among other things, the Third Amendment: (i) i</w:t>
      </w:r>
      <w:r>
        <w:rPr>
          <w:rFonts w:eastAsia="Times New Roman"/>
          <w:color w:val="000000"/>
          <w:sz w:val="20"/>
          <w:szCs w:val="20"/>
          <w:shd w:val="clear" w:color="auto" w:fill="FFFFFF"/>
        </w:rPr>
        <w:t xml:space="preserve">ncreased the credit facility from $100.0 million to $125.0 million; (ii) eliminated the term loan and principal amortization components of the credit facility; (iii) removed the Company’s capital expenditure covenant; (iv) enhanced flexibility for certain </w:t>
      </w:r>
      <w:r>
        <w:rPr>
          <w:rFonts w:eastAsia="Times New Roman"/>
          <w:color w:val="000000"/>
          <w:sz w:val="20"/>
          <w:szCs w:val="20"/>
          <w:shd w:val="clear" w:color="auto" w:fill="FFFFFF"/>
        </w:rPr>
        <w:t>covenants and restrictions; and (v) lowered the spread within the Company’s cost of borrowing</w:t>
      </w:r>
      <w:r>
        <w:rPr>
          <w:rFonts w:eastAsia="Times New Roman"/>
          <w:color w:val="000000"/>
          <w:sz w:val="20"/>
          <w:szCs w:val="20"/>
        </w:rPr>
        <w:t xml:space="preserve"> and will transition to the Secured Overnight Financing Rate (“SOFR”) plus a margin of 1.50% to 2.50% per annum, based upon the consolidated total lease-adjusted l</w:t>
      </w:r>
      <w:r>
        <w:rPr>
          <w:rFonts w:eastAsia="Times New Roman"/>
          <w:color w:val="000000"/>
          <w:sz w:val="20"/>
          <w:szCs w:val="20"/>
        </w:rPr>
        <w:t>everage ratio.</w:t>
      </w:r>
    </w:p>
    <w:p w:rsidR="00000000" w:rsidRDefault="00BC22AF">
      <w:pPr>
        <w:jc w:val="both"/>
        <w:divId w:val="1129473582"/>
        <w:rPr>
          <w:rFonts w:eastAsia="Times New Roman"/>
        </w:rPr>
      </w:pPr>
      <w:r>
        <w:rPr>
          <w:rFonts w:eastAsia="Times New Roman"/>
          <w:b/>
          <w:bCs/>
          <w:color w:val="000000"/>
          <w:sz w:val="20"/>
          <w:szCs w:val="20"/>
        </w:rPr>
        <w:t>4. Fair Value Measurements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The carrying amounts of cash and cash equivalents, accounts receivable, accounts payable and all other current liabilities approximate their fair values due to their short-term nature. The carrying amounts of bor</w:t>
      </w:r>
      <w:r>
        <w:rPr>
          <w:rFonts w:eastAsia="Times New Roman"/>
          <w:color w:val="000000"/>
          <w:sz w:val="20"/>
          <w:szCs w:val="20"/>
        </w:rPr>
        <w:t>rowings approximate fair value as the line of credit and term borrowings vary with market interest rates and negotiated terms and conditions are consistent with current market rates. The fair value of the Company’s line of credit and term borrowings are me</w:t>
      </w:r>
      <w:r>
        <w:rPr>
          <w:rFonts w:eastAsia="Times New Roman"/>
          <w:color w:val="000000"/>
          <w:sz w:val="20"/>
          <w:szCs w:val="20"/>
        </w:rPr>
        <w:t xml:space="preserve">asured using Level 2 inputs. </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Assets and Liabilities Measured at Fair Value on a Nonrecurring Basis</w:t>
      </w:r>
      <w:r>
        <w:rPr>
          <w:rFonts w:eastAsia="Times New Roman"/>
          <w:color w:val="000000"/>
          <w:sz w:val="20"/>
          <w:szCs w:val="20"/>
        </w:rPr>
        <w:t xml:space="preserve"> </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Assets recognized or disclosed at fair value in the condensed consolidated financial statements on a non-recurring basis include items such as leasehol</w:t>
      </w:r>
      <w:r>
        <w:rPr>
          <w:rFonts w:eastAsia="Times New Roman"/>
          <w:color w:val="000000"/>
          <w:sz w:val="20"/>
          <w:szCs w:val="20"/>
        </w:rPr>
        <w:t xml:space="preserve">d improvements, property and equipment, operating lease assets, goodwill and other intangible assets. These assets are measured at fair value if determined to be impaired or when acquired. </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Adjustments to the fair value of assets measured at fair value o</w:t>
      </w:r>
      <w:r>
        <w:rPr>
          <w:rFonts w:eastAsia="Times New Roman"/>
          <w:color w:val="000000"/>
          <w:sz w:val="20"/>
          <w:szCs w:val="20"/>
        </w:rPr>
        <w:t xml:space="preserve">n a non-recurring basis as of June 28, 2022 and June 29, 2021 are discussed in Note 7, Restaurant Impairments, Closure Costs and Asset Disposals. </w:t>
      </w:r>
    </w:p>
    <w:p w:rsidR="00000000" w:rsidRDefault="00BC22AF">
      <w:pPr>
        <w:jc w:val="both"/>
        <w:rPr>
          <w:rFonts w:eastAsia="Times New Roman"/>
        </w:rPr>
      </w:pPr>
    </w:p>
    <w:p w:rsidR="00000000" w:rsidRDefault="00BC22AF">
      <w:pPr>
        <w:jc w:val="both"/>
        <w:rPr>
          <w:rFonts w:eastAsia="Times New Roman"/>
        </w:rPr>
      </w:pPr>
      <w:r>
        <w:rPr>
          <w:rFonts w:eastAsia="Times New Roman"/>
          <w:b/>
          <w:bCs/>
          <w:color w:val="000000"/>
          <w:sz w:val="20"/>
          <w:szCs w:val="20"/>
        </w:rPr>
        <w:t>5. Income Taxes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The following table presents the Company’s provision for income taxes (in thousands):</w:t>
      </w: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3532"/>
        <w:gridCol w:w="36"/>
        <w:gridCol w:w="36"/>
        <w:gridCol w:w="36"/>
        <w:gridCol w:w="36"/>
        <w:gridCol w:w="120"/>
        <w:gridCol w:w="723"/>
        <w:gridCol w:w="187"/>
        <w:gridCol w:w="36"/>
        <w:gridCol w:w="36"/>
        <w:gridCol w:w="36"/>
        <w:gridCol w:w="120"/>
        <w:gridCol w:w="725"/>
        <w:gridCol w:w="187"/>
        <w:gridCol w:w="36"/>
        <w:gridCol w:w="36"/>
        <w:gridCol w:w="36"/>
        <w:gridCol w:w="120"/>
        <w:gridCol w:w="842"/>
        <w:gridCol w:w="187"/>
        <w:gridCol w:w="36"/>
        <w:gridCol w:w="36"/>
        <w:gridCol w:w="36"/>
        <w:gridCol w:w="120"/>
        <w:gridCol w:w="726"/>
        <w:gridCol w:w="187"/>
      </w:tblGrid>
      <w:tr w:rsidR="00000000">
        <w:trPr>
          <w:jc w:val="center"/>
        </w:trPr>
        <w:tc>
          <w:tcPr>
            <w:tcW w:w="50" w:type="pct"/>
            <w:vAlign w:val="center"/>
            <w:hideMark/>
          </w:tcPr>
          <w:p w:rsidR="00000000" w:rsidRDefault="00BC22AF">
            <w:pPr>
              <w:jc w:val="both"/>
              <w:rPr>
                <w:rFonts w:eastAsia="Times New Roman"/>
              </w:rPr>
            </w:pPr>
          </w:p>
        </w:tc>
        <w:tc>
          <w:tcPr>
            <w:tcW w:w="2254"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2"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2"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19"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2"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3"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Two Fiscal Quarters Ended</w:t>
            </w:r>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Provision for (benefit from) income taxes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Effective tax rate</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bl>
    <w:p w:rsidR="00000000" w:rsidRDefault="00BC22AF">
      <w:pPr>
        <w:ind w:firstLine="360"/>
        <w:jc w:val="both"/>
        <w:rPr>
          <w:rFonts w:eastAsia="Times New Roman"/>
        </w:rPr>
      </w:pPr>
    </w:p>
    <w:p w:rsidR="00000000" w:rsidRDefault="00BC22AF">
      <w:pPr>
        <w:jc w:val="both"/>
        <w:rPr>
          <w:rFonts w:eastAsia="Times New Roman"/>
        </w:rPr>
      </w:pPr>
      <w:r>
        <w:rPr>
          <w:rFonts w:eastAsia="Times New Roman"/>
          <w:color w:val="000000"/>
          <w:sz w:val="20"/>
          <w:szCs w:val="20"/>
        </w:rPr>
        <w:t>The effective tax rate</w:t>
      </w:r>
      <w:r>
        <w:rPr>
          <w:rFonts w:eastAsia="Times New Roman"/>
          <w:color w:val="000000"/>
          <w:sz w:val="20"/>
          <w:szCs w:val="20"/>
          <w:shd w:val="clear" w:color="auto" w:fill="FFFFFF"/>
        </w:rPr>
        <w:t xml:space="preserve"> for the second quarter of 2022 and the first two quarters of 2022 ref</w:t>
      </w:r>
      <w:r>
        <w:rPr>
          <w:rFonts w:eastAsia="Times New Roman"/>
          <w:color w:val="000000"/>
          <w:sz w:val="20"/>
          <w:szCs w:val="20"/>
        </w:rPr>
        <w:t>lects the impact of the previously recorded valuation allowance. For the remainder of fiscal 2022, the Company does not anticipate material income tax expe</w:t>
      </w:r>
      <w:r>
        <w:rPr>
          <w:rFonts w:eastAsia="Times New Roman"/>
          <w:color w:val="000000"/>
          <w:sz w:val="20"/>
          <w:szCs w:val="20"/>
        </w:rPr>
        <w:t>nse or benefit as a result of the valuation allowance recorded. The Company will maintain the valuation allowance against deferred tax assets until there is sufficient evidence to support a full or partial reversal. The reversal of a previously recorded va</w:t>
      </w:r>
      <w:r>
        <w:rPr>
          <w:rFonts w:eastAsia="Times New Roman"/>
          <w:color w:val="000000"/>
          <w:sz w:val="20"/>
          <w:szCs w:val="20"/>
        </w:rPr>
        <w:t>luation allowance will generally result in a benefit from income tax.</w:t>
      </w:r>
    </w:p>
    <w:p w:rsidR="00000000" w:rsidRDefault="00BC22AF">
      <w:pPr>
        <w:jc w:val="both"/>
        <w:rPr>
          <w:rFonts w:eastAsia="Times New Roman"/>
        </w:rPr>
      </w:pPr>
    </w:p>
    <w:p w:rsidR="00000000" w:rsidRDefault="00BC22AF">
      <w:pPr>
        <w:jc w:val="both"/>
        <w:rPr>
          <w:rFonts w:eastAsia="Times New Roman"/>
        </w:rPr>
      </w:pPr>
    </w:p>
    <w:p w:rsidR="00000000" w:rsidRDefault="00BC22AF">
      <w:pPr>
        <w:jc w:val="both"/>
        <w:rPr>
          <w:rFonts w:eastAsia="Times New Roman"/>
        </w:rPr>
      </w:pPr>
      <w:r>
        <w:rPr>
          <w:rFonts w:eastAsia="Times New Roman"/>
          <w:b/>
          <w:bCs/>
          <w:color w:val="000000"/>
          <w:sz w:val="20"/>
          <w:szCs w:val="20"/>
        </w:rPr>
        <w:t>6. Stock-Based Compensation</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The Company’s Stock Incentive Plan (the “Plan”</w:t>
      </w:r>
      <w:r>
        <w:rPr>
          <w:rFonts w:eastAsia="Times New Roman"/>
          <w:color w:val="000000"/>
          <w:sz w:val="20"/>
          <w:szCs w:val="20"/>
        </w:rPr>
        <w:t xml:space="preserve">), as amended and restated in May of 2013, authorizes the grant of non-qualified stock options, incentive stock options, stock appreciation rights, restricted stock, restricted stock units (“RSUs”), performance share units and incentive bonuses to </w:t>
      </w:r>
      <w:r>
        <w:rPr>
          <w:rFonts w:eastAsia="Times New Roman"/>
          <w:color w:val="000000"/>
          <w:sz w:val="20"/>
          <w:szCs w:val="20"/>
          <w:shd w:val="clear" w:color="auto" w:fill="FFFFFF"/>
        </w:rPr>
        <w:t>employee</w:t>
      </w:r>
      <w:r>
        <w:rPr>
          <w:rFonts w:eastAsia="Times New Roman"/>
          <w:color w:val="000000"/>
          <w:sz w:val="20"/>
          <w:szCs w:val="20"/>
          <w:shd w:val="clear" w:color="auto" w:fill="FFFFFF"/>
        </w:rPr>
        <w:t>s, officers, non-employee directors and other service providers. As of June 28, 2022, approximately 2.4 million share-based awards were available to be granted under the Plan.</w:t>
      </w:r>
    </w:p>
    <w:p w:rsidR="00000000" w:rsidRDefault="00BC22AF">
      <w:pPr>
        <w:divId w:val="1729524102"/>
        <w:rPr>
          <w:rFonts w:eastAsia="Times New Roman"/>
        </w:rPr>
      </w:pPr>
    </w:p>
    <w:p w:rsidR="00000000" w:rsidRDefault="00BC22AF">
      <w:pPr>
        <w:divId w:val="1034768023"/>
        <w:rPr>
          <w:rFonts w:eastAsia="Times New Roman"/>
        </w:rPr>
      </w:pPr>
      <w:r>
        <w:rPr>
          <w:rFonts w:eastAsia="Times New Roman"/>
          <w:color w:val="000000"/>
          <w:sz w:val="20"/>
          <w:szCs w:val="20"/>
        </w:rPr>
        <w:t>The following table shows total stock-based compensation expense (in thousands</w:t>
      </w:r>
      <w:r>
        <w:rPr>
          <w:rFonts w:eastAsia="Times New Roman"/>
          <w:color w:val="000000"/>
          <w:sz w:val="20"/>
          <w:szCs w:val="20"/>
        </w:rPr>
        <w:t xml:space="preserve">): </w:t>
      </w:r>
    </w:p>
    <w:tbl>
      <w:tblPr>
        <w:tblW w:w="4956" w:type="pct"/>
        <w:jc w:val="center"/>
        <w:tblCellMar>
          <w:top w:w="15" w:type="dxa"/>
          <w:left w:w="15" w:type="dxa"/>
          <w:bottom w:w="15" w:type="dxa"/>
          <w:right w:w="15" w:type="dxa"/>
        </w:tblCellMar>
        <w:tblLook w:val="04A0" w:firstRow="1" w:lastRow="0" w:firstColumn="1" w:lastColumn="0" w:noHBand="0" w:noVBand="1"/>
      </w:tblPr>
      <w:tblGrid>
        <w:gridCol w:w="37"/>
        <w:gridCol w:w="3680"/>
        <w:gridCol w:w="36"/>
        <w:gridCol w:w="120"/>
        <w:gridCol w:w="916"/>
        <w:gridCol w:w="36"/>
        <w:gridCol w:w="36"/>
        <w:gridCol w:w="36"/>
        <w:gridCol w:w="36"/>
        <w:gridCol w:w="120"/>
        <w:gridCol w:w="872"/>
        <w:gridCol w:w="36"/>
        <w:gridCol w:w="36"/>
        <w:gridCol w:w="36"/>
        <w:gridCol w:w="36"/>
        <w:gridCol w:w="120"/>
        <w:gridCol w:w="872"/>
        <w:gridCol w:w="36"/>
        <w:gridCol w:w="36"/>
        <w:gridCol w:w="36"/>
        <w:gridCol w:w="36"/>
        <w:gridCol w:w="120"/>
        <w:gridCol w:w="872"/>
        <w:gridCol w:w="36"/>
      </w:tblGrid>
      <w:tr w:rsidR="00000000">
        <w:trPr>
          <w:jc w:val="center"/>
        </w:trPr>
        <w:tc>
          <w:tcPr>
            <w:tcW w:w="50" w:type="pct"/>
            <w:vAlign w:val="center"/>
            <w:hideMark/>
          </w:tcPr>
          <w:p w:rsidR="00000000" w:rsidRDefault="00BC22AF">
            <w:pPr>
              <w:rPr>
                <w:rFonts w:eastAsia="Times New Roman"/>
              </w:rPr>
            </w:pPr>
          </w:p>
        </w:tc>
        <w:tc>
          <w:tcPr>
            <w:tcW w:w="2268"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Two Fiscal Quarters Ended</w:t>
            </w:r>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xml:space="preserve">Stock-based compensation expense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1,499 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1,611 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2,668 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Capitalized stock-based compensation expense</w:t>
            </w:r>
          </w:p>
        </w:tc>
        <w:tc>
          <w:tcPr>
            <w:tcW w:w="0" w:type="auto"/>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18 </w:t>
            </w:r>
          </w:p>
        </w:tc>
        <w:tc>
          <w:tcPr>
            <w:tcW w:w="0" w:type="auto"/>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bl>
    <w:p w:rsidR="00000000" w:rsidRDefault="00BC22AF">
      <w:pPr>
        <w:divId w:val="1257179744"/>
        <w:rPr>
          <w:rFonts w:eastAsia="Times New Roman"/>
        </w:rPr>
      </w:pPr>
    </w:p>
    <w:p w:rsidR="00000000" w:rsidRDefault="00BC22AF">
      <w:pPr>
        <w:jc w:val="both"/>
        <w:rPr>
          <w:rFonts w:eastAsia="Times New Roman"/>
        </w:rPr>
      </w:pPr>
    </w:p>
    <w:p w:rsidR="00000000" w:rsidRDefault="00BC22AF">
      <w:pPr>
        <w:jc w:val="center"/>
        <w:divId w:val="524177656"/>
        <w:rPr>
          <w:rFonts w:eastAsia="Times New Roman"/>
        </w:rPr>
      </w:pPr>
      <w:r>
        <w:rPr>
          <w:rFonts w:eastAsia="Times New Roman"/>
          <w:color w:val="000000"/>
          <w:sz w:val="20"/>
          <w:szCs w:val="20"/>
        </w:rPr>
        <w:t>9</w:t>
      </w:r>
    </w:p>
    <w:p w:rsidR="00000000" w:rsidRDefault="00BC22AF">
      <w:pPr>
        <w:rPr>
          <w:rFonts w:eastAsia="Times New Roman"/>
        </w:rPr>
      </w:pPr>
      <w:r>
        <w:rPr>
          <w:rFonts w:eastAsia="Times New Roman"/>
        </w:rPr>
        <w:pict>
          <v:rect id="_x0000_i1034" style="width:0;height:1.5pt" o:hralign="center" o:hrstd="t" o:hr="t" fillcolor="#a0a0a0" stroked="f"/>
        </w:pict>
      </w:r>
    </w:p>
    <w:p w:rsidR="00000000" w:rsidRDefault="00BC22AF">
      <w:pPr>
        <w:divId w:val="1402291496"/>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both"/>
        <w:rPr>
          <w:rFonts w:eastAsia="Times New Roman"/>
        </w:rPr>
      </w:pPr>
      <w:r>
        <w:rPr>
          <w:rFonts w:eastAsia="Times New Roman"/>
          <w:b/>
          <w:bCs/>
          <w:color w:val="000000"/>
          <w:sz w:val="20"/>
          <w:szCs w:val="20"/>
        </w:rPr>
        <w:t>7. Restaurant Impairments, Closure Costs and Asset Disposals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The following table presents restaurant impairments, closure costs and asset disposals (in thousands):</w:t>
      </w:r>
    </w:p>
    <w:tbl>
      <w:tblPr>
        <w:tblW w:w="4956" w:type="pct"/>
        <w:jc w:val="center"/>
        <w:tblCellMar>
          <w:top w:w="15" w:type="dxa"/>
          <w:left w:w="15" w:type="dxa"/>
          <w:bottom w:w="15" w:type="dxa"/>
          <w:right w:w="15" w:type="dxa"/>
        </w:tblCellMar>
        <w:tblLook w:val="04A0" w:firstRow="1" w:lastRow="0" w:firstColumn="1" w:lastColumn="0" w:noHBand="0" w:noVBand="1"/>
      </w:tblPr>
      <w:tblGrid>
        <w:gridCol w:w="37"/>
        <w:gridCol w:w="3680"/>
        <w:gridCol w:w="36"/>
        <w:gridCol w:w="120"/>
        <w:gridCol w:w="916"/>
        <w:gridCol w:w="36"/>
        <w:gridCol w:w="36"/>
        <w:gridCol w:w="36"/>
        <w:gridCol w:w="36"/>
        <w:gridCol w:w="120"/>
        <w:gridCol w:w="872"/>
        <w:gridCol w:w="36"/>
        <w:gridCol w:w="36"/>
        <w:gridCol w:w="36"/>
        <w:gridCol w:w="36"/>
        <w:gridCol w:w="120"/>
        <w:gridCol w:w="872"/>
        <w:gridCol w:w="36"/>
        <w:gridCol w:w="36"/>
        <w:gridCol w:w="36"/>
        <w:gridCol w:w="36"/>
        <w:gridCol w:w="120"/>
        <w:gridCol w:w="872"/>
        <w:gridCol w:w="36"/>
      </w:tblGrid>
      <w:tr w:rsidR="00000000">
        <w:trPr>
          <w:jc w:val="center"/>
        </w:trPr>
        <w:tc>
          <w:tcPr>
            <w:tcW w:w="50" w:type="pct"/>
            <w:vAlign w:val="center"/>
            <w:hideMark/>
          </w:tcPr>
          <w:p w:rsidR="00000000" w:rsidRDefault="00BC22AF">
            <w:pPr>
              <w:jc w:val="both"/>
              <w:rPr>
                <w:rFonts w:eastAsia="Times New Roman"/>
              </w:rPr>
            </w:pPr>
          </w:p>
        </w:tc>
        <w:tc>
          <w:tcPr>
            <w:tcW w:w="2268"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Two Fiscal Quarters Ended</w:t>
            </w:r>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divId w:val="1703361814"/>
              <w:rPr>
                <w:rFonts w:eastAsia="Times New Roman"/>
              </w:rPr>
            </w:pPr>
            <w:r>
              <w:rPr>
                <w:rFonts w:eastAsia="Times New Roman"/>
                <w:color w:val="000000"/>
                <w:sz w:val="20"/>
                <w:szCs w:val="20"/>
              </w:rPr>
              <w:t>Restaurant impairments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divId w:val="507209608"/>
              <w:rPr>
                <w:rFonts w:eastAsia="Times New Roman"/>
              </w:rPr>
            </w:pPr>
            <w:r>
              <w:rPr>
                <w:rFonts w:eastAsia="Times New Roman"/>
                <w:color w:val="000000"/>
                <w:sz w:val="20"/>
                <w:szCs w:val="20"/>
              </w:rPr>
              <w:t>Closure costs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465 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288 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855 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593 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Loss (gain) on disposal of assets and other</w:t>
            </w: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838 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(76)</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1,731 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348 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3,360 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1,621 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bl>
    <w:p w:rsidR="00000000" w:rsidRDefault="00BC22AF">
      <w:pPr>
        <w:ind w:hanging="450"/>
        <w:divId w:val="211045287"/>
        <w:rPr>
          <w:rFonts w:eastAsia="Times New Roman"/>
        </w:rPr>
      </w:pPr>
      <w:r>
        <w:rPr>
          <w:rFonts w:eastAsia="Times New Roman"/>
          <w:color w:val="000000"/>
          <w:sz w:val="16"/>
          <w:szCs w:val="16"/>
        </w:rPr>
        <w:t>_____________________________</w:t>
      </w:r>
    </w:p>
    <w:p w:rsidR="00000000" w:rsidRDefault="00BC22AF">
      <w:pPr>
        <w:ind w:hanging="720"/>
        <w:jc w:val="both"/>
        <w:rPr>
          <w:rFonts w:eastAsia="Times New Roman"/>
        </w:rPr>
      </w:pPr>
      <w:r>
        <w:rPr>
          <w:rFonts w:eastAsia="Times New Roman"/>
          <w:color w:val="000000"/>
          <w:sz w:val="16"/>
          <w:szCs w:val="16"/>
        </w:rPr>
        <w:t>(1)Restaurant impairments and closure costs in all periods presented abo</w:t>
      </w:r>
      <w:r>
        <w:rPr>
          <w:rFonts w:eastAsia="Times New Roman"/>
          <w:color w:val="000000"/>
          <w:sz w:val="16"/>
          <w:szCs w:val="16"/>
        </w:rPr>
        <w:t xml:space="preserve">ve include amounts related to restaurants previously impaired or closed. </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 xml:space="preserve">Two </w:t>
      </w:r>
      <w:r>
        <w:rPr>
          <w:rFonts w:eastAsia="Times New Roman"/>
          <w:color w:val="000000"/>
          <w:sz w:val="20"/>
          <w:szCs w:val="20"/>
          <w:shd w:val="clear" w:color="auto" w:fill="FFFFFF"/>
        </w:rPr>
        <w:t>restaurants were identified as impaired during t</w:t>
      </w:r>
      <w:r>
        <w:rPr>
          <w:rFonts w:eastAsia="Times New Roman"/>
          <w:color w:val="000000"/>
          <w:sz w:val="20"/>
          <w:szCs w:val="20"/>
        </w:rPr>
        <w:t xml:space="preserve">he second quarter of 2022 and the first two quarters of 2022. There were no restaurant impairments in the second quarter of 2021 and one restaurant impairment during the first two quarters of 2021. </w:t>
      </w:r>
      <w:r>
        <w:rPr>
          <w:rFonts w:eastAsia="Times New Roman"/>
          <w:color w:val="000000"/>
          <w:sz w:val="20"/>
          <w:szCs w:val="20"/>
          <w:shd w:val="clear" w:color="auto" w:fill="FFFFFF"/>
        </w:rPr>
        <w:t>I</w:t>
      </w:r>
      <w:r>
        <w:rPr>
          <w:rFonts w:eastAsia="Times New Roman"/>
          <w:color w:val="000000"/>
          <w:sz w:val="20"/>
          <w:szCs w:val="20"/>
        </w:rPr>
        <w:t xml:space="preserve">mpairment is based on management’s current assessment of </w:t>
      </w:r>
      <w:r>
        <w:rPr>
          <w:rFonts w:eastAsia="Times New Roman"/>
          <w:color w:val="000000"/>
          <w:sz w:val="20"/>
          <w:szCs w:val="20"/>
        </w:rPr>
        <w:t xml:space="preserve">the expected future cash flows of a restaurant based on recent results and other specific market factors. Impairment expense is a Level 3 fair value measure and is determined by comparing the carrying value of restaurant assets to the estimated fair value </w:t>
      </w:r>
      <w:r>
        <w:rPr>
          <w:rFonts w:eastAsia="Times New Roman"/>
          <w:color w:val="000000"/>
          <w:sz w:val="20"/>
          <w:szCs w:val="20"/>
        </w:rPr>
        <w:t>of the restaurant assets at resale value and the right-of-use asset based on a discounted cash flow analysis utilizing market lease rates. The Company will continue to monitor the impact from the COVID-19 pandemic as it relates to recoverability of long-li</w:t>
      </w:r>
      <w:r>
        <w:rPr>
          <w:rFonts w:eastAsia="Times New Roman"/>
          <w:color w:val="000000"/>
          <w:sz w:val="20"/>
          <w:szCs w:val="20"/>
        </w:rPr>
        <w:t>ved assets. Although the Company has seen an improvement in sales, the Company is unable to predict how long these conditions will persist.</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shd w:val="clear" w:color="auto" w:fill="FFFFFF"/>
        </w:rPr>
        <w:t xml:space="preserve">Closure costs in the second quarter of 2022 include ongoing costs related to restaurants closed in previous years </w:t>
      </w:r>
      <w:r>
        <w:rPr>
          <w:rFonts w:eastAsia="Times New Roman"/>
          <w:color w:val="000000"/>
          <w:sz w:val="20"/>
          <w:szCs w:val="20"/>
          <w:shd w:val="clear" w:color="auto" w:fill="FFFFFF"/>
        </w:rPr>
        <w:t>as well as two company-owned restaurant closures during the first two quarters of 2022. The Company did not close any restaurants in the second quarter of 2022. Closure costs in the first two quarters of 2021 include ongoing costs related to restaurants cl</w:t>
      </w:r>
      <w:r>
        <w:rPr>
          <w:rFonts w:eastAsia="Times New Roman"/>
          <w:color w:val="000000"/>
          <w:sz w:val="20"/>
          <w:szCs w:val="20"/>
          <w:shd w:val="clear" w:color="auto" w:fill="FFFFFF"/>
        </w:rPr>
        <w:t xml:space="preserve">osed in previous years as well as six restaurant closures in the first two quarters of 2021. </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shd w:val="clear" w:color="auto" w:fill="FFFFFF"/>
        </w:rPr>
        <w:t xml:space="preserve">Loss on disposal of assets and other for the </w:t>
      </w:r>
      <w:r>
        <w:rPr>
          <w:rFonts w:eastAsia="Times New Roman"/>
          <w:color w:val="000000"/>
          <w:sz w:val="20"/>
          <w:szCs w:val="20"/>
        </w:rPr>
        <w:t>second quarter and</w:t>
      </w:r>
      <w:r>
        <w:rPr>
          <w:rFonts w:eastAsia="Times New Roman"/>
          <w:color w:val="000000"/>
          <w:sz w:val="20"/>
          <w:szCs w:val="20"/>
          <w:shd w:val="clear" w:color="auto" w:fill="FFFFFF"/>
        </w:rPr>
        <w:t xml:space="preserve"> the first </w:t>
      </w:r>
      <w:r>
        <w:rPr>
          <w:rFonts w:eastAsia="Times New Roman"/>
          <w:color w:val="000000"/>
          <w:sz w:val="20"/>
          <w:szCs w:val="20"/>
        </w:rPr>
        <w:t>two quarters</w:t>
      </w:r>
      <w:r>
        <w:rPr>
          <w:rFonts w:eastAsia="Times New Roman"/>
          <w:color w:val="000000"/>
          <w:sz w:val="20"/>
          <w:szCs w:val="20"/>
          <w:shd w:val="clear" w:color="auto" w:fill="FFFFFF"/>
        </w:rPr>
        <w:t xml:space="preserve"> of 2022 includes expenses related to the divestiture of company-owned res</w:t>
      </w:r>
      <w:r>
        <w:rPr>
          <w:rFonts w:eastAsia="Times New Roman"/>
          <w:color w:val="000000"/>
          <w:sz w:val="20"/>
          <w:szCs w:val="20"/>
          <w:shd w:val="clear" w:color="auto" w:fill="FFFFFF"/>
        </w:rPr>
        <w:t xml:space="preserve">taurants related to the Warner Sale. Both periods include disposals of assets in the normal course of business. Loss on disposal of assets and other for the second quarter of 2021 includes a gain on insurance proceeds from property damage. </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These expense</w:t>
      </w:r>
      <w:r>
        <w:rPr>
          <w:rFonts w:eastAsia="Times New Roman"/>
          <w:color w:val="000000"/>
          <w:sz w:val="20"/>
          <w:szCs w:val="20"/>
        </w:rPr>
        <w:t xml:space="preserve">s are included in the “Restaurant impairments, closure costs and asset disposals” line in the Condensed Consolidated Statements of Operations. </w:t>
      </w:r>
    </w:p>
    <w:p w:rsidR="00000000" w:rsidRDefault="00BC22AF">
      <w:pPr>
        <w:jc w:val="both"/>
        <w:rPr>
          <w:rFonts w:eastAsia="Times New Roman"/>
        </w:rPr>
      </w:pPr>
    </w:p>
    <w:p w:rsidR="00000000" w:rsidRDefault="00BC22AF">
      <w:pPr>
        <w:jc w:val="both"/>
        <w:rPr>
          <w:rFonts w:eastAsia="Times New Roman"/>
        </w:rPr>
      </w:pPr>
      <w:r>
        <w:rPr>
          <w:rFonts w:eastAsia="Times New Roman"/>
          <w:b/>
          <w:bCs/>
          <w:color w:val="000000"/>
          <w:sz w:val="20"/>
          <w:szCs w:val="20"/>
          <w:shd w:val="clear" w:color="auto" w:fill="FFFFFF"/>
        </w:rPr>
        <w:t>8. Earnings (Loss) Per Share</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Basic earnings (loss) per share (“EPS”) is calculated by dividing net income (l</w:t>
      </w:r>
      <w:r>
        <w:rPr>
          <w:rFonts w:eastAsia="Times New Roman"/>
          <w:color w:val="000000"/>
          <w:sz w:val="20"/>
          <w:szCs w:val="20"/>
        </w:rPr>
        <w:t xml:space="preserve">oss) available to common stockholders by the weighted-average number of shares of common stock outstanding during each period. Diluted EPS is calculated using net income (loss) available to common stockholders divided by diluted weighted-average shares of </w:t>
      </w:r>
      <w:r>
        <w:rPr>
          <w:rFonts w:eastAsia="Times New Roman"/>
          <w:color w:val="000000"/>
          <w:sz w:val="20"/>
          <w:szCs w:val="20"/>
        </w:rPr>
        <w:t>common stock outstanding during each period. Potentially dilutive securities include shares of common stock underlying stock options, warrants and RSUs. Diluted EPS considers the impact of potentially dilutive securities except in periods in which there is</w:t>
      </w:r>
      <w:r>
        <w:rPr>
          <w:rFonts w:eastAsia="Times New Roman"/>
          <w:color w:val="000000"/>
          <w:sz w:val="20"/>
          <w:szCs w:val="20"/>
        </w:rPr>
        <w:t xml:space="preserve"> a loss because the inclusion of the potential common shares would have an anti-dilutive effect. </w:t>
      </w:r>
    </w:p>
    <w:p w:rsidR="00000000" w:rsidRDefault="00BC22AF">
      <w:pPr>
        <w:jc w:val="center"/>
        <w:divId w:val="1734503922"/>
        <w:rPr>
          <w:rFonts w:eastAsia="Times New Roman"/>
        </w:rPr>
      </w:pPr>
      <w:r>
        <w:rPr>
          <w:rFonts w:eastAsia="Times New Roman"/>
          <w:color w:val="000000"/>
          <w:sz w:val="20"/>
          <w:szCs w:val="20"/>
        </w:rPr>
        <w:t>10</w:t>
      </w:r>
    </w:p>
    <w:p w:rsidR="00000000" w:rsidRDefault="00BC22AF">
      <w:pPr>
        <w:rPr>
          <w:rFonts w:eastAsia="Times New Roman"/>
        </w:rPr>
      </w:pPr>
      <w:r>
        <w:rPr>
          <w:rFonts w:eastAsia="Times New Roman"/>
        </w:rPr>
        <w:pict>
          <v:rect id="_x0000_i1035" style="width:0;height:1.5pt" o:hralign="center" o:hrstd="t" o:hr="t" fillcolor="#a0a0a0" stroked="f"/>
        </w:pict>
      </w:r>
    </w:p>
    <w:p w:rsidR="00000000" w:rsidRDefault="00BC22AF">
      <w:pPr>
        <w:divId w:val="372773920"/>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The following table sets forth the comp</w:t>
      </w:r>
      <w:r>
        <w:rPr>
          <w:rFonts w:eastAsia="Times New Roman"/>
          <w:color w:val="000000"/>
          <w:sz w:val="20"/>
          <w:szCs w:val="20"/>
        </w:rPr>
        <w:t>utations of basic and diluted EPS (in thousands, except share and per share data):</w:t>
      </w:r>
    </w:p>
    <w:tbl>
      <w:tblPr>
        <w:tblW w:w="4992" w:type="pct"/>
        <w:tblCellMar>
          <w:top w:w="15" w:type="dxa"/>
          <w:left w:w="15" w:type="dxa"/>
          <w:bottom w:w="15" w:type="dxa"/>
          <w:right w:w="15" w:type="dxa"/>
        </w:tblCellMar>
        <w:tblLook w:val="04A0" w:firstRow="1" w:lastRow="0" w:firstColumn="1" w:lastColumn="0" w:noHBand="0" w:noVBand="1"/>
      </w:tblPr>
      <w:tblGrid>
        <w:gridCol w:w="38"/>
        <w:gridCol w:w="3586"/>
        <w:gridCol w:w="37"/>
        <w:gridCol w:w="36"/>
        <w:gridCol w:w="36"/>
        <w:gridCol w:w="36"/>
        <w:gridCol w:w="121"/>
        <w:gridCol w:w="893"/>
        <w:gridCol w:w="36"/>
        <w:gridCol w:w="36"/>
        <w:gridCol w:w="36"/>
        <w:gridCol w:w="36"/>
        <w:gridCol w:w="121"/>
        <w:gridCol w:w="893"/>
        <w:gridCol w:w="36"/>
        <w:gridCol w:w="36"/>
        <w:gridCol w:w="36"/>
        <w:gridCol w:w="36"/>
        <w:gridCol w:w="121"/>
        <w:gridCol w:w="893"/>
        <w:gridCol w:w="36"/>
        <w:gridCol w:w="36"/>
        <w:gridCol w:w="36"/>
        <w:gridCol w:w="36"/>
        <w:gridCol w:w="121"/>
        <w:gridCol w:w="893"/>
        <w:gridCol w:w="36"/>
      </w:tblGrid>
      <w:tr w:rsidR="00000000">
        <w:tc>
          <w:tcPr>
            <w:tcW w:w="50" w:type="pct"/>
            <w:vAlign w:val="center"/>
            <w:hideMark/>
          </w:tcPr>
          <w:p w:rsidR="00000000" w:rsidRDefault="00BC22AF">
            <w:pPr>
              <w:jc w:val="both"/>
              <w:rPr>
                <w:rFonts w:eastAsia="Times New Roman"/>
              </w:rPr>
            </w:pPr>
          </w:p>
        </w:tc>
        <w:tc>
          <w:tcPr>
            <w:tcW w:w="225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2"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Two Fiscal Quarters Ended</w:t>
            </w:r>
          </w:p>
        </w:tc>
      </w:tr>
      <w:tr w:rsidR="00000000">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1,345 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5,683 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(5,084)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3,706 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Shares: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Basic weighted average shares outstanding</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45,881,354 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45,506,476 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45,803,927 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45,303,160 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Effect of dilutive securities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227,366 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739,693 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688,959 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Diluted weighted average shares outstanding</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46,108,720 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46,246,169 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45,803,927 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45,992,119 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Earnings (loss) per share:</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Basic earnings (loss) per share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0.03 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(0.11)</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0.08 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Diluted earnings (loss) per share</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0.03 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(0.11)</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0.08 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bl>
    <w:p w:rsidR="00000000" w:rsidRDefault="00BC22AF">
      <w:pPr>
        <w:divId w:val="186798277"/>
        <w:rPr>
          <w:rFonts w:eastAsia="Times New Roman"/>
        </w:rPr>
      </w:pPr>
    </w:p>
    <w:p w:rsidR="00000000" w:rsidRDefault="00BC22AF">
      <w:pPr>
        <w:jc w:val="both"/>
        <w:rPr>
          <w:rFonts w:eastAsia="Times New Roman"/>
        </w:rPr>
      </w:pPr>
      <w:r>
        <w:rPr>
          <w:rFonts w:eastAsia="Times New Roman"/>
          <w:color w:val="000000"/>
          <w:sz w:val="20"/>
          <w:szCs w:val="20"/>
        </w:rPr>
        <w:t>The Company computes the effect of dilutive securities using the treasury stock method and average market prices during the period. Potential common shares are excluded from the computation of diluted earnings (loss) per share when the effect would be anti</w:t>
      </w:r>
      <w:r>
        <w:rPr>
          <w:rFonts w:eastAsia="Times New Roman"/>
          <w:color w:val="000000"/>
          <w:sz w:val="20"/>
          <w:szCs w:val="20"/>
        </w:rPr>
        <w:t xml:space="preserve">-dilutive. The shares issuable on the vesting or exercise of share-based awards that were excluded from the calculation of diluted earnings per share because the effect of their inclusion would have been anti-dilutive totaled 1,798,409 and 478,353 for the </w:t>
      </w:r>
      <w:r>
        <w:rPr>
          <w:rFonts w:eastAsia="Times New Roman"/>
          <w:color w:val="000000"/>
          <w:sz w:val="20"/>
          <w:szCs w:val="20"/>
        </w:rPr>
        <w:t>second quarters of 2022 and 2021, respectively, and totaled 2,278,371 and 730,847 for the first two quarters of 2022 and 2021, respectively.</w:t>
      </w:r>
    </w:p>
    <w:p w:rsidR="00000000" w:rsidRDefault="00BC22AF">
      <w:pPr>
        <w:jc w:val="both"/>
        <w:rPr>
          <w:rFonts w:eastAsia="Times New Roman"/>
        </w:rPr>
      </w:pPr>
    </w:p>
    <w:p w:rsidR="00000000" w:rsidRDefault="00BC22AF">
      <w:pPr>
        <w:jc w:val="both"/>
        <w:rPr>
          <w:rFonts w:eastAsia="Times New Roman"/>
        </w:rPr>
      </w:pPr>
      <w:r>
        <w:rPr>
          <w:rFonts w:eastAsia="Times New Roman"/>
          <w:b/>
          <w:bCs/>
          <w:color w:val="000000"/>
          <w:sz w:val="20"/>
          <w:szCs w:val="20"/>
        </w:rPr>
        <w:t>9. Leases</w:t>
      </w:r>
    </w:p>
    <w:p w:rsidR="00000000" w:rsidRDefault="00BC22AF">
      <w:pPr>
        <w:jc w:val="both"/>
        <w:divId w:val="584416272"/>
        <w:rPr>
          <w:rFonts w:eastAsia="Times New Roman"/>
        </w:rPr>
      </w:pPr>
      <w:r>
        <w:rPr>
          <w:rFonts w:eastAsia="Times New Roman"/>
          <w:color w:val="000000"/>
          <w:sz w:val="20"/>
          <w:szCs w:val="20"/>
        </w:rPr>
        <w:t>Supplemental balance sheet information related to leases is as follows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1744"/>
        <w:gridCol w:w="38"/>
        <w:gridCol w:w="40"/>
        <w:gridCol w:w="3784"/>
        <w:gridCol w:w="36"/>
        <w:gridCol w:w="36"/>
        <w:gridCol w:w="36"/>
        <w:gridCol w:w="36"/>
        <w:gridCol w:w="120"/>
        <w:gridCol w:w="1062"/>
        <w:gridCol w:w="36"/>
        <w:gridCol w:w="36"/>
        <w:gridCol w:w="36"/>
        <w:gridCol w:w="36"/>
        <w:gridCol w:w="120"/>
        <w:gridCol w:w="1027"/>
        <w:gridCol w:w="36"/>
      </w:tblGrid>
      <w:tr w:rsidR="00000000">
        <w:trPr>
          <w:jc w:val="center"/>
        </w:trPr>
        <w:tc>
          <w:tcPr>
            <w:tcW w:w="50" w:type="pct"/>
            <w:vAlign w:val="center"/>
            <w:hideMark/>
          </w:tcPr>
          <w:p w:rsidR="00000000" w:rsidRDefault="00BC22AF">
            <w:pPr>
              <w:jc w:val="both"/>
              <w:rPr>
                <w:rFonts w:eastAsia="Times New Roman"/>
              </w:rPr>
            </w:pPr>
          </w:p>
        </w:tc>
        <w:tc>
          <w:tcPr>
            <w:tcW w:w="1080"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2303"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19"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66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66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Classification</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2021</w:t>
            </w:r>
          </w:p>
        </w:tc>
      </w:tr>
      <w:tr w:rsidR="00000000">
        <w:trPr>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xml:space="preserve">Operating lease assets, net </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184,947 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188,440 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Property and equipmen</w:t>
            </w:r>
            <w:r>
              <w:rPr>
                <w:rFonts w:eastAsia="Times New Roman"/>
                <w:color w:val="000000"/>
                <w:sz w:val="20"/>
                <w:szCs w:val="20"/>
              </w:rPr>
              <w:t>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5,924 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6,394 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Total leased assets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190,871 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194,834 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Current lease liabilities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Operating</w:t>
            </w:r>
          </w:p>
        </w:tc>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Current 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27,518 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26,617 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Finance</w:t>
            </w:r>
          </w:p>
        </w:tc>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Accrued expenses and other current liabilitie</w:t>
            </w:r>
            <w:r>
              <w:rPr>
                <w:rFonts w:eastAsia="Times New Roman"/>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2,075 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1,956 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Long-term lease liabilities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Long-term 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194,197 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200,243 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Other long-term liabilitie</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4,150 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4,654 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227,940 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233,470 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bl>
    <w:p w:rsidR="00000000" w:rsidRDefault="00BC22AF">
      <w:pPr>
        <w:divId w:val="15010562"/>
        <w:rPr>
          <w:rFonts w:eastAsia="Times New Roman"/>
        </w:rPr>
      </w:pPr>
    </w:p>
    <w:p w:rsidR="00000000" w:rsidRDefault="00BC22AF">
      <w:pPr>
        <w:jc w:val="both"/>
        <w:rPr>
          <w:rFonts w:eastAsia="Times New Roman"/>
        </w:rPr>
      </w:pPr>
      <w:r>
        <w:rPr>
          <w:rFonts w:eastAsia="Times New Roman"/>
          <w:color w:val="000000"/>
          <w:sz w:val="20"/>
          <w:szCs w:val="20"/>
        </w:rPr>
        <w:t>Sublease income recognized in the Condensed Consolidated Statements of Operations was $0.8 million and $0.5 million for the second quarter of 2022 and 2021, and $1.6 million and $0.9 million for the first two quarters of 2022 and 2021, respectivel</w:t>
      </w:r>
      <w:r>
        <w:rPr>
          <w:rFonts w:eastAsia="Times New Roman"/>
          <w:color w:val="000000"/>
          <w:sz w:val="20"/>
          <w:szCs w:val="20"/>
        </w:rPr>
        <w:t>y.</w:t>
      </w:r>
    </w:p>
    <w:p w:rsidR="00000000" w:rsidRDefault="00BC22AF">
      <w:pPr>
        <w:divId w:val="1204753454"/>
        <w:rPr>
          <w:rFonts w:eastAsia="Times New Roman"/>
        </w:rPr>
      </w:pPr>
    </w:p>
    <w:p w:rsidR="00000000" w:rsidRDefault="00BC22AF">
      <w:pPr>
        <w:jc w:val="center"/>
        <w:divId w:val="1221869670"/>
        <w:rPr>
          <w:rFonts w:eastAsia="Times New Roman"/>
        </w:rPr>
      </w:pPr>
      <w:r>
        <w:rPr>
          <w:rFonts w:eastAsia="Times New Roman"/>
          <w:color w:val="000000"/>
          <w:sz w:val="20"/>
          <w:szCs w:val="20"/>
        </w:rPr>
        <w:t>11</w:t>
      </w:r>
    </w:p>
    <w:p w:rsidR="00000000" w:rsidRDefault="00BC22AF">
      <w:pPr>
        <w:rPr>
          <w:rFonts w:eastAsia="Times New Roman"/>
        </w:rPr>
      </w:pPr>
      <w:r>
        <w:rPr>
          <w:rFonts w:eastAsia="Times New Roman"/>
        </w:rPr>
        <w:pict>
          <v:rect id="_x0000_i1036" style="width:0;height:1.5pt" o:hralign="center" o:hrstd="t" o:hr="t" fillcolor="#a0a0a0" stroked="f"/>
        </w:pict>
      </w:r>
    </w:p>
    <w:p w:rsidR="00000000" w:rsidRDefault="00BC22AF">
      <w:pPr>
        <w:divId w:val="482546613"/>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both"/>
        <w:rPr>
          <w:rFonts w:eastAsia="Times New Roman"/>
        </w:rPr>
      </w:pPr>
      <w:r>
        <w:rPr>
          <w:rFonts w:eastAsia="Times New Roman"/>
          <w:color w:val="000000"/>
          <w:sz w:val="20"/>
          <w:szCs w:val="20"/>
        </w:rPr>
        <w:t>Supplemental disclosures of cash flow information related to leases are as follows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3680"/>
        <w:gridCol w:w="37"/>
        <w:gridCol w:w="36"/>
        <w:gridCol w:w="36"/>
        <w:gridCol w:w="36"/>
        <w:gridCol w:w="120"/>
        <w:gridCol w:w="870"/>
        <w:gridCol w:w="36"/>
        <w:gridCol w:w="36"/>
        <w:gridCol w:w="36"/>
        <w:gridCol w:w="36"/>
        <w:gridCol w:w="120"/>
        <w:gridCol w:w="870"/>
        <w:gridCol w:w="36"/>
        <w:gridCol w:w="36"/>
        <w:gridCol w:w="36"/>
        <w:gridCol w:w="36"/>
        <w:gridCol w:w="120"/>
        <w:gridCol w:w="870"/>
        <w:gridCol w:w="36"/>
        <w:gridCol w:w="36"/>
        <w:gridCol w:w="36"/>
        <w:gridCol w:w="36"/>
        <w:gridCol w:w="120"/>
        <w:gridCol w:w="872"/>
        <w:gridCol w:w="36"/>
      </w:tblGrid>
      <w:tr w:rsidR="00000000">
        <w:trPr>
          <w:jc w:val="center"/>
        </w:trPr>
        <w:tc>
          <w:tcPr>
            <w:tcW w:w="50" w:type="pct"/>
            <w:vAlign w:val="center"/>
            <w:hideMark/>
          </w:tcPr>
          <w:p w:rsidR="00000000" w:rsidRDefault="00BC22AF">
            <w:pPr>
              <w:jc w:val="both"/>
              <w:rPr>
                <w:rFonts w:eastAsia="Times New Roman"/>
              </w:rPr>
            </w:pPr>
          </w:p>
        </w:tc>
        <w:tc>
          <w:tcPr>
            <w:tcW w:w="225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2"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Two Fiscal Quarters Ended</w:t>
            </w:r>
          </w:p>
        </w:tc>
      </w:tr>
      <w:tr w:rsidR="00000000">
        <w:trPr>
          <w:jc w:val="center"/>
        </w:trPr>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Cash paid for lease liabilities: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10,415 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7,929 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20,859 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19,595 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599 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699 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1,213 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1,224 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11,014 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8,628 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22,072 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20,819 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Right-of-use assets obtained in exchange for lease liabilities: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4,275 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6,123 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8,107 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6,696 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49 </w:t>
            </w:r>
          </w:p>
        </w:tc>
        <w:tc>
          <w:tcPr>
            <w:tcW w:w="0" w:type="auto"/>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843 </w:t>
            </w:r>
          </w:p>
        </w:tc>
        <w:tc>
          <w:tcPr>
            <w:tcW w:w="0" w:type="auto"/>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700 </w:t>
            </w:r>
          </w:p>
        </w:tc>
        <w:tc>
          <w:tcPr>
            <w:tcW w:w="0" w:type="auto"/>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4,396 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6,172 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8,950 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7,396 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bl>
    <w:p w:rsidR="00000000" w:rsidRDefault="00BC22AF">
      <w:pPr>
        <w:divId w:val="1995793468"/>
        <w:rPr>
          <w:rFonts w:eastAsia="Times New Roman"/>
        </w:rPr>
      </w:pPr>
    </w:p>
    <w:p w:rsidR="00000000" w:rsidRDefault="00BC22AF">
      <w:pPr>
        <w:divId w:val="2044282639"/>
        <w:rPr>
          <w:rFonts w:eastAsia="Times New Roman"/>
        </w:rPr>
      </w:pPr>
    </w:p>
    <w:p w:rsidR="00000000" w:rsidRDefault="00BC22AF">
      <w:pPr>
        <w:jc w:val="both"/>
        <w:rPr>
          <w:rFonts w:eastAsia="Times New Roman"/>
        </w:rPr>
      </w:pPr>
      <w:r>
        <w:rPr>
          <w:rFonts w:eastAsia="Times New Roman"/>
          <w:b/>
          <w:bCs/>
          <w:color w:val="000000"/>
          <w:sz w:val="20"/>
          <w:szCs w:val="20"/>
        </w:rPr>
        <w:t>10. Supplemental Disclosures to Condensed Consolidated Statements of Cash Flows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The following table presents the supplemental disclosures to the Condensed Consolidated Statements of Cash Flows for the two quarters ended June 28, 2022 and June 29, 2021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5937"/>
        <w:gridCol w:w="36"/>
        <w:gridCol w:w="36"/>
        <w:gridCol w:w="36"/>
        <w:gridCol w:w="36"/>
        <w:gridCol w:w="121"/>
        <w:gridCol w:w="881"/>
        <w:gridCol w:w="36"/>
        <w:gridCol w:w="36"/>
        <w:gridCol w:w="36"/>
        <w:gridCol w:w="36"/>
        <w:gridCol w:w="121"/>
        <w:gridCol w:w="884"/>
        <w:gridCol w:w="36"/>
      </w:tblGrid>
      <w:tr w:rsidR="00000000">
        <w:tc>
          <w:tcPr>
            <w:tcW w:w="50" w:type="pct"/>
            <w:vAlign w:val="center"/>
            <w:hideMark/>
          </w:tcPr>
          <w:p w:rsidR="00000000" w:rsidRDefault="00BC22AF">
            <w:pPr>
              <w:jc w:val="both"/>
              <w:rPr>
                <w:rFonts w:eastAsia="Times New Roman"/>
              </w:rPr>
            </w:pPr>
          </w:p>
        </w:tc>
        <w:tc>
          <w:tcPr>
            <w:tcW w:w="3599"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0"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Interest paid (net of amounts capitalized)</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Income taxes paid</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106 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Purchases of property and equipment accrued in accounts payable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5,504 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4,002 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bl>
    <w:p w:rsidR="00000000" w:rsidRDefault="00BC22AF">
      <w:pPr>
        <w:divId w:val="1414358402"/>
        <w:rPr>
          <w:rFonts w:eastAsia="Times New Roman"/>
        </w:rPr>
      </w:pPr>
    </w:p>
    <w:p w:rsidR="00000000" w:rsidRDefault="00BC22AF">
      <w:pPr>
        <w:jc w:val="both"/>
        <w:rPr>
          <w:rFonts w:eastAsia="Times New Roman"/>
        </w:rPr>
      </w:pPr>
      <w:r>
        <w:rPr>
          <w:rFonts w:eastAsia="Times New Roman"/>
          <w:b/>
          <w:bCs/>
          <w:color w:val="000000"/>
          <w:sz w:val="20"/>
          <w:szCs w:val="20"/>
        </w:rPr>
        <w:t>11. Revenue Recognition</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Revenue</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Revenue consists of sales from restaurant operations, franchise royalties and fees, and sublease income. Revenue from the operation of company-owned restaurants is recognized when sales occur. The Company reports revenue net of sales tax collected from cus</w:t>
      </w:r>
      <w:r>
        <w:rPr>
          <w:rFonts w:eastAsia="Times New Roman"/>
          <w:color w:val="000000"/>
          <w:sz w:val="20"/>
          <w:szCs w:val="20"/>
        </w:rPr>
        <w:t xml:space="preserve">tomers and remitted to governmental taxing authorities. </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Gift Cards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The Company sells gift cards which do not have an expiration date, and it does not deduct non-usage fees from outstanding gift card balances. The Company recognizes revenue from gift cards when the gift card is redeemed by the customer or the Company deter</w:t>
      </w:r>
      <w:r>
        <w:rPr>
          <w:rFonts w:eastAsia="Times New Roman"/>
          <w:color w:val="000000"/>
          <w:sz w:val="20"/>
          <w:szCs w:val="20"/>
        </w:rPr>
        <w:t>mines the likelihood of the gift card being redeemed by the customer is remote (“gift card breakage”). The determination of the gift card breakage rate is based upon Company-specific historical redemption patterns. The Company has determined that approxima</w:t>
      </w:r>
      <w:r>
        <w:rPr>
          <w:rFonts w:eastAsia="Times New Roman"/>
          <w:color w:val="000000"/>
          <w:sz w:val="20"/>
          <w:szCs w:val="20"/>
        </w:rPr>
        <w:t>tely 9% of gift cards will not be redeemed and recognizes gift card breakage ratably over the estimated redemption period of the gift card, which is approximately 24 months. Gift card liability balances are typically highest at the end of each calendar yea</w:t>
      </w:r>
      <w:r>
        <w:rPr>
          <w:rFonts w:eastAsia="Times New Roman"/>
          <w:color w:val="000000"/>
          <w:sz w:val="20"/>
          <w:szCs w:val="20"/>
        </w:rPr>
        <w:t xml:space="preserve">r following increased gift card purchases during the holiday season. </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 xml:space="preserve">As of June 28, 2022 and December 28, 2021, the current portion of the gift card liability, </w:t>
      </w:r>
      <w:r>
        <w:rPr>
          <w:rFonts w:eastAsia="Times New Roman"/>
          <w:color w:val="000000"/>
          <w:sz w:val="20"/>
          <w:szCs w:val="20"/>
          <w:shd w:val="clear" w:color="auto" w:fill="FFFFFF"/>
        </w:rPr>
        <w:t>$2.4 million</w:t>
      </w:r>
      <w:r>
        <w:rPr>
          <w:rFonts w:eastAsia="Times New Roman"/>
          <w:color w:val="000000"/>
          <w:sz w:val="20"/>
          <w:szCs w:val="20"/>
        </w:rPr>
        <w:t xml:space="preserve"> and $2.9 million, respectively, was included in accrued expenses and other curre</w:t>
      </w:r>
      <w:r>
        <w:rPr>
          <w:rFonts w:eastAsia="Times New Roman"/>
          <w:color w:val="000000"/>
          <w:sz w:val="20"/>
          <w:szCs w:val="20"/>
        </w:rPr>
        <w:t xml:space="preserve">nt liabilities, and the long-term portion, </w:t>
      </w:r>
      <w:r>
        <w:rPr>
          <w:rFonts w:eastAsia="Times New Roman"/>
          <w:color w:val="000000"/>
          <w:sz w:val="20"/>
          <w:szCs w:val="20"/>
          <w:shd w:val="clear" w:color="auto" w:fill="FFFFFF"/>
        </w:rPr>
        <w:t>$0.4 million</w:t>
      </w:r>
      <w:r>
        <w:rPr>
          <w:rFonts w:eastAsia="Times New Roman"/>
          <w:color w:val="000000"/>
          <w:sz w:val="20"/>
          <w:szCs w:val="20"/>
        </w:rPr>
        <w:t xml:space="preserve"> and $0.6 million, respectively, was included in other long-term liabilities in the Condensed Consolidated Balance Sheets.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Revenue recognized in the Condensed Consolidated Statements of Operations fo</w:t>
      </w:r>
      <w:r>
        <w:rPr>
          <w:rFonts w:eastAsia="Times New Roman"/>
          <w:color w:val="000000"/>
          <w:sz w:val="20"/>
          <w:szCs w:val="20"/>
        </w:rPr>
        <w:t xml:space="preserve">r the redemption of gift cards was $0.8 million for both the second quarters of 2022 and 2021, and </w:t>
      </w:r>
      <w:r>
        <w:rPr>
          <w:rFonts w:eastAsia="Times New Roman"/>
          <w:color w:val="000000"/>
          <w:sz w:val="20"/>
          <w:szCs w:val="20"/>
          <w:shd w:val="clear" w:color="auto" w:fill="FFFFFF"/>
        </w:rPr>
        <w:t>$1.8 million</w:t>
      </w:r>
      <w:r>
        <w:rPr>
          <w:rFonts w:eastAsia="Times New Roman"/>
          <w:color w:val="000000"/>
          <w:sz w:val="20"/>
          <w:szCs w:val="20"/>
        </w:rPr>
        <w:t xml:space="preserve"> and $1.9 million for the first two quarters of 2022 and 2021, respectively. </w:t>
      </w:r>
    </w:p>
    <w:p w:rsidR="00000000" w:rsidRDefault="00BC22AF">
      <w:pPr>
        <w:jc w:val="center"/>
        <w:divId w:val="1325550249"/>
        <w:rPr>
          <w:rFonts w:eastAsia="Times New Roman"/>
        </w:rPr>
      </w:pPr>
      <w:r>
        <w:rPr>
          <w:rFonts w:eastAsia="Times New Roman"/>
          <w:color w:val="000000"/>
          <w:sz w:val="20"/>
          <w:szCs w:val="20"/>
        </w:rPr>
        <w:t>12</w:t>
      </w:r>
    </w:p>
    <w:p w:rsidR="00000000" w:rsidRDefault="00BC22AF">
      <w:pPr>
        <w:rPr>
          <w:rFonts w:eastAsia="Times New Roman"/>
        </w:rPr>
      </w:pPr>
      <w:r>
        <w:rPr>
          <w:rFonts w:eastAsia="Times New Roman"/>
        </w:rPr>
        <w:pict>
          <v:rect id="_x0000_i1037" style="width:0;height:1.5pt" o:hralign="center" o:hrstd="t" o:hr="t" fillcolor="#a0a0a0" stroked="f"/>
        </w:pict>
      </w:r>
    </w:p>
    <w:p w:rsidR="00000000" w:rsidRDefault="00BC22AF">
      <w:pPr>
        <w:divId w:val="68616947"/>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Franchise Fees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 xml:space="preserve">Royalties from franchise restaurants are based on a percentage of restaurant revenues and are recognized in the period the related franchised restaurants’ sales occur. </w:t>
      </w:r>
      <w:r>
        <w:rPr>
          <w:rFonts w:eastAsia="Times New Roman"/>
          <w:color w:val="000000"/>
          <w:sz w:val="20"/>
          <w:szCs w:val="20"/>
          <w:shd w:val="clear" w:color="auto" w:fill="FFFFFF"/>
        </w:rPr>
        <w:t>Dev</w:t>
      </w:r>
      <w:r>
        <w:rPr>
          <w:rFonts w:eastAsia="Times New Roman"/>
          <w:color w:val="000000"/>
          <w:sz w:val="20"/>
          <w:szCs w:val="20"/>
        </w:rPr>
        <w:t>elopment fees and</w:t>
      </w:r>
      <w:r>
        <w:rPr>
          <w:rFonts w:eastAsia="Times New Roman"/>
          <w:color w:val="000000"/>
          <w:sz w:val="20"/>
          <w:szCs w:val="20"/>
        </w:rPr>
        <w:t xml:space="preserve"> franchise fees, portions of which are collected in advance, are nonrefundable and are recognized in income ratably over the term of the related franchise agreement or recognized upon the termination of the agreement between the Company and the franchisee.</w:t>
      </w:r>
      <w:r>
        <w:rPr>
          <w:rFonts w:eastAsia="Times New Roman"/>
          <w:color w:val="000000"/>
          <w:sz w:val="20"/>
          <w:szCs w:val="20"/>
        </w:rPr>
        <w:t xml:space="preserve"> The Company has determined that the initial franchise services are not distinct from the continuing rights or services offered during the term of the franchise agreement and should be treated as a single performance obligation; therefore, initial fees rec</w:t>
      </w:r>
      <w:r>
        <w:rPr>
          <w:rFonts w:eastAsia="Times New Roman"/>
          <w:color w:val="000000"/>
          <w:sz w:val="20"/>
          <w:szCs w:val="20"/>
        </w:rPr>
        <w:t xml:space="preserve">eived from franchisees are recognized as revenue over the term of each respective franchise agreement, which is typically 20 years. </w:t>
      </w:r>
    </w:p>
    <w:p w:rsidR="00000000" w:rsidRDefault="00BC22AF">
      <w:pPr>
        <w:jc w:val="both"/>
        <w:divId w:val="670376150"/>
        <w:rPr>
          <w:rFonts w:eastAsia="Times New Roman"/>
        </w:rPr>
      </w:pPr>
      <w:r>
        <w:rPr>
          <w:rFonts w:eastAsia="Times New Roman"/>
          <w:b/>
          <w:bCs/>
          <w:i/>
          <w:iCs/>
          <w:color w:val="000000"/>
          <w:sz w:val="20"/>
          <w:szCs w:val="20"/>
        </w:rPr>
        <w:t>Loyalty Program</w:t>
      </w:r>
    </w:p>
    <w:p w:rsidR="00000000" w:rsidRDefault="00BC22AF">
      <w:pPr>
        <w:jc w:val="both"/>
        <w:divId w:val="990596740"/>
        <w:rPr>
          <w:rFonts w:eastAsia="Times New Roman"/>
        </w:rPr>
      </w:pPr>
      <w:r>
        <w:rPr>
          <w:rFonts w:eastAsia="Times New Roman"/>
          <w:color w:val="000000"/>
          <w:sz w:val="20"/>
          <w:szCs w:val="20"/>
        </w:rPr>
        <w:t>The Company operates the Noodles Rewards program, which is primarily a spend-based loyalty program. With ea</w:t>
      </w:r>
      <w:r>
        <w:rPr>
          <w:rFonts w:eastAsia="Times New Roman"/>
          <w:color w:val="000000"/>
          <w:sz w:val="20"/>
          <w:szCs w:val="20"/>
        </w:rPr>
        <w:t xml:space="preserve">ch purchase, Noodles Rewards members earn loyalty points that can be redeemed for rewards, including free products. Using an estimate of the value of reward redemptions, we defer revenue associated with points earned, net of estimated points that will not </w:t>
      </w:r>
      <w:r>
        <w:rPr>
          <w:rFonts w:eastAsia="Times New Roman"/>
          <w:color w:val="000000"/>
          <w:sz w:val="20"/>
          <w:szCs w:val="20"/>
        </w:rPr>
        <w:t>be redeemed based upon the Company’s historical redemption patterns. Points generally expire after six months. Revenue is recognized in a future period when the reward points are redeemed. As of June 28, 2022 and December 28, 2021, the deferred revenue rel</w:t>
      </w:r>
      <w:r>
        <w:rPr>
          <w:rFonts w:eastAsia="Times New Roman"/>
          <w:color w:val="000000"/>
          <w:sz w:val="20"/>
          <w:szCs w:val="20"/>
        </w:rPr>
        <w:t>ated to the rewards wa</w:t>
      </w:r>
      <w:r>
        <w:rPr>
          <w:rFonts w:eastAsia="Times New Roman"/>
          <w:color w:val="000000"/>
          <w:sz w:val="20"/>
          <w:szCs w:val="20"/>
          <w:shd w:val="clear" w:color="auto" w:fill="FFFFFF"/>
        </w:rPr>
        <w:t>s $0.5 million and $0.4 million, respectively</w:t>
      </w:r>
      <w:r>
        <w:rPr>
          <w:rFonts w:eastAsia="Times New Roman"/>
          <w:color w:val="000000"/>
          <w:sz w:val="20"/>
          <w:szCs w:val="20"/>
        </w:rPr>
        <w:t xml:space="preserve"> and is included in accrued expenses and other current liabilities in the Condensed Consolidated Balance Sheets.</w:t>
      </w:r>
    </w:p>
    <w:p w:rsidR="00000000" w:rsidRDefault="00BC22AF">
      <w:pPr>
        <w:jc w:val="both"/>
        <w:divId w:val="1142842609"/>
        <w:rPr>
          <w:rFonts w:eastAsia="Times New Roman"/>
        </w:rPr>
      </w:pPr>
      <w:r>
        <w:rPr>
          <w:rFonts w:eastAsia="Times New Roman"/>
          <w:b/>
          <w:bCs/>
          <w:color w:val="000000"/>
          <w:sz w:val="20"/>
          <w:szCs w:val="20"/>
        </w:rPr>
        <w:t>12. Commitments and Contingencies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In the normal course of business, the Co</w:t>
      </w:r>
      <w:r>
        <w:rPr>
          <w:rFonts w:eastAsia="Times New Roman"/>
          <w:color w:val="000000"/>
          <w:sz w:val="20"/>
          <w:szCs w:val="20"/>
        </w:rPr>
        <w:t>mpany is subject to other proceedings, lawsuits and claims. Such matters are subject to many uncertainties, and outcomes are not predictable with assurance. Consequently, the Company is unable to ascertain the ultimate aggregate amount of monetary liabilit</w:t>
      </w:r>
      <w:r>
        <w:rPr>
          <w:rFonts w:eastAsia="Times New Roman"/>
          <w:color w:val="000000"/>
          <w:sz w:val="20"/>
          <w:szCs w:val="20"/>
        </w:rPr>
        <w:t>y or financial impact with respect to these matters as of June 28, 2022. These matters could affect the operating results of any one financial reporting period when resolved in future periods. The Company believes that an unfavorable outcome with respect t</w:t>
      </w:r>
      <w:r>
        <w:rPr>
          <w:rFonts w:eastAsia="Times New Roman"/>
          <w:color w:val="000000"/>
          <w:sz w:val="20"/>
          <w:szCs w:val="20"/>
        </w:rPr>
        <w:t>o these matters is remote or a potential range of loss is not material to its consolidated financial statements. Significant increases in the number of these claims, or one or more successful claims that result in greater liabilities than the Company curre</w:t>
      </w:r>
      <w:r>
        <w:rPr>
          <w:rFonts w:eastAsia="Times New Roman"/>
          <w:color w:val="000000"/>
          <w:sz w:val="20"/>
          <w:szCs w:val="20"/>
        </w:rPr>
        <w:t>ntly anticipates, could materially and adversely affect its business, financial condition, results of operations or cash flows.</w:t>
      </w:r>
    </w:p>
    <w:p w:rsidR="00000000" w:rsidRDefault="00BC22AF">
      <w:pPr>
        <w:jc w:val="both"/>
        <w:divId w:val="209342234"/>
        <w:rPr>
          <w:rFonts w:eastAsia="Times New Roman"/>
        </w:rPr>
      </w:pPr>
      <w:r>
        <w:rPr>
          <w:rFonts w:eastAsia="Times New Roman"/>
          <w:b/>
          <w:bCs/>
          <w:color w:val="000000"/>
          <w:sz w:val="20"/>
          <w:szCs w:val="20"/>
        </w:rPr>
        <w:t>13. Subsequent Event</w:t>
      </w:r>
    </w:p>
    <w:p w:rsidR="00000000" w:rsidRDefault="00BC22AF">
      <w:pPr>
        <w:jc w:val="both"/>
        <w:divId w:val="710769281"/>
        <w:rPr>
          <w:rFonts w:eastAsia="Times New Roman"/>
        </w:rPr>
      </w:pPr>
      <w:r>
        <w:rPr>
          <w:rFonts w:eastAsia="Times New Roman"/>
          <w:color w:val="000000"/>
          <w:sz w:val="20"/>
          <w:szCs w:val="20"/>
          <w:shd w:val="clear" w:color="auto" w:fill="FFFFFF"/>
        </w:rPr>
        <w:t xml:space="preserve">On July 27, 2022, the </w:t>
      </w:r>
      <w:r>
        <w:rPr>
          <w:rFonts w:eastAsia="Times New Roman"/>
          <w:color w:val="000000"/>
          <w:sz w:val="20"/>
          <w:szCs w:val="20"/>
        </w:rPr>
        <w:t xml:space="preserve">Company amended and restated its Second Amended Credit Facility by entering into the </w:t>
      </w:r>
      <w:r>
        <w:rPr>
          <w:rFonts w:eastAsia="Times New Roman"/>
          <w:color w:val="000000"/>
          <w:sz w:val="20"/>
          <w:szCs w:val="20"/>
        </w:rPr>
        <w:t>Third Amendment to the Credit</w:t>
      </w:r>
      <w:r>
        <w:rPr>
          <w:rFonts w:eastAsia="Times New Roman"/>
          <w:color w:val="000000"/>
          <w:sz w:val="20"/>
          <w:szCs w:val="20"/>
          <w:shd w:val="clear" w:color="auto" w:fill="FFFFFF"/>
        </w:rPr>
        <w:t xml:space="preserve"> Agreement (the “Third Amendment” or the “Third Amended Credit Facility”). Among other things, the Third Amendment: (i) increased the credit facility from $100.0 million to $125.0 million; (ii) eliminated the term loan and prin</w:t>
      </w:r>
      <w:r>
        <w:rPr>
          <w:rFonts w:eastAsia="Times New Roman"/>
          <w:color w:val="000000"/>
          <w:sz w:val="20"/>
          <w:szCs w:val="20"/>
          <w:shd w:val="clear" w:color="auto" w:fill="FFFFFF"/>
        </w:rPr>
        <w:t>cipal amortization components of the credit facility; (iii) removed the Company’s capital expenditure covenant; (iv) enhanced flexibility for certain covenants and restrictions; and (v) lowered the spread within the Company’s cost of borrowing</w:t>
      </w:r>
      <w:r>
        <w:rPr>
          <w:rFonts w:eastAsia="Times New Roman"/>
          <w:color w:val="000000"/>
          <w:sz w:val="20"/>
          <w:szCs w:val="20"/>
        </w:rPr>
        <w:t xml:space="preserve"> and will tra</w:t>
      </w:r>
      <w:r>
        <w:rPr>
          <w:rFonts w:eastAsia="Times New Roman"/>
          <w:color w:val="000000"/>
          <w:sz w:val="20"/>
          <w:szCs w:val="20"/>
        </w:rPr>
        <w:t>nsition to the Secured Overnight Financing Rate (“SOFR”) plus a margin of 1.50% to 2.50% per annum, based upon the consolidated total lease-adjusted leverage ratio.</w:t>
      </w:r>
    </w:p>
    <w:p w:rsidR="00000000" w:rsidRDefault="00BC22AF">
      <w:pPr>
        <w:jc w:val="center"/>
        <w:divId w:val="1305502893"/>
        <w:rPr>
          <w:rFonts w:eastAsia="Times New Roman"/>
        </w:rPr>
      </w:pPr>
      <w:r>
        <w:rPr>
          <w:rFonts w:eastAsia="Times New Roman"/>
          <w:color w:val="000000"/>
          <w:sz w:val="20"/>
          <w:szCs w:val="20"/>
        </w:rPr>
        <w:t>13</w:t>
      </w:r>
    </w:p>
    <w:p w:rsidR="00000000" w:rsidRDefault="00BC22AF">
      <w:pPr>
        <w:rPr>
          <w:rFonts w:eastAsia="Times New Roman"/>
        </w:rPr>
      </w:pPr>
      <w:r>
        <w:rPr>
          <w:rFonts w:eastAsia="Times New Roman"/>
        </w:rPr>
        <w:pict>
          <v:rect id="_x0000_i1038" style="width:0;height:1.5pt" o:hralign="center" o:hrstd="t" o:hr="t" fillcolor="#a0a0a0" stroked="f"/>
        </w:pict>
      </w:r>
    </w:p>
    <w:p w:rsidR="00000000" w:rsidRDefault="00BC22AF">
      <w:pPr>
        <w:divId w:val="2027559648"/>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center"/>
        <w:rPr>
          <w:rFonts w:eastAsia="Times New Roman"/>
        </w:rPr>
      </w:pPr>
      <w:r>
        <w:rPr>
          <w:rFonts w:eastAsia="Times New Roman"/>
          <w:b/>
          <w:bCs/>
          <w:color w:val="000000"/>
          <w:sz w:val="20"/>
          <w:szCs w:val="20"/>
        </w:rPr>
        <w:t>NOODLES &amp; COMPANY</w:t>
      </w:r>
    </w:p>
    <w:p w:rsidR="00000000" w:rsidRDefault="00BC22AF">
      <w:pPr>
        <w:jc w:val="center"/>
        <w:rPr>
          <w:rFonts w:eastAsia="Times New Roman"/>
        </w:rPr>
      </w:pPr>
      <w:r>
        <w:rPr>
          <w:rFonts w:eastAsia="Times New Roman"/>
          <w:b/>
          <w:bCs/>
          <w:color w:val="000000"/>
          <w:sz w:val="20"/>
          <w:szCs w:val="20"/>
        </w:rPr>
        <w:t>MANAGEMENT’S DISCUSSION AND ANALYSIS OF</w:t>
      </w:r>
    </w:p>
    <w:p w:rsidR="00000000" w:rsidRDefault="00BC22AF">
      <w:pPr>
        <w:jc w:val="center"/>
        <w:rPr>
          <w:rFonts w:eastAsia="Times New Roman"/>
        </w:rPr>
      </w:pPr>
      <w:r>
        <w:rPr>
          <w:rFonts w:eastAsia="Times New Roman"/>
          <w:b/>
          <w:bCs/>
          <w:color w:val="000000"/>
          <w:sz w:val="20"/>
          <w:szCs w:val="20"/>
        </w:rPr>
        <w:t>FINANCIAL CONDITION AND RESULTS OF OPERATIONS</w:t>
      </w:r>
    </w:p>
    <w:p w:rsidR="00000000" w:rsidRDefault="00BC22AF">
      <w:pPr>
        <w:divId w:val="275136523"/>
        <w:rPr>
          <w:rFonts w:eastAsia="Times New Roman"/>
        </w:rPr>
      </w:pPr>
    </w:p>
    <w:p w:rsidR="00000000" w:rsidRDefault="00BC22AF">
      <w:pPr>
        <w:divId w:val="209850915"/>
        <w:rPr>
          <w:rFonts w:eastAsia="Times New Roman"/>
        </w:rPr>
      </w:pPr>
      <w:r>
        <w:rPr>
          <w:rFonts w:eastAsia="Times New Roman"/>
          <w:b/>
          <w:bCs/>
          <w:color w:val="000000"/>
          <w:sz w:val="20"/>
          <w:szCs w:val="20"/>
        </w:rPr>
        <w:t>Item 2. Management’</w:t>
      </w:r>
      <w:r>
        <w:rPr>
          <w:rFonts w:eastAsia="Times New Roman"/>
          <w:b/>
          <w:bCs/>
          <w:color w:val="000000"/>
          <w:sz w:val="20"/>
          <w:szCs w:val="20"/>
        </w:rPr>
        <w:t>s Discussion and Analysis of Financial Condition and Results of Operations</w:t>
      </w:r>
    </w:p>
    <w:p w:rsidR="00000000" w:rsidRDefault="00BC22AF">
      <w:pPr>
        <w:jc w:val="both"/>
        <w:rPr>
          <w:rFonts w:eastAsia="Times New Roman"/>
        </w:rPr>
      </w:pPr>
    </w:p>
    <w:p w:rsidR="00000000" w:rsidRDefault="00BC22AF">
      <w:pPr>
        <w:jc w:val="both"/>
        <w:rPr>
          <w:rFonts w:eastAsia="Times New Roman"/>
        </w:rPr>
      </w:pPr>
      <w:r>
        <w:rPr>
          <w:rFonts w:eastAsia="Times New Roman"/>
          <w:i/>
          <w:iCs/>
          <w:color w:val="000000"/>
          <w:sz w:val="20"/>
          <w:szCs w:val="20"/>
        </w:rPr>
        <w:t xml:space="preserve">Noodles &amp; Company is a Delaware corporation that was organized in 2002. Noodles &amp; Company and its subsidiaries are sometimes referred to as “we,” “us,” “our” and the “Company” in </w:t>
      </w:r>
      <w:r>
        <w:rPr>
          <w:rFonts w:eastAsia="Times New Roman"/>
          <w:i/>
          <w:iCs/>
          <w:color w:val="000000"/>
          <w:sz w:val="20"/>
          <w:szCs w:val="20"/>
        </w:rPr>
        <w:t>this report. The following discussion and analysis of our financial condition and results of operations should be read in conjunction with the accompanying unaudited condensed consolidated financial statements and related notes in Item 1 and with the audit</w:t>
      </w:r>
      <w:r>
        <w:rPr>
          <w:rFonts w:eastAsia="Times New Roman"/>
          <w:i/>
          <w:iCs/>
          <w:color w:val="000000"/>
          <w:sz w:val="20"/>
          <w:szCs w:val="20"/>
        </w:rPr>
        <w:t xml:space="preserve">ed consolidated financial statements and the related notes included in our Annual Report on Form 10-K for our fiscal year ended December 28, 2021. We operate on a 52- or 53-week fiscal year ending on the Tuesday closest to December 31. Our fiscal quarters </w:t>
      </w:r>
      <w:r>
        <w:rPr>
          <w:rFonts w:eastAsia="Times New Roman"/>
          <w:i/>
          <w:iCs/>
          <w:color w:val="000000"/>
          <w:sz w:val="20"/>
          <w:szCs w:val="20"/>
        </w:rPr>
        <w:t>each contain 13 operating weeks, with the exception of the fourth quarter of a 53-week fiscal year, which contains 14 operating weeks. Fiscal year 2022 contains 53 weeks and fiscal year 2021 contains 52 weeks.    </w:t>
      </w:r>
    </w:p>
    <w:p w:rsidR="00000000" w:rsidRDefault="00BC22AF">
      <w:pPr>
        <w:divId w:val="1422293197"/>
        <w:rPr>
          <w:rFonts w:eastAsia="Times New Roman"/>
        </w:rPr>
      </w:pPr>
    </w:p>
    <w:p w:rsidR="00000000" w:rsidRDefault="00BC22AF">
      <w:pPr>
        <w:divId w:val="1914195552"/>
        <w:rPr>
          <w:rFonts w:eastAsia="Times New Roman"/>
        </w:rPr>
      </w:pPr>
      <w:r>
        <w:rPr>
          <w:rFonts w:eastAsia="Times New Roman"/>
          <w:b/>
          <w:bCs/>
          <w:i/>
          <w:iCs/>
          <w:color w:val="000000"/>
          <w:sz w:val="20"/>
          <w:szCs w:val="20"/>
        </w:rPr>
        <w:t>Cautionary Note Regarding Forward-Lookin</w:t>
      </w:r>
      <w:r>
        <w:rPr>
          <w:rFonts w:eastAsia="Times New Roman"/>
          <w:b/>
          <w:bCs/>
          <w:i/>
          <w:iCs/>
          <w:color w:val="000000"/>
          <w:sz w:val="20"/>
          <w:szCs w:val="20"/>
        </w:rPr>
        <w:t>g Statements</w:t>
      </w:r>
    </w:p>
    <w:p w:rsidR="00000000" w:rsidRDefault="00BC22AF">
      <w:pPr>
        <w:jc w:val="both"/>
        <w:rPr>
          <w:rFonts w:eastAsia="Times New Roman"/>
        </w:rPr>
      </w:pPr>
    </w:p>
    <w:p w:rsidR="00000000" w:rsidRDefault="00BC22AF">
      <w:pPr>
        <w:jc w:val="both"/>
        <w:rPr>
          <w:rFonts w:eastAsia="Times New Roman"/>
        </w:rPr>
      </w:pPr>
      <w:r>
        <w:rPr>
          <w:rFonts w:eastAsia="Times New Roman"/>
          <w:i/>
          <w:iCs/>
          <w:color w:val="000000"/>
          <w:sz w:val="20"/>
          <w:szCs w:val="20"/>
        </w:rPr>
        <w:t>In addition to historical information, this discussion and analysis contains forward-looking statements within the meaning of the Private Securities Litigation Reform Act of 1995 that involve risks and uncertainties such as the number of res</w:t>
      </w:r>
      <w:r>
        <w:rPr>
          <w:rFonts w:eastAsia="Times New Roman"/>
          <w:i/>
          <w:iCs/>
          <w:color w:val="000000"/>
          <w:sz w:val="20"/>
          <w:szCs w:val="20"/>
        </w:rPr>
        <w:t>taurants we intend to open, projected capital expenditures and estimates of our effective tax rates. In some cases, you can identify forward-looking statements by terms such as “may,” “might,” “will,” “objective,” “intend,” “should,” “could,” “can,” “would</w:t>
      </w:r>
      <w:r>
        <w:rPr>
          <w:rFonts w:eastAsia="Times New Roman"/>
          <w:i/>
          <w:iCs/>
          <w:color w:val="000000"/>
          <w:sz w:val="20"/>
          <w:szCs w:val="20"/>
        </w:rPr>
        <w:t>,” “expect,” “believe,” “design,” “estimate,” “predict,” “potential,” “plan” or the negative of these terms and similar expressions intended to identify forward-looking statements. These statements reflect our current views with respect to future events an</w:t>
      </w:r>
      <w:r>
        <w:rPr>
          <w:rFonts w:eastAsia="Times New Roman"/>
          <w:i/>
          <w:iCs/>
          <w:color w:val="000000"/>
          <w:sz w:val="20"/>
          <w:szCs w:val="20"/>
        </w:rPr>
        <w:t>d are based on currently available operating, financial and competitive information. Examples of forward-looking statements include all matters that are not historical facts, such as statements regarding the impact of the COVID-19 pandemic, including on ou</w:t>
      </w:r>
      <w:r>
        <w:rPr>
          <w:rFonts w:eastAsia="Times New Roman"/>
          <w:i/>
          <w:iCs/>
          <w:color w:val="000000"/>
          <w:sz w:val="20"/>
          <w:szCs w:val="20"/>
        </w:rPr>
        <w:t>r revenue and balance sheet, projected capital expenditures, estimated costs associated with our closure of underperforming restaurants, the implementation and results of strategic initiatives and our future financial performance. Our actual results may di</w:t>
      </w:r>
      <w:r>
        <w:rPr>
          <w:rFonts w:eastAsia="Times New Roman"/>
          <w:i/>
          <w:iCs/>
          <w:color w:val="000000"/>
          <w:sz w:val="20"/>
          <w:szCs w:val="20"/>
        </w:rPr>
        <w:t>ffer materially from those anticipated in these forward-looking statements due to reasons including, but not limited to, developments related to the COVID-19 pandemic; other conditions beyond our control such as weather, natural disasters, disease outbreak</w:t>
      </w:r>
      <w:r>
        <w:rPr>
          <w:rFonts w:eastAsia="Times New Roman"/>
          <w:i/>
          <w:iCs/>
          <w:color w:val="000000"/>
          <w:sz w:val="20"/>
          <w:szCs w:val="20"/>
        </w:rPr>
        <w:t>s, epidemics or pandemics impacting our customers or food supplies; consumer reaction to industry related public health issues and health pandemics and perceptions of food safety, our ability to achieve and maintain increases in comparable restaurant sales</w:t>
      </w:r>
      <w:r>
        <w:rPr>
          <w:rFonts w:eastAsia="Times New Roman"/>
          <w:i/>
          <w:iCs/>
          <w:color w:val="000000"/>
          <w:sz w:val="20"/>
          <w:szCs w:val="20"/>
        </w:rPr>
        <w:t xml:space="preserve"> and to successfully execute our business strategy, including new restaurant initiatives and operational strategies to improve the performance of our restaurant portfolio; our ability to maintain compliance with debt covenants and continue to access financ</w:t>
      </w:r>
      <w:r>
        <w:rPr>
          <w:rFonts w:eastAsia="Times New Roman"/>
          <w:i/>
          <w:iCs/>
          <w:color w:val="000000"/>
          <w:sz w:val="20"/>
          <w:szCs w:val="20"/>
        </w:rPr>
        <w:t>ing necessary to execute our business strategy; the success of our marketing efforts; our ability to open new restaurants on schedule; current economic conditions including any impact from inflation or an economic recession; price and availability of commo</w:t>
      </w:r>
      <w:r>
        <w:rPr>
          <w:rFonts w:eastAsia="Times New Roman"/>
          <w:i/>
          <w:iCs/>
          <w:color w:val="000000"/>
          <w:sz w:val="20"/>
          <w:szCs w:val="20"/>
        </w:rPr>
        <w:t>dities; our ability to adequately staff our restaurants; changes in labor costs; consumer confidence and spending patterns; seasonal factors; and those discussed in “Special Note Regarding Forward-Looking Statements” and “Risk Factors” as filed in our Annu</w:t>
      </w:r>
      <w:r>
        <w:rPr>
          <w:rFonts w:eastAsia="Times New Roman"/>
          <w:i/>
          <w:iCs/>
          <w:color w:val="000000"/>
          <w:sz w:val="20"/>
          <w:szCs w:val="20"/>
        </w:rPr>
        <w:t>al Report on Form 10-K for our fiscal year ended December 28, 2021.</w:t>
      </w:r>
    </w:p>
    <w:p w:rsidR="00000000" w:rsidRDefault="00BC22AF">
      <w:pPr>
        <w:jc w:val="both"/>
        <w:rPr>
          <w:rFonts w:eastAsia="Times New Roman"/>
        </w:rPr>
      </w:pPr>
    </w:p>
    <w:p w:rsidR="00000000" w:rsidRDefault="00BC22AF">
      <w:pPr>
        <w:jc w:val="both"/>
        <w:rPr>
          <w:rFonts w:eastAsia="Times New Roman"/>
        </w:rPr>
      </w:pPr>
      <w:r>
        <w:rPr>
          <w:rFonts w:eastAsia="Times New Roman"/>
          <w:b/>
          <w:bCs/>
          <w:color w:val="000000"/>
          <w:sz w:val="20"/>
          <w:szCs w:val="20"/>
          <w:shd w:val="clear" w:color="auto" w:fill="FFFFFF"/>
        </w:rPr>
        <w:t>Our Ongoing Response to the COVID-19 Pandemic</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 xml:space="preserve">The ongoing global pandemic of the COVID-19 virus and its variants (“COVID-19 pandemic”) had a </w:t>
      </w:r>
      <w:r>
        <w:rPr>
          <w:rFonts w:eastAsia="Times New Roman"/>
          <w:color w:val="000000"/>
          <w:sz w:val="20"/>
          <w:szCs w:val="20"/>
          <w:shd w:val="clear" w:color="auto" w:fill="FFFFFF"/>
        </w:rPr>
        <w:t>significant impact on the restaurant indust</w:t>
      </w:r>
      <w:r>
        <w:rPr>
          <w:rFonts w:eastAsia="Times New Roman"/>
          <w:color w:val="000000"/>
          <w:sz w:val="20"/>
          <w:szCs w:val="20"/>
          <w:shd w:val="clear" w:color="auto" w:fill="FFFFFF"/>
        </w:rPr>
        <w:t>ry. Our business has been adversely affected by the COVID-19 pandemic in varying degrees through occasional temporarily closed restaurants and reduced operating hours, disruption in our supply chain and shortages in the labor required to operate our restau</w:t>
      </w:r>
      <w:r>
        <w:rPr>
          <w:rFonts w:eastAsia="Times New Roman"/>
          <w:color w:val="000000"/>
          <w:sz w:val="20"/>
          <w:szCs w:val="20"/>
          <w:shd w:val="clear" w:color="auto" w:fill="FFFFFF"/>
        </w:rPr>
        <w:t>rants. We believe we are well positioned to nav</w:t>
      </w:r>
      <w:r>
        <w:rPr>
          <w:rFonts w:eastAsia="Times New Roman"/>
          <w:color w:val="000000"/>
          <w:sz w:val="20"/>
          <w:szCs w:val="20"/>
        </w:rPr>
        <w:t>igate any ongoing challenges associated with the COVID-19 pandemic given our investments in our off-premise and digital channels and the consumer demand for our brand.</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The extent of the impact of the COVID-1</w:t>
      </w:r>
      <w:r>
        <w:rPr>
          <w:rFonts w:eastAsia="Times New Roman"/>
          <w:color w:val="000000"/>
          <w:sz w:val="20"/>
          <w:szCs w:val="20"/>
        </w:rPr>
        <w:t xml:space="preserve">9 pandemic on our operations and financial results, including the impact on labor and the cost and availability of products within our supplier network, depends on future developments and is highly uncertain due to the unknown duration and severity of the </w:t>
      </w:r>
      <w:r>
        <w:rPr>
          <w:rFonts w:eastAsia="Times New Roman"/>
          <w:color w:val="000000"/>
          <w:sz w:val="20"/>
          <w:szCs w:val="20"/>
        </w:rPr>
        <w:t>outbreak, including the impact of additional COVID-19 variants. The situation continues to change and future impacts may materialize that are not yet know</w:t>
      </w:r>
      <w:r>
        <w:rPr>
          <w:rFonts w:eastAsia="Times New Roman"/>
          <w:color w:val="000000"/>
          <w:sz w:val="20"/>
          <w:szCs w:val="20"/>
          <w:shd w:val="clear" w:color="auto" w:fill="FFFFFF"/>
        </w:rPr>
        <w:t xml:space="preserve">n. </w:t>
      </w:r>
    </w:p>
    <w:p w:rsidR="00000000" w:rsidRDefault="00BC22AF">
      <w:pPr>
        <w:jc w:val="both"/>
        <w:rPr>
          <w:rFonts w:eastAsia="Times New Roman"/>
        </w:rPr>
      </w:pPr>
    </w:p>
    <w:p w:rsidR="00000000" w:rsidRDefault="00BC22AF">
      <w:pPr>
        <w:jc w:val="both"/>
        <w:rPr>
          <w:rFonts w:eastAsia="Times New Roman"/>
        </w:rPr>
      </w:pPr>
      <w:r>
        <w:rPr>
          <w:rFonts w:eastAsia="Times New Roman"/>
          <w:b/>
          <w:bCs/>
          <w:color w:val="000000"/>
          <w:sz w:val="20"/>
          <w:szCs w:val="20"/>
        </w:rPr>
        <w:t>Recent Trends, Risks and Uncertainties</w:t>
      </w:r>
    </w:p>
    <w:p w:rsidR="00000000" w:rsidRDefault="00BC22AF">
      <w:pPr>
        <w:jc w:val="both"/>
        <w:rPr>
          <w:rFonts w:eastAsia="Times New Roman"/>
        </w:rPr>
      </w:pPr>
    </w:p>
    <w:p w:rsidR="00000000" w:rsidRDefault="00BC22AF">
      <w:pPr>
        <w:jc w:val="both"/>
        <w:rPr>
          <w:rFonts w:eastAsia="Times New Roman"/>
        </w:rPr>
      </w:pPr>
      <w:r>
        <w:rPr>
          <w:rFonts w:eastAsia="Times New Roman"/>
          <w:i/>
          <w:iCs/>
          <w:color w:val="000000"/>
          <w:sz w:val="20"/>
          <w:szCs w:val="20"/>
        </w:rPr>
        <w:t>Revenue.</w:t>
      </w:r>
      <w:r>
        <w:rPr>
          <w:rFonts w:eastAsia="Times New Roman"/>
          <w:color w:val="000000"/>
          <w:sz w:val="20"/>
          <w:szCs w:val="20"/>
        </w:rPr>
        <w:t xml:space="preserve"> In the second quarter of 2022, system-wide com</w:t>
      </w:r>
      <w:r>
        <w:rPr>
          <w:rFonts w:eastAsia="Times New Roman"/>
          <w:color w:val="000000"/>
          <w:sz w:val="20"/>
          <w:szCs w:val="20"/>
        </w:rPr>
        <w:t>parable r</w:t>
      </w:r>
      <w:r>
        <w:rPr>
          <w:rFonts w:eastAsia="Times New Roman"/>
          <w:color w:val="000000"/>
          <w:sz w:val="20"/>
          <w:szCs w:val="20"/>
          <w:shd w:val="clear" w:color="auto" w:fill="FFFFFF"/>
        </w:rPr>
        <w:t>estaurant sales increased 5.1%, comprised of a 5.1% increase for company-owned restaurants and a 5.3% increase for franchise restaurants. Company average unit volumes (“AUV”) increased 5.3% over the second quarter of 2021 and 18.3% compared to the</w:t>
      </w:r>
      <w:r>
        <w:rPr>
          <w:rFonts w:eastAsia="Times New Roman"/>
          <w:color w:val="000000"/>
          <w:sz w:val="20"/>
          <w:szCs w:val="20"/>
          <w:shd w:val="clear" w:color="auto" w:fill="FFFFFF"/>
        </w:rPr>
        <w:t xml:space="preserve"> second quarter of 2019 which was favorably impacted by several price increases implemented since 2019.</w:t>
      </w:r>
    </w:p>
    <w:p w:rsidR="00000000" w:rsidRDefault="00BC22AF">
      <w:pPr>
        <w:jc w:val="center"/>
        <w:divId w:val="1602489751"/>
        <w:rPr>
          <w:rFonts w:eastAsia="Times New Roman"/>
        </w:rPr>
      </w:pPr>
      <w:r>
        <w:rPr>
          <w:rFonts w:eastAsia="Times New Roman"/>
          <w:color w:val="000000"/>
          <w:sz w:val="20"/>
          <w:szCs w:val="20"/>
        </w:rPr>
        <w:t>14</w:t>
      </w:r>
    </w:p>
    <w:p w:rsidR="00000000" w:rsidRDefault="00BC22AF">
      <w:pPr>
        <w:rPr>
          <w:rFonts w:eastAsia="Times New Roman"/>
        </w:rPr>
      </w:pPr>
      <w:r>
        <w:rPr>
          <w:rFonts w:eastAsia="Times New Roman"/>
        </w:rPr>
        <w:pict>
          <v:rect id="_x0000_i1039" style="width:0;height:1.5pt" o:hralign="center" o:hrstd="t" o:hr="t" fillcolor="#a0a0a0" stroked="f"/>
        </w:pict>
      </w:r>
    </w:p>
    <w:p w:rsidR="00000000" w:rsidRDefault="00BC22AF">
      <w:pPr>
        <w:divId w:val="823207332"/>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shd w:val="clear" w:color="auto" w:fill="FFFFFF"/>
        </w:rPr>
        <w:t>Our second quarter 2022 comparable sales results were driven by our strong brand positioning and ability to meet the needs of today's consumer for great tasting made to order food served conveniently where and when guests want it. Our ability to retain pos</w:t>
      </w:r>
      <w:r>
        <w:rPr>
          <w:rFonts w:eastAsia="Times New Roman"/>
          <w:color w:val="000000"/>
          <w:sz w:val="20"/>
          <w:szCs w:val="20"/>
          <w:shd w:val="clear" w:color="auto" w:fill="FFFFFF"/>
        </w:rPr>
        <w:t xml:space="preserve">itive comparable sales depends, among other reasons, on (i) our customers’ future willingness to order from restaurants given consumer inflationary pressures and geopolitical uncertainty and (ii) the duration of the COVID-19 pandemic. Average unit volumes </w:t>
      </w:r>
      <w:r>
        <w:rPr>
          <w:rFonts w:eastAsia="Times New Roman"/>
          <w:color w:val="000000"/>
          <w:sz w:val="20"/>
          <w:szCs w:val="20"/>
          <w:shd w:val="clear" w:color="auto" w:fill="FFFFFF"/>
        </w:rPr>
        <w:t>increased year-over-year due to strong off-premise sales, growth in dine-in sales as well as several prices increases implemented across our core menu.</w:t>
      </w:r>
    </w:p>
    <w:p w:rsidR="00000000" w:rsidRDefault="00BC22AF">
      <w:pPr>
        <w:divId w:val="1595938598"/>
        <w:rPr>
          <w:rFonts w:eastAsia="Times New Roman"/>
        </w:rPr>
      </w:pPr>
    </w:p>
    <w:p w:rsidR="00000000" w:rsidRDefault="00BC22AF">
      <w:pPr>
        <w:jc w:val="both"/>
        <w:rPr>
          <w:rFonts w:eastAsia="Times New Roman"/>
        </w:rPr>
      </w:pPr>
      <w:r>
        <w:rPr>
          <w:rFonts w:eastAsia="Times New Roman"/>
          <w:color w:val="212529"/>
          <w:sz w:val="20"/>
          <w:szCs w:val="20"/>
          <w:shd w:val="clear" w:color="auto" w:fill="FFFFFF"/>
        </w:rPr>
        <w:t xml:space="preserve">Recent restaurant openings not in the Company’s comparable restaurant base, many of which offer order </w:t>
      </w:r>
      <w:r>
        <w:rPr>
          <w:rFonts w:eastAsia="Times New Roman"/>
          <w:color w:val="212529"/>
          <w:sz w:val="20"/>
          <w:szCs w:val="20"/>
          <w:shd w:val="clear" w:color="auto" w:fill="FFFFFF"/>
        </w:rPr>
        <w:t>ahead drive-thru pickup windows, continue to perform as a group at the highest sales level of any class of new restaurants in the Company’s history.</w:t>
      </w:r>
    </w:p>
    <w:p w:rsidR="00000000" w:rsidRDefault="00BC22AF">
      <w:pPr>
        <w:divId w:val="402068066"/>
        <w:rPr>
          <w:rFonts w:eastAsia="Times New Roman"/>
        </w:rPr>
      </w:pPr>
    </w:p>
    <w:p w:rsidR="00000000" w:rsidRDefault="00BC22AF">
      <w:pPr>
        <w:jc w:val="both"/>
        <w:rPr>
          <w:rFonts w:eastAsia="Times New Roman"/>
        </w:rPr>
      </w:pPr>
      <w:r>
        <w:rPr>
          <w:rFonts w:eastAsia="Times New Roman"/>
          <w:i/>
          <w:iCs/>
          <w:color w:val="000000"/>
          <w:sz w:val="20"/>
          <w:szCs w:val="20"/>
        </w:rPr>
        <w:t>Co</w:t>
      </w:r>
      <w:r>
        <w:rPr>
          <w:rFonts w:eastAsia="Times New Roman"/>
          <w:i/>
          <w:iCs/>
          <w:color w:val="000000"/>
          <w:sz w:val="20"/>
          <w:szCs w:val="20"/>
          <w:shd w:val="clear" w:color="auto" w:fill="FFFFFF"/>
        </w:rPr>
        <w:t>st of Sales.</w:t>
      </w:r>
      <w:r>
        <w:rPr>
          <w:rFonts w:eastAsia="Times New Roman"/>
          <w:color w:val="000000"/>
          <w:sz w:val="20"/>
          <w:szCs w:val="20"/>
          <w:shd w:val="clear" w:color="auto" w:fill="FFFFFF"/>
        </w:rPr>
        <w:t xml:space="preserve"> We have and expect to continue to incur incremental costs of sales, driven by volatility i</w:t>
      </w:r>
      <w:r>
        <w:rPr>
          <w:rFonts w:eastAsia="Times New Roman"/>
          <w:color w:val="000000"/>
          <w:sz w:val="20"/>
          <w:szCs w:val="20"/>
          <w:shd w:val="clear" w:color="auto" w:fill="FFFFFF"/>
        </w:rPr>
        <w:t>n the commodity and food ingredients markets, particularly with our chicken products, in addition to an increase in packaging costs and distribution. We have seen a shortage in labor at some of our food suppliers, which in some cases has resulted in increa</w:t>
      </w:r>
      <w:r>
        <w:rPr>
          <w:rFonts w:eastAsia="Times New Roman"/>
          <w:color w:val="000000"/>
          <w:sz w:val="20"/>
          <w:szCs w:val="20"/>
          <w:shd w:val="clear" w:color="auto" w:fill="FFFFFF"/>
        </w:rPr>
        <w:t>sed costs of food or transportation. Despite these market factors, we have continued to work with our suppliers for ongoing supply chain efficiencies, including managing food waste and adding additional suppliers as necessary. To date, there has been minim</w:t>
      </w:r>
      <w:r>
        <w:rPr>
          <w:rFonts w:eastAsia="Times New Roman"/>
          <w:color w:val="000000"/>
          <w:sz w:val="20"/>
          <w:szCs w:val="20"/>
          <w:shd w:val="clear" w:color="auto" w:fill="FFFFFF"/>
        </w:rPr>
        <w:t xml:space="preserve">al disruption in maintaining adequate food supply, packaging and other ingredients to our restaurants, though it is possible that more significant disruptions could occur if volatility in the labor and commodity markets continue. </w:t>
      </w:r>
    </w:p>
    <w:p w:rsidR="00000000" w:rsidRDefault="00BC22AF">
      <w:pPr>
        <w:jc w:val="both"/>
        <w:rPr>
          <w:rFonts w:eastAsia="Times New Roman"/>
        </w:rPr>
      </w:pPr>
    </w:p>
    <w:p w:rsidR="00000000" w:rsidRDefault="00BC22AF">
      <w:pPr>
        <w:jc w:val="both"/>
        <w:rPr>
          <w:rFonts w:eastAsia="Times New Roman"/>
        </w:rPr>
      </w:pPr>
      <w:r>
        <w:rPr>
          <w:rFonts w:eastAsia="Times New Roman"/>
          <w:i/>
          <w:iCs/>
          <w:color w:val="000000"/>
          <w:sz w:val="20"/>
          <w:szCs w:val="20"/>
          <w:shd w:val="clear" w:color="auto" w:fill="FFFFFF"/>
        </w:rPr>
        <w:t>Labor Costs.</w:t>
      </w:r>
      <w:r>
        <w:rPr>
          <w:rFonts w:eastAsia="Times New Roman"/>
          <w:color w:val="000000"/>
          <w:sz w:val="20"/>
          <w:szCs w:val="20"/>
          <w:shd w:val="clear" w:color="auto" w:fill="FFFFFF"/>
        </w:rPr>
        <w:t xml:space="preserve"> </w:t>
      </w:r>
      <w:r>
        <w:rPr>
          <w:rFonts w:eastAsia="Times New Roman"/>
          <w:color w:val="000000"/>
          <w:sz w:val="20"/>
          <w:szCs w:val="20"/>
        </w:rPr>
        <w:t>During the second quarter of 2022, we saw improvement in the availability of labor in many of the markets where we operate. However, we continued to see wage inflation within the industry driven in part by high competition for restaurant worke</w:t>
      </w:r>
      <w:r>
        <w:rPr>
          <w:rFonts w:eastAsia="Times New Roman"/>
          <w:color w:val="000000"/>
          <w:sz w:val="20"/>
          <w:szCs w:val="20"/>
        </w:rPr>
        <w:t>rs in many jurisdictions in which we operate. We were able to partially mitigate the impact of these market factors through a continued focus on our hiring process and retaining existing employees, in addition to maximizing efficiencies of labor hour usage</w:t>
      </w:r>
      <w:r>
        <w:rPr>
          <w:rFonts w:eastAsia="Times New Roman"/>
          <w:color w:val="000000"/>
          <w:sz w:val="20"/>
          <w:szCs w:val="20"/>
        </w:rPr>
        <w:t xml:space="preserve"> per restaurant. </w:t>
      </w:r>
      <w:r>
        <w:rPr>
          <w:rFonts w:eastAsia="Times New Roman"/>
          <w:color w:val="000000"/>
          <w:sz w:val="20"/>
          <w:szCs w:val="20"/>
          <w:shd w:val="clear" w:color="auto" w:fill="FFFFFF"/>
        </w:rPr>
        <w:t xml:space="preserve">Significant government-imposed wage increases and continued market factors could materially affect our labor costs. </w:t>
      </w:r>
    </w:p>
    <w:p w:rsidR="00000000" w:rsidRDefault="00BC22AF">
      <w:pPr>
        <w:jc w:val="both"/>
        <w:rPr>
          <w:rFonts w:eastAsia="Times New Roman"/>
        </w:rPr>
      </w:pPr>
    </w:p>
    <w:p w:rsidR="00000000" w:rsidRDefault="00BC22AF">
      <w:pPr>
        <w:jc w:val="both"/>
        <w:rPr>
          <w:rFonts w:eastAsia="Times New Roman"/>
        </w:rPr>
      </w:pPr>
      <w:r>
        <w:rPr>
          <w:rFonts w:eastAsia="Times New Roman"/>
          <w:i/>
          <w:iCs/>
          <w:color w:val="000000"/>
          <w:sz w:val="20"/>
          <w:szCs w:val="20"/>
        </w:rPr>
        <w:t xml:space="preserve">Other Restaurant Operating Costs. </w:t>
      </w:r>
      <w:r>
        <w:rPr>
          <w:rFonts w:eastAsia="Times New Roman"/>
          <w:color w:val="000000"/>
          <w:sz w:val="20"/>
          <w:szCs w:val="20"/>
        </w:rPr>
        <w:t>We have incurred and expect to continue to incur third-party delivery fees resulting f</w:t>
      </w:r>
      <w:r>
        <w:rPr>
          <w:rFonts w:eastAsia="Times New Roman"/>
          <w:color w:val="000000"/>
          <w:sz w:val="20"/>
          <w:szCs w:val="20"/>
        </w:rPr>
        <w:t>rom significant usage of our use of third-party delivery services.</w:t>
      </w:r>
    </w:p>
    <w:p w:rsidR="00000000" w:rsidRDefault="00BC22AF">
      <w:pPr>
        <w:jc w:val="both"/>
        <w:rPr>
          <w:rFonts w:eastAsia="Times New Roman"/>
        </w:rPr>
      </w:pPr>
    </w:p>
    <w:p w:rsidR="00000000" w:rsidRDefault="00BC22AF">
      <w:pPr>
        <w:jc w:val="both"/>
        <w:rPr>
          <w:rFonts w:eastAsia="Times New Roman"/>
        </w:rPr>
      </w:pPr>
      <w:r>
        <w:rPr>
          <w:rFonts w:eastAsia="Times New Roman"/>
          <w:i/>
          <w:iCs/>
          <w:color w:val="000000"/>
          <w:sz w:val="20"/>
          <w:szCs w:val="20"/>
        </w:rPr>
        <w:t>Restaurant Development.</w:t>
      </w:r>
      <w:r>
        <w:rPr>
          <w:rFonts w:eastAsia="Times New Roman"/>
          <w:color w:val="000000"/>
          <w:sz w:val="20"/>
          <w:szCs w:val="20"/>
          <w:shd w:val="clear" w:color="auto" w:fill="FFFFFF"/>
        </w:rPr>
        <w:t xml:space="preserve"> In the first two quarters of 2022, we opened eight new company-owned restaurants and two franchise restaurants and we sold 15 company-owned restaurants to a franch</w:t>
      </w:r>
      <w:r>
        <w:rPr>
          <w:rFonts w:eastAsia="Times New Roman"/>
          <w:color w:val="000000"/>
          <w:sz w:val="20"/>
          <w:szCs w:val="20"/>
          <w:shd w:val="clear" w:color="auto" w:fill="FFFFFF"/>
        </w:rPr>
        <w:t>isee connected to the Warner Sale. Included in the refranchise deal, we entered into a twelve-year growth plan commitment with a new franchise partner, which will operate in California under this agreement and includes development of 40 new locations throu</w:t>
      </w:r>
      <w:r>
        <w:rPr>
          <w:rFonts w:eastAsia="Times New Roman"/>
          <w:color w:val="000000"/>
          <w:sz w:val="20"/>
          <w:szCs w:val="20"/>
          <w:shd w:val="clear" w:color="auto" w:fill="FFFFFF"/>
        </w:rPr>
        <w:t>ghout the state. As of June 28, 2022, we had 363 company-owned restaurants and 93 franchise restaurants in 31 states. W</w:t>
      </w:r>
      <w:r>
        <w:rPr>
          <w:rFonts w:eastAsia="Times New Roman"/>
          <w:color w:val="000000"/>
          <w:sz w:val="20"/>
          <w:szCs w:val="20"/>
        </w:rPr>
        <w:t>e have incorporated increased unit development into our strategic growth plan for 2022 and beyond with a plan to develop a pipeline to su</w:t>
      </w:r>
      <w:r>
        <w:rPr>
          <w:rFonts w:eastAsia="Times New Roman"/>
          <w:color w:val="000000"/>
          <w:sz w:val="20"/>
          <w:szCs w:val="20"/>
        </w:rPr>
        <w:t>ppo</w:t>
      </w:r>
      <w:r>
        <w:rPr>
          <w:rFonts w:eastAsia="Times New Roman"/>
          <w:color w:val="000000"/>
          <w:sz w:val="20"/>
          <w:szCs w:val="20"/>
          <w:shd w:val="clear" w:color="auto" w:fill="FFFFFF"/>
        </w:rPr>
        <w:t>rt an annual unit growth rate of approximately 5% in 2022, with 10% unit growth thereafter.</w:t>
      </w:r>
    </w:p>
    <w:p w:rsidR="00000000" w:rsidRDefault="00BC22AF">
      <w:pPr>
        <w:jc w:val="both"/>
        <w:rPr>
          <w:rFonts w:eastAsia="Times New Roman"/>
        </w:rPr>
      </w:pPr>
    </w:p>
    <w:p w:rsidR="00000000" w:rsidRDefault="00BC22AF">
      <w:pPr>
        <w:jc w:val="both"/>
        <w:rPr>
          <w:rFonts w:eastAsia="Times New Roman"/>
        </w:rPr>
      </w:pPr>
      <w:r>
        <w:rPr>
          <w:rFonts w:eastAsia="Times New Roman"/>
          <w:i/>
          <w:iCs/>
          <w:color w:val="000000"/>
          <w:sz w:val="20"/>
          <w:szCs w:val="20"/>
        </w:rPr>
        <w:t>Certain</w:t>
      </w:r>
      <w:r>
        <w:rPr>
          <w:rFonts w:eastAsia="Times New Roman"/>
          <w:i/>
          <w:iCs/>
          <w:color w:val="000000"/>
          <w:sz w:val="20"/>
          <w:szCs w:val="20"/>
          <w:shd w:val="clear" w:color="auto" w:fill="FFFFFF"/>
        </w:rPr>
        <w:t xml:space="preserve"> Restaurant Closures.</w:t>
      </w:r>
      <w:r>
        <w:rPr>
          <w:rFonts w:eastAsia="Times New Roman"/>
          <w:color w:val="000000"/>
          <w:sz w:val="20"/>
          <w:szCs w:val="20"/>
          <w:shd w:val="clear" w:color="auto" w:fill="FFFFFF"/>
        </w:rPr>
        <w:t xml:space="preserve"> We permanently closed two company-owned restaurants in the first two quarters of 2022. We currently do not anticipate a significan</w:t>
      </w:r>
      <w:r>
        <w:rPr>
          <w:rFonts w:eastAsia="Times New Roman"/>
          <w:color w:val="000000"/>
          <w:sz w:val="20"/>
          <w:szCs w:val="20"/>
          <w:shd w:val="clear" w:color="auto" w:fill="FFFFFF"/>
        </w:rPr>
        <w:t>t number of permanent restaurant closures in the foreseeable future; however, we may from time to time permanently close certain restaurants, including permanent closures at, or near, the expiration of the leases for these restaurants.</w:t>
      </w:r>
    </w:p>
    <w:p w:rsidR="00000000" w:rsidRDefault="00BC22AF">
      <w:pPr>
        <w:jc w:val="both"/>
        <w:rPr>
          <w:rFonts w:eastAsia="Times New Roman"/>
        </w:rPr>
      </w:pPr>
    </w:p>
    <w:p w:rsidR="00000000" w:rsidRDefault="00BC22AF">
      <w:pPr>
        <w:jc w:val="both"/>
        <w:rPr>
          <w:rFonts w:eastAsia="Times New Roman"/>
        </w:rPr>
      </w:pPr>
      <w:r>
        <w:rPr>
          <w:rFonts w:eastAsia="Times New Roman"/>
          <w:b/>
          <w:bCs/>
          <w:color w:val="000000"/>
          <w:sz w:val="20"/>
          <w:szCs w:val="20"/>
        </w:rPr>
        <w:t>Key Measures We Us</w:t>
      </w:r>
      <w:r>
        <w:rPr>
          <w:rFonts w:eastAsia="Times New Roman"/>
          <w:b/>
          <w:bCs/>
          <w:color w:val="000000"/>
          <w:sz w:val="20"/>
          <w:szCs w:val="20"/>
        </w:rPr>
        <w:t>e to Evaluate Our Performance</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To evaluate the performance of our business, we utilize a variety of financial and performance measures. These key measures include revenue, average unit volume, comparable restaurant sales, restaurant contribution, restaura</w:t>
      </w:r>
      <w:r>
        <w:rPr>
          <w:rFonts w:eastAsia="Times New Roman"/>
          <w:color w:val="000000"/>
          <w:sz w:val="20"/>
          <w:szCs w:val="20"/>
        </w:rPr>
        <w:t>nt contribution margin, EBITDA and adjusted EBITDA.</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Revenue</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Revenue includes both restaurant revenue and franchise royalties and fees. Restaurant revenue represents sales of food and beverages in company-owned restaurants. Several factors affect our restaurant revenue in any period, including the number of restaura</w:t>
      </w:r>
      <w:r>
        <w:rPr>
          <w:rFonts w:eastAsia="Times New Roman"/>
          <w:color w:val="000000"/>
          <w:sz w:val="20"/>
          <w:szCs w:val="20"/>
        </w:rPr>
        <w:t>nts in operation and per-restaurant sales. Franchise royalties and fees represent royalty income and initial franchise fees. While we expect that the majority of our revenue and net income growth will be driven by company-owned restaurants, our franchise r</w:t>
      </w:r>
      <w:r>
        <w:rPr>
          <w:rFonts w:eastAsia="Times New Roman"/>
          <w:color w:val="000000"/>
          <w:sz w:val="20"/>
          <w:szCs w:val="20"/>
        </w:rPr>
        <w:t>estaurants remain an important factor impacting our revenue and financial performance.</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Seasonal factors cause our revenue to fluctuate from quarter to quarter. Our revenue per restaurant is typically lower in the first and fourth quarters, due to reduced</w:t>
      </w:r>
      <w:r>
        <w:rPr>
          <w:rFonts w:eastAsia="Times New Roman"/>
          <w:color w:val="000000"/>
          <w:sz w:val="20"/>
          <w:szCs w:val="20"/>
        </w:rPr>
        <w:t xml:space="preserve"> winter and holiday traffic, and is typically higher in the second and third quarters. As a </w:t>
      </w:r>
    </w:p>
    <w:p w:rsidR="00000000" w:rsidRDefault="00BC22AF">
      <w:pPr>
        <w:jc w:val="center"/>
        <w:divId w:val="1165977604"/>
        <w:rPr>
          <w:rFonts w:eastAsia="Times New Roman"/>
        </w:rPr>
      </w:pPr>
      <w:r>
        <w:rPr>
          <w:rFonts w:eastAsia="Times New Roman"/>
          <w:color w:val="000000"/>
          <w:sz w:val="20"/>
          <w:szCs w:val="20"/>
        </w:rPr>
        <w:t>15</w:t>
      </w:r>
    </w:p>
    <w:p w:rsidR="00000000" w:rsidRDefault="00BC22AF">
      <w:pPr>
        <w:rPr>
          <w:rFonts w:eastAsia="Times New Roman"/>
        </w:rPr>
      </w:pPr>
      <w:r>
        <w:rPr>
          <w:rFonts w:eastAsia="Times New Roman"/>
        </w:rPr>
        <w:pict>
          <v:rect id="_x0000_i1040" style="width:0;height:1.5pt" o:hralign="center" o:hrstd="t" o:hr="t" fillcolor="#a0a0a0" stroked="f"/>
        </w:pict>
      </w:r>
    </w:p>
    <w:p w:rsidR="00000000" w:rsidRDefault="00BC22AF">
      <w:pPr>
        <w:divId w:val="1422144021"/>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both"/>
        <w:rPr>
          <w:rFonts w:eastAsia="Times New Roman"/>
        </w:rPr>
      </w:pPr>
      <w:r>
        <w:rPr>
          <w:rFonts w:eastAsia="Times New Roman"/>
          <w:color w:val="000000"/>
          <w:sz w:val="20"/>
          <w:szCs w:val="20"/>
        </w:rPr>
        <w:t>result of these fact</w:t>
      </w:r>
      <w:r>
        <w:rPr>
          <w:rFonts w:eastAsia="Times New Roman"/>
          <w:color w:val="000000"/>
          <w:sz w:val="20"/>
          <w:szCs w:val="20"/>
          <w:shd w:val="clear" w:color="auto" w:fill="FFFFFF"/>
        </w:rPr>
        <w:t>ors, as well as the magnitu</w:t>
      </w:r>
      <w:r>
        <w:rPr>
          <w:rFonts w:eastAsia="Times New Roman"/>
          <w:color w:val="000000"/>
          <w:sz w:val="20"/>
          <w:szCs w:val="20"/>
          <w:shd w:val="clear" w:color="auto" w:fill="FFFFFF"/>
        </w:rPr>
        <w:t xml:space="preserve">de of the COVID-19 pandemic on </w:t>
      </w:r>
      <w:r>
        <w:rPr>
          <w:rFonts w:eastAsia="Times New Roman"/>
          <w:color w:val="000000"/>
          <w:sz w:val="20"/>
          <w:szCs w:val="20"/>
        </w:rPr>
        <w:t xml:space="preserve">particular quarters, our quarterly operating results and comparable restaurant sales may fluctuate significantly. </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Comparable Restaurant Sales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 xml:space="preserve">Comparable restaurant sales refer to year-over-year sales comparisons for the </w:t>
      </w:r>
      <w:r>
        <w:rPr>
          <w:rFonts w:eastAsia="Times New Roman"/>
          <w:color w:val="000000"/>
          <w:sz w:val="20"/>
          <w:szCs w:val="20"/>
        </w:rPr>
        <w:t>comparable restaurant base. We define the comparable restaurant base to include restaurants open for at least 18 full periods. This measure highlights performance of existing restaurants, as the impact of new restaurant openings is excluded. Changes in com</w:t>
      </w:r>
      <w:r>
        <w:rPr>
          <w:rFonts w:eastAsia="Times New Roman"/>
          <w:color w:val="000000"/>
          <w:sz w:val="20"/>
          <w:szCs w:val="20"/>
        </w:rPr>
        <w:t>parable restaurant sales are generated by changes in traffic, which we calculate as the number of entrées sold and changes in per-person spend, calculated as sales divided by traffic. Per-person spend can be influenced by changes in menu prices and the mix</w:t>
      </w:r>
      <w:r>
        <w:rPr>
          <w:rFonts w:eastAsia="Times New Roman"/>
          <w:color w:val="000000"/>
          <w:sz w:val="20"/>
          <w:szCs w:val="20"/>
        </w:rPr>
        <w:t xml:space="preserve"> and number of items sold per person. Restaurants that were temporarily closed or operating at reduced hours or dining capacity due to the COVID-19 pandemic remained in comparable restaurant sales. </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 xml:space="preserve">Measuring our comparable restaurant sales allows us to </w:t>
      </w:r>
      <w:r>
        <w:rPr>
          <w:rFonts w:eastAsia="Times New Roman"/>
          <w:color w:val="000000"/>
          <w:sz w:val="20"/>
          <w:szCs w:val="20"/>
        </w:rPr>
        <w:t>evaluate the performance of our existing restaurant base. Various factors impact comparable restaurant sales, including:</w:t>
      </w:r>
    </w:p>
    <w:p w:rsidR="00000000" w:rsidRDefault="00BC22AF">
      <w:pPr>
        <w:jc w:val="both"/>
        <w:rPr>
          <w:rFonts w:eastAsia="Times New Roman"/>
        </w:rPr>
      </w:pPr>
    </w:p>
    <w:p w:rsidR="00000000" w:rsidRDefault="00BC22AF">
      <w:pPr>
        <w:ind w:hanging="720"/>
        <w:divId w:val="311179630"/>
        <w:rPr>
          <w:rFonts w:eastAsia="Times New Roman"/>
        </w:rPr>
      </w:pPr>
      <w:r>
        <w:rPr>
          <w:rFonts w:eastAsia="Times New Roman"/>
          <w:color w:val="000000"/>
          <w:sz w:val="20"/>
          <w:szCs w:val="20"/>
        </w:rPr>
        <w:t>•</w:t>
      </w:r>
      <w:r>
        <w:rPr>
          <w:rFonts w:eastAsia="Times New Roman"/>
          <w:color w:val="000000"/>
          <w:sz w:val="20"/>
          <w:szCs w:val="20"/>
        </w:rPr>
        <w:t>consumer recognition of our brand and our ability to respond to changing consumer preferences;</w:t>
      </w:r>
    </w:p>
    <w:p w:rsidR="00000000" w:rsidRDefault="00BC22AF">
      <w:pPr>
        <w:ind w:hanging="720"/>
        <w:divId w:val="1163814901"/>
        <w:rPr>
          <w:rFonts w:eastAsia="Times New Roman"/>
        </w:rPr>
      </w:pPr>
    </w:p>
    <w:p w:rsidR="00000000" w:rsidRDefault="00BC22AF">
      <w:pPr>
        <w:ind w:hanging="720"/>
        <w:divId w:val="1318458846"/>
        <w:rPr>
          <w:rFonts w:eastAsia="Times New Roman"/>
        </w:rPr>
      </w:pPr>
      <w:r>
        <w:rPr>
          <w:rFonts w:eastAsia="Times New Roman"/>
          <w:color w:val="000000"/>
          <w:sz w:val="20"/>
          <w:szCs w:val="20"/>
        </w:rPr>
        <w:t>•overall economic trends, particularly those related to consumer spending;</w:t>
      </w:r>
    </w:p>
    <w:p w:rsidR="00000000" w:rsidRDefault="00BC22AF">
      <w:pPr>
        <w:ind w:hanging="720"/>
        <w:divId w:val="2041199239"/>
        <w:rPr>
          <w:rFonts w:eastAsia="Times New Roman"/>
        </w:rPr>
      </w:pPr>
    </w:p>
    <w:p w:rsidR="00000000" w:rsidRDefault="00BC22AF">
      <w:pPr>
        <w:ind w:hanging="720"/>
        <w:divId w:val="1787233236"/>
        <w:rPr>
          <w:rFonts w:eastAsia="Times New Roman"/>
        </w:rPr>
      </w:pPr>
      <w:r>
        <w:rPr>
          <w:rFonts w:eastAsia="Times New Roman"/>
          <w:color w:val="000000"/>
          <w:sz w:val="20"/>
          <w:szCs w:val="20"/>
        </w:rPr>
        <w:t>•our ability to operate restaurants effectively and efficiently to meet consumer e</w:t>
      </w:r>
      <w:r>
        <w:rPr>
          <w:rFonts w:eastAsia="Times New Roman"/>
          <w:color w:val="000000"/>
          <w:sz w:val="20"/>
          <w:szCs w:val="20"/>
        </w:rPr>
        <w:t>xpectations;</w:t>
      </w:r>
    </w:p>
    <w:p w:rsidR="00000000" w:rsidRDefault="00BC22AF">
      <w:pPr>
        <w:ind w:hanging="720"/>
        <w:divId w:val="1418480556"/>
        <w:rPr>
          <w:rFonts w:eastAsia="Times New Roman"/>
        </w:rPr>
      </w:pPr>
    </w:p>
    <w:p w:rsidR="00000000" w:rsidRDefault="00BC22AF">
      <w:pPr>
        <w:ind w:hanging="720"/>
        <w:divId w:val="864169413"/>
        <w:rPr>
          <w:rFonts w:eastAsia="Times New Roman"/>
        </w:rPr>
      </w:pPr>
      <w:r>
        <w:rPr>
          <w:rFonts w:eastAsia="Times New Roman"/>
          <w:color w:val="000000"/>
          <w:sz w:val="20"/>
          <w:szCs w:val="20"/>
        </w:rPr>
        <w:t>•pricing;</w:t>
      </w:r>
    </w:p>
    <w:p w:rsidR="00000000" w:rsidRDefault="00BC22AF">
      <w:pPr>
        <w:ind w:hanging="720"/>
        <w:divId w:val="2015645161"/>
        <w:rPr>
          <w:rFonts w:eastAsia="Times New Roman"/>
        </w:rPr>
      </w:pPr>
    </w:p>
    <w:p w:rsidR="00000000" w:rsidRDefault="00BC22AF">
      <w:pPr>
        <w:ind w:hanging="720"/>
        <w:divId w:val="1880627497"/>
        <w:rPr>
          <w:rFonts w:eastAsia="Times New Roman"/>
        </w:rPr>
      </w:pPr>
      <w:r>
        <w:rPr>
          <w:rFonts w:eastAsia="Times New Roman"/>
          <w:color w:val="000000"/>
          <w:sz w:val="20"/>
          <w:szCs w:val="20"/>
        </w:rPr>
        <w:t>•the number of restaurant transactions, per-person spend and average check amount;</w:t>
      </w:r>
    </w:p>
    <w:p w:rsidR="00000000" w:rsidRDefault="00BC22AF">
      <w:pPr>
        <w:ind w:hanging="720"/>
        <w:divId w:val="1091313767"/>
        <w:rPr>
          <w:rFonts w:eastAsia="Times New Roman"/>
        </w:rPr>
      </w:pPr>
    </w:p>
    <w:p w:rsidR="00000000" w:rsidRDefault="00BC22AF">
      <w:pPr>
        <w:ind w:hanging="720"/>
        <w:divId w:val="438138990"/>
        <w:rPr>
          <w:rFonts w:eastAsia="Times New Roman"/>
        </w:rPr>
      </w:pPr>
      <w:r>
        <w:rPr>
          <w:rFonts w:eastAsia="Times New Roman"/>
          <w:color w:val="000000"/>
          <w:sz w:val="20"/>
          <w:szCs w:val="20"/>
        </w:rPr>
        <w:t>•marketing and promotional efforts;</w:t>
      </w:r>
    </w:p>
    <w:p w:rsidR="00000000" w:rsidRDefault="00BC22AF">
      <w:pPr>
        <w:divId w:val="954336421"/>
        <w:rPr>
          <w:rFonts w:eastAsia="Times New Roman"/>
        </w:rPr>
      </w:pPr>
    </w:p>
    <w:p w:rsidR="00000000" w:rsidRDefault="00BC22AF">
      <w:pPr>
        <w:ind w:hanging="720"/>
        <w:divId w:val="713849576"/>
        <w:rPr>
          <w:rFonts w:eastAsia="Times New Roman"/>
        </w:rPr>
      </w:pPr>
      <w:r>
        <w:rPr>
          <w:rFonts w:eastAsia="Times New Roman"/>
          <w:color w:val="000000"/>
          <w:sz w:val="20"/>
          <w:szCs w:val="20"/>
        </w:rPr>
        <w:t>•abnormal weather patterns;</w:t>
      </w:r>
    </w:p>
    <w:p w:rsidR="00000000" w:rsidRDefault="00BC22AF">
      <w:pPr>
        <w:divId w:val="873231266"/>
        <w:rPr>
          <w:rFonts w:eastAsia="Times New Roman"/>
        </w:rPr>
      </w:pPr>
    </w:p>
    <w:p w:rsidR="00000000" w:rsidRDefault="00BC22AF">
      <w:pPr>
        <w:ind w:hanging="720"/>
        <w:divId w:val="1079644332"/>
        <w:rPr>
          <w:rFonts w:eastAsia="Times New Roman"/>
        </w:rPr>
      </w:pPr>
      <w:r>
        <w:rPr>
          <w:rFonts w:eastAsia="Times New Roman"/>
          <w:color w:val="000000"/>
          <w:sz w:val="20"/>
          <w:szCs w:val="20"/>
        </w:rPr>
        <w:t>•food safety and foodborne illness concerns;</w:t>
      </w:r>
    </w:p>
    <w:p w:rsidR="00000000" w:rsidRDefault="00BC22AF">
      <w:pPr>
        <w:divId w:val="848713711"/>
        <w:rPr>
          <w:rFonts w:eastAsia="Times New Roman"/>
        </w:rPr>
      </w:pPr>
    </w:p>
    <w:p w:rsidR="00000000" w:rsidRDefault="00BC22AF">
      <w:pPr>
        <w:ind w:hanging="720"/>
        <w:divId w:val="17392874"/>
        <w:rPr>
          <w:rFonts w:eastAsia="Times New Roman"/>
        </w:rPr>
      </w:pPr>
      <w:r>
        <w:rPr>
          <w:rFonts w:eastAsia="Times New Roman"/>
          <w:color w:val="000000"/>
          <w:sz w:val="20"/>
          <w:szCs w:val="20"/>
        </w:rPr>
        <w:t>•the impact of the COVID-19 p</w:t>
      </w:r>
      <w:r>
        <w:rPr>
          <w:rFonts w:eastAsia="Times New Roman"/>
          <w:color w:val="000000"/>
          <w:sz w:val="20"/>
          <w:szCs w:val="20"/>
        </w:rPr>
        <w:t xml:space="preserve">andemic; </w:t>
      </w:r>
    </w:p>
    <w:p w:rsidR="00000000" w:rsidRDefault="00BC22AF">
      <w:pPr>
        <w:divId w:val="303005633"/>
        <w:rPr>
          <w:rFonts w:eastAsia="Times New Roman"/>
        </w:rPr>
      </w:pPr>
    </w:p>
    <w:p w:rsidR="00000000" w:rsidRDefault="00BC22AF">
      <w:pPr>
        <w:ind w:hanging="720"/>
        <w:divId w:val="816804276"/>
        <w:rPr>
          <w:rFonts w:eastAsia="Times New Roman"/>
        </w:rPr>
      </w:pPr>
      <w:r>
        <w:rPr>
          <w:rFonts w:eastAsia="Times New Roman"/>
          <w:color w:val="000000"/>
          <w:sz w:val="20"/>
          <w:szCs w:val="20"/>
        </w:rPr>
        <w:t>•local competition;</w:t>
      </w:r>
    </w:p>
    <w:p w:rsidR="00000000" w:rsidRDefault="00BC22AF">
      <w:pPr>
        <w:ind w:hanging="720"/>
        <w:divId w:val="656810707"/>
        <w:rPr>
          <w:rFonts w:eastAsia="Times New Roman"/>
        </w:rPr>
      </w:pPr>
    </w:p>
    <w:p w:rsidR="00000000" w:rsidRDefault="00BC22AF">
      <w:pPr>
        <w:ind w:hanging="720"/>
        <w:divId w:val="2076121366"/>
        <w:rPr>
          <w:rFonts w:eastAsia="Times New Roman"/>
        </w:rPr>
      </w:pPr>
      <w:r>
        <w:rPr>
          <w:rFonts w:eastAsia="Times New Roman"/>
          <w:color w:val="000000"/>
          <w:sz w:val="20"/>
          <w:szCs w:val="20"/>
        </w:rPr>
        <w:t>•trade area dynamics;</w:t>
      </w:r>
    </w:p>
    <w:p w:rsidR="00000000" w:rsidRDefault="00BC22AF">
      <w:pPr>
        <w:ind w:hanging="720"/>
        <w:divId w:val="13003720"/>
        <w:rPr>
          <w:rFonts w:eastAsia="Times New Roman"/>
        </w:rPr>
      </w:pPr>
    </w:p>
    <w:p w:rsidR="00000000" w:rsidRDefault="00BC22AF">
      <w:pPr>
        <w:ind w:hanging="720"/>
        <w:divId w:val="116026457"/>
        <w:rPr>
          <w:rFonts w:eastAsia="Times New Roman"/>
        </w:rPr>
      </w:pPr>
      <w:r>
        <w:rPr>
          <w:rFonts w:eastAsia="Times New Roman"/>
          <w:color w:val="000000"/>
          <w:sz w:val="20"/>
          <w:szCs w:val="20"/>
        </w:rPr>
        <w:t>•introduction of new and seasonal menu items and limited time offerings; and</w:t>
      </w:r>
    </w:p>
    <w:p w:rsidR="00000000" w:rsidRDefault="00BC22AF">
      <w:pPr>
        <w:ind w:hanging="720"/>
        <w:divId w:val="1251502149"/>
        <w:rPr>
          <w:rFonts w:eastAsia="Times New Roman"/>
        </w:rPr>
      </w:pPr>
    </w:p>
    <w:p w:rsidR="00000000" w:rsidRDefault="00BC22AF">
      <w:pPr>
        <w:ind w:hanging="720"/>
        <w:divId w:val="1216501976"/>
        <w:rPr>
          <w:rFonts w:eastAsia="Times New Roman"/>
        </w:rPr>
      </w:pPr>
      <w:r>
        <w:rPr>
          <w:rFonts w:eastAsia="Times New Roman"/>
          <w:color w:val="000000"/>
          <w:sz w:val="20"/>
          <w:szCs w:val="20"/>
        </w:rPr>
        <w:t>•opening new restaurants in the vicinity of existing locations.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 xml:space="preserve">Consistent with common industry practice, we present </w:t>
      </w:r>
      <w:r>
        <w:rPr>
          <w:rFonts w:eastAsia="Times New Roman"/>
          <w:color w:val="000000"/>
          <w:sz w:val="20"/>
          <w:szCs w:val="20"/>
        </w:rPr>
        <w:t>comparable restaurant sales on a calendar-adjusted basis that aligns current year sales weeks with comparable periods in the prior year, regardless of whether they belong to the same fiscal period or not. Since opening new company-owned and franchise resta</w:t>
      </w:r>
      <w:r>
        <w:rPr>
          <w:rFonts w:eastAsia="Times New Roman"/>
          <w:color w:val="000000"/>
          <w:sz w:val="20"/>
          <w:szCs w:val="20"/>
        </w:rPr>
        <w:t>urants is a part of our long-term growth strategy and we anticipate new restaurants will be a component of our long-term revenue growth, comparable restaurant sales is only one measure of how we evaluate our performance.</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Average Unit Volumes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 xml:space="preserve">AUVs consist of the average annualized sales of all company-owned restaurants for a given time period. AUVs are calculated by dividing restaurant revenue by the number of operating days within each time period and multiplying by the </w:t>
      </w:r>
      <w:r>
        <w:rPr>
          <w:rFonts w:eastAsia="Times New Roman"/>
          <w:color w:val="000000"/>
          <w:sz w:val="20"/>
          <w:szCs w:val="20"/>
        </w:rPr>
        <w:t xml:space="preserve">number of operating days we have in a typical year. </w:t>
      </w:r>
      <w:r>
        <w:rPr>
          <w:rFonts w:eastAsia="Times New Roman"/>
          <w:color w:val="000000"/>
          <w:sz w:val="20"/>
          <w:szCs w:val="20"/>
          <w:shd w:val="clear" w:color="auto" w:fill="FFFFFF"/>
        </w:rPr>
        <w:t xml:space="preserve">Based on this calculation, temporarily closed restaurants are excluded from the definition of AUV, however restaurants with temporarily reduced operating hours are included. </w:t>
      </w:r>
      <w:r>
        <w:rPr>
          <w:rFonts w:eastAsia="Times New Roman"/>
          <w:color w:val="000000"/>
          <w:sz w:val="20"/>
          <w:szCs w:val="20"/>
        </w:rPr>
        <w:t>This measurement allows manage</w:t>
      </w:r>
      <w:r>
        <w:rPr>
          <w:rFonts w:eastAsia="Times New Roman"/>
          <w:color w:val="000000"/>
          <w:sz w:val="20"/>
          <w:szCs w:val="20"/>
        </w:rPr>
        <w:t xml:space="preserve">ment to assess changes in </w:t>
      </w:r>
      <w:r>
        <w:rPr>
          <w:rFonts w:eastAsia="Times New Roman"/>
          <w:color w:val="000000"/>
          <w:sz w:val="20"/>
          <w:szCs w:val="20"/>
          <w:shd w:val="clear" w:color="auto" w:fill="FFFFFF"/>
        </w:rPr>
        <w:t>consumer traffic and per person spending</w:t>
      </w:r>
      <w:r>
        <w:rPr>
          <w:rFonts w:eastAsia="Times New Roman"/>
          <w:color w:val="000000"/>
          <w:sz w:val="20"/>
          <w:szCs w:val="20"/>
        </w:rPr>
        <w:t xml:space="preserve"> patterns at our restaurants. In addition to the factors that impact comparable restaurant sales, AUVs can be further impacted by effective real estate site selection and maturity and trends</w:t>
      </w:r>
      <w:r>
        <w:rPr>
          <w:rFonts w:eastAsia="Times New Roman"/>
          <w:color w:val="000000"/>
          <w:sz w:val="20"/>
          <w:szCs w:val="20"/>
        </w:rPr>
        <w:t xml:space="preserve"> within new markets. </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Restaurant Contribution and Restaurant Contribution Margin</w:t>
      </w:r>
    </w:p>
    <w:p w:rsidR="00000000" w:rsidRDefault="00BC22AF">
      <w:pPr>
        <w:jc w:val="center"/>
        <w:divId w:val="1888952835"/>
        <w:rPr>
          <w:rFonts w:eastAsia="Times New Roman"/>
        </w:rPr>
      </w:pPr>
      <w:r>
        <w:rPr>
          <w:rFonts w:eastAsia="Times New Roman"/>
          <w:color w:val="000000"/>
          <w:sz w:val="20"/>
          <w:szCs w:val="20"/>
        </w:rPr>
        <w:t>16</w:t>
      </w:r>
    </w:p>
    <w:p w:rsidR="00000000" w:rsidRDefault="00BC22AF">
      <w:pPr>
        <w:rPr>
          <w:rFonts w:eastAsia="Times New Roman"/>
        </w:rPr>
      </w:pPr>
      <w:r>
        <w:rPr>
          <w:rFonts w:eastAsia="Times New Roman"/>
        </w:rPr>
        <w:pict>
          <v:rect id="_x0000_i1041" style="width:0;height:1.5pt" o:hralign="center" o:hrstd="t" o:hr="t" fillcolor="#a0a0a0" stroked="f"/>
        </w:pict>
      </w:r>
    </w:p>
    <w:p w:rsidR="00000000" w:rsidRDefault="00BC22AF">
      <w:pPr>
        <w:divId w:val="201094160"/>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Restaurant contribution represents restaurant revenue less restaurant operating costs which are cost of sales, labor, occupancy and other res</w:t>
      </w:r>
      <w:r>
        <w:rPr>
          <w:rFonts w:eastAsia="Times New Roman"/>
          <w:color w:val="000000"/>
          <w:sz w:val="20"/>
          <w:szCs w:val="20"/>
        </w:rPr>
        <w:t>taurant operating costs. Restaurant contribution margin represents restaurant contribution as a percentage of restaurant revenue. We expect restaurant contribution to increase in proportion to the number of new restaurants we open, our comparable restauran</w:t>
      </w:r>
      <w:r>
        <w:rPr>
          <w:rFonts w:eastAsia="Times New Roman"/>
          <w:color w:val="000000"/>
          <w:sz w:val="20"/>
          <w:szCs w:val="20"/>
        </w:rPr>
        <w:t xml:space="preserve">t sales growth and cost reduction initiatives. </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 xml:space="preserve">We believe that restaurant contribution and restaurant contribution margin are important tools for investors and other interested parties because they are widely-used metrics within the restaurant industry </w:t>
      </w:r>
      <w:r>
        <w:rPr>
          <w:rFonts w:eastAsia="Times New Roman"/>
          <w:color w:val="000000"/>
          <w:sz w:val="20"/>
          <w:szCs w:val="20"/>
        </w:rPr>
        <w:t>to evaluate restaurant-level productivity, efficiency and performance. We also use restaurant contribution and restaurant contribution margin as metrics to evaluate the profitability of incremental sales at our restaurants, restaurant performance across pe</w:t>
      </w:r>
      <w:r>
        <w:rPr>
          <w:rFonts w:eastAsia="Times New Roman"/>
          <w:color w:val="000000"/>
          <w:sz w:val="20"/>
          <w:szCs w:val="20"/>
        </w:rPr>
        <w:t xml:space="preserve">riods and restaurant financial performance compared with competitors. Restaurant contribution and restaurant contribution margin are supplemental measures of the operating performance of our restaurants and are not reflective of the underlying performance </w:t>
      </w:r>
      <w:r>
        <w:rPr>
          <w:rFonts w:eastAsia="Times New Roman"/>
          <w:color w:val="000000"/>
          <w:sz w:val="20"/>
          <w:szCs w:val="20"/>
        </w:rPr>
        <w:t xml:space="preserve">of our business because corporate-level expenses are excluded from these measures. </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EBITDA and Adjusted EBITDA</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We define EBITDA as net income (loss) before interest expense, provision (benefit) for income taxes and depreciation and amortization. We def</w:t>
      </w:r>
      <w:r>
        <w:rPr>
          <w:rFonts w:eastAsia="Times New Roman"/>
          <w:color w:val="000000"/>
          <w:sz w:val="20"/>
          <w:szCs w:val="20"/>
        </w:rPr>
        <w:t xml:space="preserve">ine adjusted EBITDA as net income (loss) before interest expense, provision (benefit) for income taxes, depreciation and amortization, restaurant impairments, closure costs and asset disposals and stock-based compensation. </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We believe that EBITDA and adj</w:t>
      </w:r>
      <w:r>
        <w:rPr>
          <w:rFonts w:eastAsia="Times New Roman"/>
          <w:color w:val="000000"/>
          <w:sz w:val="20"/>
          <w:szCs w:val="20"/>
        </w:rPr>
        <w:t xml:space="preserve">usted EBITDA provide clear pictures of our operating results by eliminating certain non-recurring and non-cash expenses that may vary widely from period to period and are not reflective of the underlying business performance. </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The presentation of restaur</w:t>
      </w:r>
      <w:r>
        <w:rPr>
          <w:rFonts w:eastAsia="Times New Roman"/>
          <w:color w:val="000000"/>
          <w:sz w:val="20"/>
          <w:szCs w:val="20"/>
        </w:rPr>
        <w:t>ant contribution, restaurant contribution margin, EBITDA and adjusted EBITDA is not intended to be considered in isolation or as a substitute for, or to be superior to, the financial information prepared and presented in accordance with accounting principl</w:t>
      </w:r>
      <w:r>
        <w:rPr>
          <w:rFonts w:eastAsia="Times New Roman"/>
          <w:color w:val="000000"/>
          <w:sz w:val="20"/>
          <w:szCs w:val="20"/>
        </w:rPr>
        <w:t xml:space="preserve">es generally accepted in the United States of America (“GAAP”). We use these non-GAAP financial measures for financial and operational decision making and as a means to evaluate period-to-period comparisons. We believe that they provide useful information </w:t>
      </w:r>
      <w:r>
        <w:rPr>
          <w:rFonts w:eastAsia="Times New Roman"/>
          <w:color w:val="000000"/>
          <w:sz w:val="20"/>
          <w:szCs w:val="20"/>
        </w:rPr>
        <w:t>to management and investors about operating results, enhance the overall understanding of past financial performance and future prospects and allow for greater transparency with respect to key metrics used by management in its financial and operational dec</w:t>
      </w:r>
      <w:r>
        <w:rPr>
          <w:rFonts w:eastAsia="Times New Roman"/>
          <w:color w:val="000000"/>
          <w:sz w:val="20"/>
          <w:szCs w:val="20"/>
        </w:rPr>
        <w:t>ision making.</w:t>
      </w:r>
    </w:p>
    <w:p w:rsidR="00000000" w:rsidRDefault="00BC22AF">
      <w:pPr>
        <w:jc w:val="both"/>
        <w:rPr>
          <w:rFonts w:eastAsia="Times New Roman"/>
        </w:rPr>
      </w:pPr>
    </w:p>
    <w:p w:rsidR="00000000" w:rsidRDefault="00BC22AF">
      <w:pPr>
        <w:jc w:val="both"/>
        <w:rPr>
          <w:rFonts w:eastAsia="Times New Roman"/>
        </w:rPr>
      </w:pPr>
      <w:r>
        <w:rPr>
          <w:rFonts w:eastAsia="Times New Roman"/>
          <w:b/>
          <w:bCs/>
          <w:color w:val="000000"/>
          <w:sz w:val="20"/>
          <w:szCs w:val="20"/>
        </w:rPr>
        <w:t>Results of Operations</w:t>
      </w:r>
    </w:p>
    <w:p w:rsidR="00000000" w:rsidRDefault="00BC22AF">
      <w:pPr>
        <w:jc w:val="both"/>
        <w:rPr>
          <w:rFonts w:eastAsia="Times New Roman"/>
        </w:rPr>
      </w:pPr>
    </w:p>
    <w:p w:rsidR="00000000" w:rsidRDefault="00BC22AF">
      <w:pPr>
        <w:jc w:val="both"/>
        <w:divId w:val="708997728"/>
        <w:rPr>
          <w:rFonts w:eastAsia="Times New Roman"/>
        </w:rPr>
      </w:pPr>
      <w:r>
        <w:rPr>
          <w:rFonts w:eastAsia="Times New Roman"/>
          <w:color w:val="000000"/>
          <w:sz w:val="20"/>
          <w:szCs w:val="20"/>
        </w:rPr>
        <w:t>The following table presents a reconciliation of net income (loss) to EBITDA and adjusted EBITDA:</w:t>
      </w:r>
    </w:p>
    <w:tbl>
      <w:tblPr>
        <w:tblW w:w="5000" w:type="pct"/>
        <w:tblCellMar>
          <w:top w:w="15" w:type="dxa"/>
          <w:left w:w="15" w:type="dxa"/>
          <w:bottom w:w="15" w:type="dxa"/>
          <w:right w:w="15" w:type="dxa"/>
        </w:tblCellMar>
        <w:tblLook w:val="04A0" w:firstRow="1" w:lastRow="0" w:firstColumn="1" w:lastColumn="0" w:noHBand="0" w:noVBand="1"/>
      </w:tblPr>
      <w:tblGrid>
        <w:gridCol w:w="40"/>
        <w:gridCol w:w="3979"/>
        <w:gridCol w:w="39"/>
        <w:gridCol w:w="36"/>
        <w:gridCol w:w="36"/>
        <w:gridCol w:w="36"/>
        <w:gridCol w:w="120"/>
        <w:gridCol w:w="772"/>
        <w:gridCol w:w="36"/>
        <w:gridCol w:w="36"/>
        <w:gridCol w:w="36"/>
        <w:gridCol w:w="36"/>
        <w:gridCol w:w="120"/>
        <w:gridCol w:w="797"/>
        <w:gridCol w:w="36"/>
        <w:gridCol w:w="36"/>
        <w:gridCol w:w="36"/>
        <w:gridCol w:w="36"/>
        <w:gridCol w:w="120"/>
        <w:gridCol w:w="836"/>
        <w:gridCol w:w="36"/>
        <w:gridCol w:w="36"/>
        <w:gridCol w:w="36"/>
        <w:gridCol w:w="36"/>
        <w:gridCol w:w="120"/>
        <w:gridCol w:w="787"/>
        <w:gridCol w:w="36"/>
      </w:tblGrid>
      <w:tr w:rsidR="00000000">
        <w:trPr>
          <w:divId w:val="1273593777"/>
        </w:trPr>
        <w:tc>
          <w:tcPr>
            <w:tcW w:w="50" w:type="pct"/>
            <w:vAlign w:val="center"/>
            <w:hideMark/>
          </w:tcPr>
          <w:p w:rsidR="00000000" w:rsidRDefault="00BC22AF">
            <w:pPr>
              <w:jc w:val="both"/>
              <w:rPr>
                <w:rFonts w:eastAsia="Times New Roman"/>
              </w:rPr>
            </w:pPr>
          </w:p>
        </w:tc>
        <w:tc>
          <w:tcPr>
            <w:tcW w:w="2430"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22"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37"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59"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30"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divId w:val="1273593777"/>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Two Fiscal Quarters Ended</w:t>
            </w:r>
          </w:p>
        </w:tc>
      </w:tr>
      <w:tr w:rsidR="00000000">
        <w:trPr>
          <w:divId w:val="1273593777"/>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r>
      <w:tr w:rsidR="00000000">
        <w:trPr>
          <w:divId w:val="1273593777"/>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(in thousands, unaudited)</w:t>
            </w:r>
          </w:p>
        </w:tc>
      </w:tr>
      <w:tr w:rsidR="00000000">
        <w:trPr>
          <w:divId w:val="1273593777"/>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1,345 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5,683 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(5,084)</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3,706 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273593777"/>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5,763 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5,576 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11,484 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11,163 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273593777"/>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489 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498 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926 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1,120 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273593777"/>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Provision for (benefit from) income taxes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273593777"/>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EBITDA</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7,641 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11,786 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7,287 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16,008 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273593777"/>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ind w:hanging="180"/>
              <w:divId w:val="1939487878"/>
              <w:rPr>
                <w:rFonts w:eastAsia="Times New Roman"/>
              </w:rPr>
            </w:pPr>
            <w:r>
              <w:rPr>
                <w:rFonts w:eastAsia="Times New Roman"/>
                <w:color w:val="000000"/>
                <w:sz w:val="20"/>
                <w:szCs w:val="20"/>
              </w:rPr>
              <w:t>Restaurant impairments, closure costs and asset disposals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1,971 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390 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3,360 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1,621 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273593777"/>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1,499 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1,611 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2,668 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2,413 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273593777"/>
        </w:trPr>
        <w:tc>
          <w:tcPr>
            <w:tcW w:w="0" w:type="auto"/>
            <w:gridSpan w:val="3"/>
            <w:vAlign w:val="center"/>
            <w:hideMark/>
          </w:tcPr>
          <w:p w:rsidR="00000000" w:rsidRDefault="00BC22AF">
            <w:pPr>
              <w:spacing w:after="100"/>
              <w:jc w:val="right"/>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r>
      <w:tr w:rsidR="00000000">
        <w:trPr>
          <w:divId w:val="1273593777"/>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ind w:hanging="180"/>
              <w:divId w:val="130944384"/>
              <w:rPr>
                <w:rFonts w:eastAsia="Times New Roman"/>
              </w:rPr>
            </w:pPr>
            <w:r>
              <w:rPr>
                <w:rFonts w:eastAsia="Times New Roman"/>
                <w:color w:val="000000"/>
                <w:sz w:val="20"/>
                <w:szCs w:val="20"/>
              </w:rPr>
              <w:t>Fees and costs related to transactions and other acquisition/disposition costs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rPr>
          <w:divId w:val="1273593777"/>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Adjusted EBITDA</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11,174 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13,787 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13,378 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20,042 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bl>
    <w:p w:rsidR="00000000" w:rsidRDefault="00BC22AF">
      <w:pPr>
        <w:divId w:val="1210652490"/>
        <w:rPr>
          <w:rFonts w:eastAsia="Times New Roman"/>
        </w:rPr>
      </w:pPr>
      <w:r>
        <w:rPr>
          <w:rFonts w:eastAsia="Times New Roman"/>
          <w:color w:val="000000"/>
          <w:sz w:val="16"/>
          <w:szCs w:val="16"/>
        </w:rPr>
        <w:t>_____________________</w:t>
      </w:r>
    </w:p>
    <w:p w:rsidR="00000000" w:rsidRDefault="00BC22AF">
      <w:pPr>
        <w:ind w:hanging="720"/>
        <w:jc w:val="both"/>
        <w:rPr>
          <w:rFonts w:eastAsia="Times New Roman"/>
        </w:rPr>
      </w:pPr>
      <w:r>
        <w:rPr>
          <w:rFonts w:eastAsia="Times New Roman"/>
          <w:color w:val="000000"/>
          <w:sz w:val="16"/>
          <w:szCs w:val="16"/>
        </w:rPr>
        <w:t>(1)Restaurant impairments and closure costs in all periods presented above include amounts related to restaurants previously impaired or closed. See Note 7, Restaurant Impairments, Closure Costs and Asset Disposals.</w:t>
      </w:r>
    </w:p>
    <w:p w:rsidR="00000000" w:rsidRDefault="00BC22AF">
      <w:pPr>
        <w:divId w:val="64425711"/>
        <w:rPr>
          <w:rFonts w:eastAsia="Times New Roman"/>
        </w:rPr>
      </w:pPr>
    </w:p>
    <w:p w:rsidR="00000000" w:rsidRDefault="00BC22AF">
      <w:pPr>
        <w:jc w:val="center"/>
        <w:divId w:val="1986009758"/>
        <w:rPr>
          <w:rFonts w:eastAsia="Times New Roman"/>
        </w:rPr>
      </w:pPr>
      <w:r>
        <w:rPr>
          <w:rFonts w:eastAsia="Times New Roman"/>
          <w:color w:val="000000"/>
          <w:sz w:val="20"/>
          <w:szCs w:val="20"/>
        </w:rPr>
        <w:t>17</w:t>
      </w:r>
    </w:p>
    <w:p w:rsidR="00000000" w:rsidRDefault="00BC22AF">
      <w:pPr>
        <w:rPr>
          <w:rFonts w:eastAsia="Times New Roman"/>
        </w:rPr>
      </w:pPr>
      <w:r>
        <w:rPr>
          <w:rFonts w:eastAsia="Times New Roman"/>
        </w:rPr>
        <w:pict>
          <v:rect id="_x0000_i1042" style="width:0;height:1.5pt" o:hralign="center" o:hrstd="t" o:hr="t" fillcolor="#a0a0a0" stroked="f"/>
        </w:pict>
      </w:r>
    </w:p>
    <w:p w:rsidR="00000000" w:rsidRDefault="00BC22AF">
      <w:pPr>
        <w:divId w:val="1470856360"/>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both"/>
        <w:divId w:val="1706711704"/>
        <w:rPr>
          <w:rFonts w:eastAsia="Times New Roman"/>
        </w:rPr>
      </w:pPr>
      <w:r>
        <w:rPr>
          <w:rFonts w:eastAsia="Times New Roman"/>
          <w:b/>
          <w:bCs/>
          <w:i/>
          <w:iCs/>
          <w:color w:val="000000"/>
          <w:sz w:val="20"/>
          <w:szCs w:val="20"/>
        </w:rPr>
        <w:t>Restaurant Openings, Closures and Relocations</w:t>
      </w:r>
    </w:p>
    <w:p w:rsidR="00000000" w:rsidRDefault="00BC22AF">
      <w:pPr>
        <w:jc w:val="both"/>
        <w:rPr>
          <w:rFonts w:eastAsia="Times New Roman"/>
        </w:rPr>
      </w:pPr>
    </w:p>
    <w:p w:rsidR="00000000" w:rsidRDefault="00BC22AF">
      <w:pPr>
        <w:jc w:val="both"/>
        <w:divId w:val="298146882"/>
        <w:rPr>
          <w:rFonts w:eastAsia="Times New Roman"/>
        </w:rPr>
      </w:pPr>
      <w:r>
        <w:rPr>
          <w:rFonts w:eastAsia="Times New Roman"/>
          <w:color w:val="000000"/>
          <w:sz w:val="20"/>
          <w:szCs w:val="20"/>
        </w:rPr>
        <w:t xml:space="preserve">The following table shows restaurants opened or closed during the periods indicated: </w:t>
      </w:r>
    </w:p>
    <w:tbl>
      <w:tblPr>
        <w:tblW w:w="4992" w:type="pct"/>
        <w:tblCellMar>
          <w:top w:w="15" w:type="dxa"/>
          <w:left w:w="15" w:type="dxa"/>
          <w:bottom w:w="15" w:type="dxa"/>
          <w:right w:w="15" w:type="dxa"/>
        </w:tblCellMar>
        <w:tblLook w:val="04A0" w:firstRow="1" w:lastRow="0" w:firstColumn="1" w:lastColumn="0" w:noHBand="0" w:noVBand="1"/>
      </w:tblPr>
      <w:tblGrid>
        <w:gridCol w:w="56"/>
        <w:gridCol w:w="3710"/>
        <w:gridCol w:w="37"/>
        <w:gridCol w:w="36"/>
        <w:gridCol w:w="36"/>
        <w:gridCol w:w="36"/>
        <w:gridCol w:w="38"/>
        <w:gridCol w:w="936"/>
        <w:gridCol w:w="38"/>
        <w:gridCol w:w="37"/>
        <w:gridCol w:w="37"/>
        <w:gridCol w:w="36"/>
        <w:gridCol w:w="37"/>
        <w:gridCol w:w="939"/>
        <w:gridCol w:w="37"/>
        <w:gridCol w:w="36"/>
        <w:gridCol w:w="36"/>
        <w:gridCol w:w="36"/>
        <w:gridCol w:w="38"/>
        <w:gridCol w:w="939"/>
        <w:gridCol w:w="37"/>
        <w:gridCol w:w="37"/>
        <w:gridCol w:w="36"/>
        <w:gridCol w:w="36"/>
        <w:gridCol w:w="38"/>
        <w:gridCol w:w="941"/>
        <w:gridCol w:w="37"/>
      </w:tblGrid>
      <w:tr w:rsidR="00000000">
        <w:tc>
          <w:tcPr>
            <w:tcW w:w="50" w:type="pct"/>
            <w:vAlign w:val="center"/>
            <w:hideMark/>
          </w:tcPr>
          <w:p w:rsidR="00000000" w:rsidRDefault="00BC22AF">
            <w:pPr>
              <w:jc w:val="both"/>
              <w:rPr>
                <w:rFonts w:eastAsia="Times New Roman"/>
              </w:rPr>
            </w:pPr>
          </w:p>
        </w:tc>
        <w:tc>
          <w:tcPr>
            <w:tcW w:w="225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2"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Two Fiscal Quarters Ended</w:t>
            </w:r>
          </w:p>
        </w:tc>
      </w:tr>
      <w:tr w:rsidR="00000000">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r>
      <w:tr w:rsidR="00000000">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20"/>
                <w:szCs w:val="20"/>
              </w:rPr>
              <w:t>Company-Owned Restaurant Activity</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Beginning of period</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360 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372 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372 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378 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Openings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Closures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divId w:val="1773816674"/>
              <w:rPr>
                <w:rFonts w:eastAsia="Times New Roman"/>
              </w:rPr>
            </w:pPr>
            <w:r>
              <w:rPr>
                <w:rFonts w:eastAsia="Times New Roman"/>
                <w:color w:val="000000"/>
                <w:sz w:val="20"/>
                <w:szCs w:val="20"/>
              </w:rPr>
              <w:t>Divestitures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Restaurants at end of period</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20"/>
                <w:szCs w:val="20"/>
              </w:rPr>
              <w:t>Franchise Restaurant Activity</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Beginning of period</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Openings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divId w:val="500046612"/>
              <w:rPr>
                <w:rFonts w:eastAsia="Times New Roman"/>
              </w:rPr>
            </w:pPr>
            <w:r>
              <w:rPr>
                <w:rFonts w:eastAsia="Times New Roman"/>
                <w:color w:val="000000"/>
                <w:sz w:val="20"/>
                <w:szCs w:val="20"/>
              </w:rPr>
              <w:t>Acquisitions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c>
          <w:tcPr>
            <w:tcW w:w="0" w:type="auto"/>
            <w:gridSpan w:val="3"/>
            <w:vAlign w:val="center"/>
            <w:hideMark/>
          </w:tcPr>
          <w:p w:rsidR="00000000" w:rsidRDefault="00BC22AF">
            <w:pPr>
              <w:spacing w:after="100"/>
              <w:jc w:val="right"/>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Restaurants at end of period</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Total restaurants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bl>
    <w:p w:rsidR="00000000" w:rsidRDefault="00BC22AF">
      <w:pPr>
        <w:ind w:hanging="450"/>
        <w:divId w:val="542139723"/>
        <w:rPr>
          <w:rFonts w:eastAsia="Times New Roman"/>
        </w:rPr>
      </w:pPr>
      <w:r>
        <w:rPr>
          <w:rFonts w:eastAsia="Times New Roman"/>
          <w:color w:val="000000"/>
          <w:sz w:val="16"/>
          <w:szCs w:val="16"/>
        </w:rPr>
        <w:t>_____________________________</w:t>
      </w:r>
    </w:p>
    <w:p w:rsidR="00000000" w:rsidRDefault="00BC22AF">
      <w:pPr>
        <w:ind w:hanging="720"/>
        <w:jc w:val="both"/>
        <w:rPr>
          <w:rFonts w:eastAsia="Times New Roman"/>
        </w:rPr>
      </w:pPr>
      <w:r>
        <w:rPr>
          <w:rFonts w:eastAsia="Times New Roman"/>
          <w:color w:val="000000"/>
          <w:sz w:val="16"/>
          <w:szCs w:val="16"/>
          <w:shd w:val="clear" w:color="auto" w:fill="FFFFFF"/>
        </w:rPr>
        <w:t>(1)Repr</w:t>
      </w:r>
      <w:r>
        <w:rPr>
          <w:rFonts w:eastAsia="Times New Roman"/>
          <w:color w:val="000000"/>
          <w:sz w:val="16"/>
          <w:szCs w:val="16"/>
          <w:shd w:val="clear" w:color="auto" w:fill="FFFFFF"/>
        </w:rPr>
        <w:t xml:space="preserve">esents fifteen company-owned restaurants sold to a franchisee in 2022. </w:t>
      </w:r>
    </w:p>
    <w:p w:rsidR="00000000" w:rsidRDefault="00BC22AF">
      <w:pPr>
        <w:ind w:hanging="360"/>
        <w:jc w:val="both"/>
        <w:rPr>
          <w:rFonts w:eastAsia="Times New Roman"/>
        </w:rPr>
      </w:pPr>
    </w:p>
    <w:p w:rsidR="00000000" w:rsidRDefault="00BC22AF">
      <w:pPr>
        <w:divId w:val="417410629"/>
        <w:rPr>
          <w:rFonts w:eastAsia="Times New Roman"/>
        </w:rPr>
      </w:pPr>
    </w:p>
    <w:p w:rsidR="00000000" w:rsidRDefault="00BC22AF">
      <w:pPr>
        <w:jc w:val="center"/>
        <w:divId w:val="686715731"/>
        <w:rPr>
          <w:rFonts w:eastAsia="Times New Roman"/>
        </w:rPr>
      </w:pPr>
      <w:r>
        <w:rPr>
          <w:rFonts w:eastAsia="Times New Roman"/>
          <w:color w:val="000000"/>
          <w:sz w:val="20"/>
          <w:szCs w:val="20"/>
        </w:rPr>
        <w:t>18</w:t>
      </w:r>
    </w:p>
    <w:p w:rsidR="00000000" w:rsidRDefault="00BC22AF">
      <w:pPr>
        <w:rPr>
          <w:rFonts w:eastAsia="Times New Roman"/>
        </w:rPr>
      </w:pPr>
      <w:r>
        <w:rPr>
          <w:rFonts w:eastAsia="Times New Roman"/>
        </w:rPr>
        <w:pict>
          <v:rect id="_x0000_i1043" style="width:0;height:1.5pt" o:hralign="center" o:hrstd="t" o:hr="t" fillcolor="#a0a0a0" stroked="f"/>
        </w:pict>
      </w:r>
    </w:p>
    <w:p w:rsidR="00000000" w:rsidRDefault="00BC22AF">
      <w:pPr>
        <w:divId w:val="522060649"/>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divId w:val="2036038166"/>
        <w:rPr>
          <w:rFonts w:eastAsia="Times New Roman"/>
        </w:rPr>
      </w:pPr>
    </w:p>
    <w:p w:rsidR="00000000" w:rsidRDefault="00BC22AF">
      <w:pPr>
        <w:divId w:val="1108088341"/>
        <w:rPr>
          <w:rFonts w:eastAsia="Times New Roman"/>
        </w:rPr>
      </w:pPr>
      <w:r>
        <w:rPr>
          <w:rFonts w:eastAsia="Times New Roman"/>
          <w:b/>
          <w:bCs/>
          <w:i/>
          <w:iCs/>
          <w:color w:val="000000"/>
          <w:sz w:val="20"/>
          <w:szCs w:val="20"/>
        </w:rPr>
        <w:t>Statement of Operations as a Percentage of Revenue</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The following table summarizes key components of our results of operations for the periods indicated as a percentage of our total revenue, except for the components of restaurant operating costs, which a</w:t>
      </w:r>
      <w:r>
        <w:rPr>
          <w:rFonts w:eastAsia="Times New Roman"/>
          <w:color w:val="000000"/>
          <w:sz w:val="20"/>
          <w:szCs w:val="20"/>
        </w:rPr>
        <w:t xml:space="preserve">re expressed as a percentage of restaurant revenue. </w:t>
      </w:r>
    </w:p>
    <w:tbl>
      <w:tblPr>
        <w:tblW w:w="4992" w:type="pct"/>
        <w:tblCellMar>
          <w:top w:w="15" w:type="dxa"/>
          <w:left w:w="15" w:type="dxa"/>
          <w:bottom w:w="15" w:type="dxa"/>
          <w:right w:w="15" w:type="dxa"/>
        </w:tblCellMar>
        <w:tblLook w:val="04A0" w:firstRow="1" w:lastRow="0" w:firstColumn="1" w:lastColumn="0" w:noHBand="0" w:noVBand="1"/>
      </w:tblPr>
      <w:tblGrid>
        <w:gridCol w:w="40"/>
        <w:gridCol w:w="3640"/>
        <w:gridCol w:w="38"/>
        <w:gridCol w:w="36"/>
        <w:gridCol w:w="36"/>
        <w:gridCol w:w="36"/>
        <w:gridCol w:w="42"/>
        <w:gridCol w:w="803"/>
        <w:gridCol w:w="188"/>
        <w:gridCol w:w="36"/>
        <w:gridCol w:w="36"/>
        <w:gridCol w:w="36"/>
        <w:gridCol w:w="42"/>
        <w:gridCol w:w="806"/>
        <w:gridCol w:w="188"/>
        <w:gridCol w:w="36"/>
        <w:gridCol w:w="36"/>
        <w:gridCol w:w="36"/>
        <w:gridCol w:w="42"/>
        <w:gridCol w:w="806"/>
        <w:gridCol w:w="188"/>
        <w:gridCol w:w="37"/>
        <w:gridCol w:w="36"/>
        <w:gridCol w:w="36"/>
        <w:gridCol w:w="42"/>
        <w:gridCol w:w="808"/>
        <w:gridCol w:w="187"/>
      </w:tblGrid>
      <w:tr w:rsidR="00000000">
        <w:trPr>
          <w:divId w:val="1972595060"/>
        </w:trPr>
        <w:tc>
          <w:tcPr>
            <w:tcW w:w="50" w:type="pct"/>
            <w:vAlign w:val="center"/>
            <w:hideMark/>
          </w:tcPr>
          <w:p w:rsidR="00000000" w:rsidRDefault="00BC22AF">
            <w:pPr>
              <w:jc w:val="both"/>
              <w:rPr>
                <w:rFonts w:eastAsia="Times New Roman"/>
              </w:rPr>
            </w:pPr>
          </w:p>
        </w:tc>
        <w:tc>
          <w:tcPr>
            <w:tcW w:w="225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2"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rPr>
          <w:divId w:val="1972595060"/>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Two Fiscal Quarters Ended</w:t>
            </w:r>
          </w:p>
        </w:tc>
      </w:tr>
      <w:tr w:rsidR="00000000">
        <w:trPr>
          <w:divId w:val="1972595060"/>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r>
      <w:tr w:rsidR="00000000">
        <w:trPr>
          <w:divId w:val="1972595060"/>
        </w:trPr>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21"/>
            <w:tcBorders>
              <w:top w:val="single" w:sz="8" w:space="0" w:color="000000"/>
            </w:tcBorders>
            <w:shd w:val="clear" w:color="auto" w:fill="FFFFFF"/>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(unaudited)</w:t>
            </w:r>
          </w:p>
        </w:tc>
      </w:tr>
      <w:tr w:rsidR="00000000">
        <w:trPr>
          <w:divId w:val="1972595060"/>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r>
      <w:tr w:rsidR="00000000">
        <w:trPr>
          <w:divId w:val="1972595060"/>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97.9 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98.5 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97.8 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98.4 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rPr>
          <w:divId w:val="1972595060"/>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rPr>
          <w:divId w:val="1972595060"/>
        </w:trPr>
        <w:tc>
          <w:tcPr>
            <w:tcW w:w="0" w:type="auto"/>
            <w:gridSpan w:val="3"/>
            <w:shd w:val="clear" w:color="auto" w:fill="CCEE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rPr>
          <w:divId w:val="1972595060"/>
        </w:trPr>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rPr>
          <w:divId w:val="1972595060"/>
        </w:trPr>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ind w:hanging="270"/>
              <w:divId w:val="938414310"/>
              <w:rPr>
                <w:rFonts w:eastAsia="Times New Roman"/>
              </w:rPr>
            </w:pPr>
            <w:r>
              <w:rPr>
                <w:rFonts w:eastAsia="Times New Roman"/>
                <w:color w:val="000000"/>
                <w:sz w:val="20"/>
                <w:szCs w:val="20"/>
              </w:rPr>
              <w:t xml:space="preserve">Restaurant operating costs (exclusive of depreciation and amortization shown separately below): </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ind w:hanging="27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rPr>
          <w:divId w:val="1972595060"/>
        </w:trPr>
        <w:tc>
          <w:tcPr>
            <w:tcW w:w="0" w:type="auto"/>
            <w:gridSpan w:val="3"/>
            <w:shd w:val="clear" w:color="auto" w:fill="FFFF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27.8 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24.9 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27.9 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rPr>
          <w:divId w:val="1972595060"/>
        </w:trPr>
        <w:tc>
          <w:tcPr>
            <w:tcW w:w="0" w:type="auto"/>
            <w:gridSpan w:val="3"/>
            <w:shd w:val="clear" w:color="auto" w:fill="CCEE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30.3 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29.8 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30.8 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rPr>
          <w:divId w:val="1972595060"/>
        </w:trPr>
        <w:tc>
          <w:tcPr>
            <w:tcW w:w="0" w:type="auto"/>
            <w:gridSpan w:val="3"/>
            <w:shd w:val="clear" w:color="auto" w:fill="FFFF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rPr>
          <w:divId w:val="1972595060"/>
        </w:trPr>
        <w:tc>
          <w:tcPr>
            <w:tcW w:w="0" w:type="auto"/>
            <w:gridSpan w:val="3"/>
            <w:shd w:val="clear" w:color="auto" w:fill="CCEE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rPr>
          <w:divId w:val="1972595060"/>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rPr>
          <w:divId w:val="1972595060"/>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rPr>
          <w:divId w:val="1972595060"/>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rPr>
          <w:divId w:val="1972595060"/>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rPr>
          <w:divId w:val="1972595060"/>
        </w:trPr>
        <w:tc>
          <w:tcPr>
            <w:tcW w:w="0" w:type="auto"/>
            <w:gridSpan w:val="3"/>
            <w:shd w:val="clear" w:color="auto" w:fill="FFFF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101.7 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rPr>
          <w:divId w:val="1972595060"/>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rPr>
          <w:divId w:val="1972595060"/>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rPr>
          <w:divId w:val="1972595060"/>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Income (loss) before taxes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rPr>
          <w:divId w:val="1972595060"/>
        </w:trPr>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Provision for (benefit from) income taxes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rPr>
          <w:divId w:val="1972595060"/>
        </w:trPr>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bl>
    <w:p w:rsidR="00000000" w:rsidRDefault="00BC22AF">
      <w:pPr>
        <w:divId w:val="904489172"/>
        <w:rPr>
          <w:rFonts w:eastAsia="Times New Roman"/>
        </w:rPr>
      </w:pPr>
    </w:p>
    <w:p w:rsidR="00000000" w:rsidRDefault="00BC22AF">
      <w:pPr>
        <w:jc w:val="center"/>
        <w:divId w:val="1156646691"/>
        <w:rPr>
          <w:rFonts w:eastAsia="Times New Roman"/>
        </w:rPr>
      </w:pPr>
      <w:r>
        <w:rPr>
          <w:rFonts w:eastAsia="Times New Roman"/>
          <w:color w:val="000000"/>
          <w:sz w:val="20"/>
          <w:szCs w:val="20"/>
        </w:rPr>
        <w:t>19</w:t>
      </w:r>
    </w:p>
    <w:p w:rsidR="00000000" w:rsidRDefault="00BC22AF">
      <w:pPr>
        <w:rPr>
          <w:rFonts w:eastAsia="Times New Roman"/>
        </w:rPr>
      </w:pPr>
      <w:r>
        <w:rPr>
          <w:rFonts w:eastAsia="Times New Roman"/>
        </w:rPr>
        <w:pict>
          <v:rect id="_x0000_i1044" style="width:0;height:1.5pt" o:hralign="center" o:hrstd="t" o:hr="t" fillcolor="#a0a0a0" stroked="f"/>
        </w:pict>
      </w:r>
    </w:p>
    <w:p w:rsidR="00000000" w:rsidRDefault="00BC22AF">
      <w:pPr>
        <w:divId w:val="1991783735"/>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both"/>
        <w:rPr>
          <w:rFonts w:eastAsia="Times New Roman"/>
        </w:rPr>
      </w:pPr>
      <w:r>
        <w:rPr>
          <w:rFonts w:eastAsia="Times New Roman"/>
          <w:b/>
          <w:bCs/>
          <w:color w:val="000000"/>
          <w:sz w:val="20"/>
          <w:szCs w:val="20"/>
        </w:rPr>
        <w:t xml:space="preserve">Second Quarter Ended June 28, 2022 Compared to Second Quarter Ended June 29, 2021 </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The table below presents our unaudited operating results for the second quarters of 2022 and 2</w:t>
      </w:r>
      <w:r>
        <w:rPr>
          <w:rFonts w:eastAsia="Times New Roman"/>
          <w:color w:val="000000"/>
          <w:sz w:val="20"/>
          <w:szCs w:val="20"/>
        </w:rPr>
        <w:t xml:space="preserve">021, and the related quarter-over-quarter changes. </w:t>
      </w:r>
    </w:p>
    <w:tbl>
      <w:tblPr>
        <w:tblW w:w="4992" w:type="pct"/>
        <w:tblCellMar>
          <w:top w:w="15" w:type="dxa"/>
          <w:left w:w="15" w:type="dxa"/>
          <w:bottom w:w="15" w:type="dxa"/>
          <w:right w:w="15" w:type="dxa"/>
        </w:tblCellMar>
        <w:tblLook w:val="04A0" w:firstRow="1" w:lastRow="0" w:firstColumn="1" w:lastColumn="0" w:noHBand="0" w:noVBand="1"/>
      </w:tblPr>
      <w:tblGrid>
        <w:gridCol w:w="41"/>
        <w:gridCol w:w="3609"/>
        <w:gridCol w:w="39"/>
        <w:gridCol w:w="36"/>
        <w:gridCol w:w="36"/>
        <w:gridCol w:w="36"/>
        <w:gridCol w:w="120"/>
        <w:gridCol w:w="802"/>
        <w:gridCol w:w="187"/>
        <w:gridCol w:w="36"/>
        <w:gridCol w:w="36"/>
        <w:gridCol w:w="36"/>
        <w:gridCol w:w="120"/>
        <w:gridCol w:w="804"/>
        <w:gridCol w:w="187"/>
        <w:gridCol w:w="36"/>
        <w:gridCol w:w="36"/>
        <w:gridCol w:w="36"/>
        <w:gridCol w:w="120"/>
        <w:gridCol w:w="804"/>
        <w:gridCol w:w="36"/>
        <w:gridCol w:w="36"/>
        <w:gridCol w:w="36"/>
        <w:gridCol w:w="36"/>
        <w:gridCol w:w="42"/>
        <w:gridCol w:w="763"/>
        <w:gridCol w:w="187"/>
      </w:tblGrid>
      <w:tr w:rsidR="00000000">
        <w:tc>
          <w:tcPr>
            <w:tcW w:w="50" w:type="pct"/>
            <w:vAlign w:val="center"/>
            <w:hideMark/>
          </w:tcPr>
          <w:p w:rsidR="00000000" w:rsidRDefault="00BC22AF">
            <w:pPr>
              <w:jc w:val="both"/>
              <w:rPr>
                <w:rFonts w:eastAsia="Times New Roman"/>
              </w:rPr>
            </w:pPr>
          </w:p>
        </w:tc>
        <w:tc>
          <w:tcPr>
            <w:tcW w:w="225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2"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Increase / (Decrease)</w:t>
            </w:r>
          </w:p>
        </w:tc>
      </w:tr>
      <w:tr w:rsidR="00000000">
        <w:trPr>
          <w:trHeight w:val="240"/>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vMerge w:val="restart"/>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w:t>
            </w:r>
          </w:p>
        </w:tc>
      </w:tr>
      <w:tr w:rsidR="00000000">
        <w:trPr>
          <w:trHeight w:val="240"/>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vMerge/>
            <w:tcBorders>
              <w:top w:val="single" w:sz="8" w:space="0" w:color="000000"/>
            </w:tcBorders>
            <w:vAlign w:val="center"/>
            <w:hideMark/>
          </w:tcPr>
          <w:p w:rsidR="00000000" w:rsidRDefault="00BC22A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BC22AF">
            <w:pPr>
              <w:spacing w:after="100"/>
              <w:rPr>
                <w:rFonts w:eastAsia="Times New Roman"/>
              </w:rPr>
            </w:pPr>
          </w:p>
        </w:tc>
        <w:tc>
          <w:tcPr>
            <w:tcW w:w="0" w:type="auto"/>
            <w:gridSpan w:val="3"/>
            <w:vMerge/>
            <w:vAlign w:val="center"/>
            <w:hideMark/>
          </w:tcPr>
          <w:p w:rsidR="00000000" w:rsidRDefault="00BC22AF">
            <w:pPr>
              <w:spacing w:after="100"/>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BC22A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BC22AF">
            <w:pPr>
              <w:spacing w:after="100"/>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(in thousands, unaudited)</w:t>
            </w:r>
          </w:p>
        </w:tc>
      </w:tr>
      <w:tr w:rsidR="00000000">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128,274 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123,715 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4,559 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2,793 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1,934 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859 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44.4 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131,067 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125,649 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5,418 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ind w:hanging="270"/>
              <w:divId w:val="1394698751"/>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ind w:hanging="27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35,664 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30,805 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4,859 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38,828 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36,926 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1,902 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11,074 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11,519 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(445)</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22,792 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21,082 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1,710 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12,744 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12,978 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(234)</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5,763 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5,576 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353 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116.6 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1,971 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390 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1,581 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129,189 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119,439 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9,750 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1,878 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(4,332)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vAlign w:val="center"/>
            <w:hideMark/>
          </w:tcPr>
          <w:p w:rsidR="00000000" w:rsidRDefault="00BC22AF">
            <w:pPr>
              <w:spacing w:after="100"/>
              <w:jc w:val="right"/>
              <w:rPr>
                <w:rFonts w:eastAsia="Times New Roman"/>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c>
          <w:tcPr>
            <w:tcW w:w="0" w:type="auto"/>
            <w:gridSpan w:val="3"/>
            <w:vAlign w:val="center"/>
            <w:hideMark/>
          </w:tcPr>
          <w:p w:rsidR="00000000" w:rsidRDefault="00BC22AF">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489 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498 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Income before income taxes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1,389 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5,712 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(4,323)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51.7 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Net income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1,345 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5,683 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(4,338)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Company-owned:</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Average unit volume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1,421 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1,350 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Comparable restaurant sales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55.7 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bl>
    <w:p w:rsidR="00000000" w:rsidRDefault="00BC22AF">
      <w:pPr>
        <w:divId w:val="803157781"/>
        <w:rPr>
          <w:rFonts w:eastAsia="Times New Roman"/>
        </w:rPr>
      </w:pPr>
      <w:r>
        <w:rPr>
          <w:rFonts w:eastAsia="Times New Roman"/>
          <w:color w:val="000000"/>
          <w:sz w:val="16"/>
          <w:szCs w:val="16"/>
        </w:rPr>
        <w:t>________________</w:t>
      </w:r>
    </w:p>
    <w:p w:rsidR="00000000" w:rsidRDefault="00BC22AF">
      <w:pPr>
        <w:ind w:hanging="1080"/>
        <w:divId w:val="1256667353"/>
        <w:rPr>
          <w:rFonts w:eastAsia="Times New Roman"/>
        </w:rPr>
      </w:pPr>
      <w:r>
        <w:rPr>
          <w:rFonts w:eastAsia="Times New Roman"/>
          <w:color w:val="000000"/>
          <w:sz w:val="16"/>
          <w:szCs w:val="16"/>
        </w:rPr>
        <w:t>*Not meaningful.</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Revenue</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Total revenue increased $5.4 million in the second quarter of 2022, or 4.3%, to $131.1 million, compared to $125.6 million in the second qu</w:t>
      </w:r>
      <w:r>
        <w:rPr>
          <w:rFonts w:eastAsia="Times New Roman"/>
          <w:color w:val="000000"/>
          <w:sz w:val="20"/>
          <w:szCs w:val="20"/>
          <w:shd w:val="clear" w:color="auto" w:fill="FFFFFF"/>
        </w:rPr>
        <w:t>arter of 2021.</w:t>
      </w:r>
      <w:r>
        <w:rPr>
          <w:rFonts w:eastAsia="Times New Roman"/>
          <w:color w:val="000000"/>
          <w:sz w:val="20"/>
          <w:szCs w:val="20"/>
        </w:rPr>
        <w:t xml:space="preserve"> This increase was primarily due to sales growth in the comparable restaurant base in addition to new r</w:t>
      </w:r>
      <w:r>
        <w:rPr>
          <w:rFonts w:eastAsia="Times New Roman"/>
          <w:color w:val="000000"/>
          <w:sz w:val="20"/>
          <w:szCs w:val="20"/>
        </w:rPr>
        <w:t>estaurant openings, partially offset by the refranchising of 15 company-owned restaurants in January of 2022, which equated to an approx</w:t>
      </w:r>
      <w:r>
        <w:rPr>
          <w:rFonts w:eastAsia="Times New Roman"/>
          <w:color w:val="000000"/>
          <w:sz w:val="20"/>
          <w:szCs w:val="20"/>
          <w:shd w:val="clear" w:color="auto" w:fill="FFFFFF"/>
        </w:rPr>
        <w:t>imate $4.1 million decli</w:t>
      </w:r>
      <w:r>
        <w:rPr>
          <w:rFonts w:eastAsia="Times New Roman"/>
          <w:color w:val="000000"/>
          <w:sz w:val="20"/>
          <w:szCs w:val="20"/>
        </w:rPr>
        <w:t>ne in sales in the second quarter of 2022. System-wide comparable restaurant sales increased</w:t>
      </w:r>
      <w:r>
        <w:rPr>
          <w:rFonts w:eastAsia="Times New Roman"/>
          <w:color w:val="000000"/>
          <w:sz w:val="20"/>
          <w:szCs w:val="20"/>
          <w:shd w:val="clear" w:color="auto" w:fill="FFFFFF"/>
        </w:rPr>
        <w:t xml:space="preserve"> 5.1</w:t>
      </w:r>
      <w:r>
        <w:rPr>
          <w:rFonts w:eastAsia="Times New Roman"/>
          <w:color w:val="000000"/>
          <w:sz w:val="20"/>
          <w:szCs w:val="20"/>
          <w:shd w:val="clear" w:color="auto" w:fill="FFFFFF"/>
        </w:rPr>
        <w:t>%</w:t>
      </w:r>
      <w:r>
        <w:rPr>
          <w:rFonts w:eastAsia="Times New Roman"/>
          <w:color w:val="000000"/>
          <w:sz w:val="20"/>
          <w:szCs w:val="20"/>
        </w:rPr>
        <w:t xml:space="preserve"> in the second quarter of 2022 compared to the same period of 2021, comprise</w:t>
      </w:r>
      <w:r>
        <w:rPr>
          <w:rFonts w:eastAsia="Times New Roman"/>
          <w:color w:val="000000"/>
          <w:sz w:val="20"/>
          <w:szCs w:val="20"/>
          <w:shd w:val="clear" w:color="auto" w:fill="FFFFFF"/>
        </w:rPr>
        <w:t>d of a 5.1% increase at company-owned restaurants and a 5.3% increase at franchise-owned restaurants. The comparable restaurant sales increase in the second quarter of 2022 reflec</w:t>
      </w:r>
      <w:r>
        <w:rPr>
          <w:rFonts w:eastAsia="Times New Roman"/>
          <w:color w:val="000000"/>
          <w:sz w:val="20"/>
          <w:szCs w:val="20"/>
          <w:shd w:val="clear" w:color="auto" w:fill="FFFFFF"/>
        </w:rPr>
        <w:t>ts momentum in our in-person channels, in addition to price increases in our core menu.</w:t>
      </w:r>
    </w:p>
    <w:p w:rsidR="00000000" w:rsidRDefault="00BC22AF">
      <w:pPr>
        <w:jc w:val="both"/>
        <w:rPr>
          <w:rFonts w:eastAsia="Times New Roman"/>
        </w:rPr>
      </w:pPr>
      <w:r>
        <w:rPr>
          <w:rFonts w:eastAsia="Times New Roman"/>
          <w:color w:val="000000"/>
          <w:sz w:val="20"/>
          <w:szCs w:val="20"/>
          <w:shd w:val="clear" w:color="auto" w:fill="FFFFFF"/>
        </w:rPr>
        <w:t>AUV increased year-over-year due to pricing increases for our core menu offering, in addition to strong off-premise sales, including digital, and growth in dine-in sale</w:t>
      </w:r>
      <w:r>
        <w:rPr>
          <w:rFonts w:eastAsia="Times New Roman"/>
          <w:color w:val="000000"/>
          <w:sz w:val="20"/>
          <w:szCs w:val="20"/>
          <w:shd w:val="clear" w:color="auto" w:fill="FFFFFF"/>
        </w:rPr>
        <w:t xml:space="preserve">s. </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Cost of Sales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Cost of sales increased by $4.9 million, or 15.8%, in the second quarter of 2022 compared to the same period of 2021,</w:t>
      </w:r>
      <w:r>
        <w:rPr>
          <w:rFonts w:eastAsia="Times New Roman"/>
          <w:color w:val="000000"/>
          <w:sz w:val="20"/>
          <w:szCs w:val="20"/>
          <w:shd w:val="clear" w:color="auto" w:fill="FFFFFF"/>
        </w:rPr>
        <w:t xml:space="preserve"> due to the increase in restaurant revenue as well as increased commodity costs. As a percentage of restaurant revenu</w:t>
      </w:r>
      <w:r>
        <w:rPr>
          <w:rFonts w:eastAsia="Times New Roman"/>
          <w:color w:val="000000"/>
          <w:sz w:val="20"/>
          <w:szCs w:val="20"/>
          <w:shd w:val="clear" w:color="auto" w:fill="FFFFFF"/>
        </w:rPr>
        <w:t>e, cost of sales increased to 27.8% in the second quarter of 2022 compared to 24.9% in second quarter of 2021 primarily due to overall higher food and ingredient commodity pricing, particularly with our protein costs, offset slightly by supply chain saving</w:t>
      </w:r>
      <w:r>
        <w:rPr>
          <w:rFonts w:eastAsia="Times New Roman"/>
          <w:color w:val="000000"/>
          <w:sz w:val="20"/>
          <w:szCs w:val="20"/>
          <w:shd w:val="clear" w:color="auto" w:fill="FFFFFF"/>
        </w:rPr>
        <w:t xml:space="preserve">s initiatives. </w:t>
      </w:r>
    </w:p>
    <w:p w:rsidR="00000000" w:rsidRDefault="00BC22AF">
      <w:pPr>
        <w:jc w:val="center"/>
        <w:divId w:val="66390014"/>
        <w:rPr>
          <w:rFonts w:eastAsia="Times New Roman"/>
        </w:rPr>
      </w:pPr>
      <w:r>
        <w:rPr>
          <w:rFonts w:eastAsia="Times New Roman"/>
          <w:color w:val="000000"/>
          <w:sz w:val="20"/>
          <w:szCs w:val="20"/>
        </w:rPr>
        <w:t>20</w:t>
      </w:r>
    </w:p>
    <w:p w:rsidR="00000000" w:rsidRDefault="00BC22AF">
      <w:pPr>
        <w:rPr>
          <w:rFonts w:eastAsia="Times New Roman"/>
        </w:rPr>
      </w:pPr>
      <w:r>
        <w:rPr>
          <w:rFonts w:eastAsia="Times New Roman"/>
        </w:rPr>
        <w:pict>
          <v:rect id="_x0000_i1045" style="width:0;height:1.5pt" o:hralign="center" o:hrstd="t" o:hr="t" fillcolor="#a0a0a0" stroked="f"/>
        </w:pict>
      </w:r>
    </w:p>
    <w:p w:rsidR="00000000" w:rsidRDefault="00BC22AF">
      <w:pPr>
        <w:divId w:val="1842313632"/>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Labor Costs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Labor costs increased by $1.9 million, or 5.2%, in the second quarter of 2022</w:t>
      </w:r>
      <w:r>
        <w:rPr>
          <w:rFonts w:eastAsia="Times New Roman"/>
          <w:color w:val="000000"/>
          <w:sz w:val="20"/>
          <w:szCs w:val="20"/>
          <w:shd w:val="clear" w:color="auto" w:fill="FFFFFF"/>
        </w:rPr>
        <w:t xml:space="preserve"> compared to the same period of 2021, due primarily to the increase in restaurant revenue as well as wage inflation. As a percentage of restaurant revenue, labor costs increased t</w:t>
      </w:r>
      <w:r>
        <w:rPr>
          <w:rFonts w:eastAsia="Times New Roman"/>
          <w:color w:val="000000"/>
          <w:sz w:val="20"/>
          <w:szCs w:val="20"/>
          <w:shd w:val="clear" w:color="auto" w:fill="FFFFFF"/>
        </w:rPr>
        <w:t>o 30.3% in the second quarter of 2022 from 29.8% in the second quarter of 2021 as a result of increases in base wage inflation, which was partially offset by labor efficiencies and lower incentive pay.</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Occupancy Costs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shd w:val="clear" w:color="auto" w:fill="FFFFFF"/>
        </w:rPr>
        <w:t xml:space="preserve">Occupancy costs decreased by $0.4 </w:t>
      </w:r>
      <w:r>
        <w:rPr>
          <w:rFonts w:eastAsia="Times New Roman"/>
          <w:color w:val="000000"/>
          <w:sz w:val="20"/>
          <w:szCs w:val="20"/>
          <w:shd w:val="clear" w:color="auto" w:fill="FFFFFF"/>
        </w:rPr>
        <w:t xml:space="preserve">million, or 3.9%, in the second quarter of 2022 compared to the second quarter of 2021, primarily due to restaurants closed since the beginning of the second quarter of 2021 as well as the impact of refranchising 15 company-owned restaurants in January of </w:t>
      </w:r>
      <w:r>
        <w:rPr>
          <w:rFonts w:eastAsia="Times New Roman"/>
          <w:color w:val="000000"/>
          <w:sz w:val="20"/>
          <w:szCs w:val="20"/>
          <w:shd w:val="clear" w:color="auto" w:fill="FFFFFF"/>
        </w:rPr>
        <w:t>2022. As a percentage of revenue, occupancy costs decreased to 8.6% in the second quarter of 2022, compared to 9.3% in the second quarter of 2021 as a result of sales leverage as well as the impact of the refranchising.</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Other Restaurant Operating Costs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Other restaura</w:t>
      </w:r>
      <w:r>
        <w:rPr>
          <w:rFonts w:eastAsia="Times New Roman"/>
          <w:color w:val="000000"/>
          <w:sz w:val="20"/>
          <w:szCs w:val="20"/>
          <w:shd w:val="clear" w:color="auto" w:fill="FFFFFF"/>
        </w:rPr>
        <w:t>nt operating costs increased by $1.7 million, or 8.1%, in the second quarter of 2022 compared to the second quarter of 2021, due to the increase in third-party delivery fees, as well as increases in utilities. As a percentage of restaurant r</w:t>
      </w:r>
      <w:r>
        <w:rPr>
          <w:rFonts w:eastAsia="Times New Roman"/>
          <w:color w:val="000000"/>
          <w:sz w:val="20"/>
          <w:szCs w:val="20"/>
          <w:shd w:val="clear" w:color="auto" w:fill="FFFFFF"/>
        </w:rPr>
        <w:t>evenue, other restaurant operating costs increased to 17.8% in the second quarter of 2022 compared to 17.0% in the second quarter of 2021. Third-party delivery fees were 5.4% and 5.3% of total revenue for the second quarters of 2022 and 2021, respectively.</w:t>
      </w:r>
      <w:r>
        <w:rPr>
          <w:rFonts w:eastAsia="Times New Roman"/>
          <w:color w:val="000000"/>
          <w:sz w:val="20"/>
          <w:szCs w:val="20"/>
          <w:shd w:val="clear" w:color="auto" w:fill="FFFFFF"/>
        </w:rPr>
        <w:t xml:space="preserve"> </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General and Administrative Expense</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General and administrative expense decreased by $0.2 million, or 1.8% in the second quarter of 2022 compared to the second quarter of 2021, du</w:t>
      </w:r>
      <w:r>
        <w:rPr>
          <w:rFonts w:eastAsia="Times New Roman"/>
          <w:color w:val="000000"/>
          <w:sz w:val="20"/>
          <w:szCs w:val="20"/>
          <w:shd w:val="clear" w:color="auto" w:fill="FFFFFF"/>
        </w:rPr>
        <w:t xml:space="preserve">e primarily to a reduction in bonus expense and employee related costs offset by increases in expenses related to </w:t>
      </w:r>
      <w:r>
        <w:rPr>
          <w:rFonts w:eastAsia="Times New Roman"/>
          <w:color w:val="000000"/>
          <w:sz w:val="20"/>
          <w:szCs w:val="20"/>
          <w:shd w:val="clear" w:color="auto" w:fill="FFFFFF"/>
        </w:rPr>
        <w:t>the Company’s return to normal business operations. As a percentage of revenue, general and administrative expense decreased to 9.7% in the second quarter of 2022 from 10.3% in the second quarter of 2021</w:t>
      </w:r>
      <w:r>
        <w:rPr>
          <w:rFonts w:eastAsia="Times New Roman"/>
          <w:color w:val="000000"/>
          <w:sz w:val="20"/>
          <w:szCs w:val="20"/>
        </w:rPr>
        <w:t>.</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Depreciation and Amortization</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shd w:val="clear" w:color="auto" w:fill="FFFFFF"/>
        </w:rPr>
        <w:t xml:space="preserve">Depreciation and </w:t>
      </w:r>
      <w:r>
        <w:rPr>
          <w:rFonts w:eastAsia="Times New Roman"/>
          <w:color w:val="000000"/>
          <w:sz w:val="20"/>
          <w:szCs w:val="20"/>
          <w:shd w:val="clear" w:color="auto" w:fill="FFFFFF"/>
        </w:rPr>
        <w:t>amortization increased by $0.2 million or 3.4% in the second quarter of 2022 compared to the second quarter of 2021, due primarily to new asset additions for restaurants opened partially offset by restaurant closures since the second quarter of 2021.</w:t>
      </w:r>
    </w:p>
    <w:p w:rsidR="00000000" w:rsidRDefault="00BC22AF">
      <w:pPr>
        <w:divId w:val="1123621260"/>
        <w:rPr>
          <w:rFonts w:eastAsia="Times New Roman"/>
        </w:rPr>
      </w:pPr>
    </w:p>
    <w:p w:rsidR="00000000" w:rsidRDefault="00BC22AF">
      <w:pPr>
        <w:jc w:val="both"/>
        <w:rPr>
          <w:rFonts w:eastAsia="Times New Roman"/>
        </w:rPr>
      </w:pPr>
      <w:r>
        <w:rPr>
          <w:rFonts w:eastAsia="Times New Roman"/>
          <w:b/>
          <w:bCs/>
          <w:i/>
          <w:iCs/>
          <w:color w:val="000000"/>
          <w:sz w:val="20"/>
          <w:szCs w:val="20"/>
        </w:rPr>
        <w:t>Res</w:t>
      </w:r>
      <w:r>
        <w:rPr>
          <w:rFonts w:eastAsia="Times New Roman"/>
          <w:b/>
          <w:bCs/>
          <w:i/>
          <w:iCs/>
          <w:color w:val="000000"/>
          <w:sz w:val="20"/>
          <w:szCs w:val="20"/>
        </w:rPr>
        <w:t>taurant Impairments, Closure Costs and Asset Disposals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shd w:val="clear" w:color="auto" w:fill="FFFFFF"/>
        </w:rPr>
        <w:t>Restaurant impairments, closure costs and asset disposals increased $1.6 million in the second quarter of 2022 compared to the second quarter of 2021 due to expenses related to the divestiture of com</w:t>
      </w:r>
      <w:r>
        <w:rPr>
          <w:rFonts w:eastAsia="Times New Roman"/>
          <w:color w:val="000000"/>
          <w:sz w:val="20"/>
          <w:szCs w:val="20"/>
          <w:shd w:val="clear" w:color="auto" w:fill="FFFFFF"/>
        </w:rPr>
        <w:t xml:space="preserve">pany-owned restaurants to franchisees and restaurant impairments. There were two restaurants impaired in the second quarter of 2022 and no restaurants impaired in the second quarter of 2021. Both periods include disposals of assets in the normal course of </w:t>
      </w:r>
      <w:r>
        <w:rPr>
          <w:rFonts w:eastAsia="Times New Roman"/>
          <w:color w:val="000000"/>
          <w:sz w:val="20"/>
          <w:szCs w:val="20"/>
          <w:shd w:val="clear" w:color="auto" w:fill="FFFFFF"/>
        </w:rPr>
        <w:t xml:space="preserve">business. </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Interest Expense</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 xml:space="preserve">Interest expense remained relatively flat in the second quarter of 2022 compared to the second quarter of 2021, as higher interest rates in the </w:t>
      </w:r>
      <w:r>
        <w:rPr>
          <w:rFonts w:eastAsia="Times New Roman"/>
          <w:color w:val="000000"/>
          <w:sz w:val="20"/>
          <w:szCs w:val="20"/>
          <w:shd w:val="clear" w:color="auto" w:fill="FFFFFF"/>
        </w:rPr>
        <w:t>second quarter of 2022</w:t>
      </w:r>
      <w:r>
        <w:rPr>
          <w:rFonts w:eastAsia="Times New Roman"/>
          <w:color w:val="000000"/>
          <w:sz w:val="20"/>
          <w:szCs w:val="20"/>
        </w:rPr>
        <w:t xml:space="preserve"> were offset by lower borrowings as compared to the</w:t>
      </w:r>
      <w:r>
        <w:rPr>
          <w:rFonts w:eastAsia="Times New Roman"/>
          <w:color w:val="000000"/>
          <w:sz w:val="20"/>
          <w:szCs w:val="20"/>
          <w:shd w:val="clear" w:color="auto" w:fill="FFFFFF"/>
        </w:rPr>
        <w:t xml:space="preserve"> second</w:t>
      </w:r>
      <w:r>
        <w:rPr>
          <w:rFonts w:eastAsia="Times New Roman"/>
          <w:color w:val="000000"/>
          <w:sz w:val="20"/>
          <w:szCs w:val="20"/>
          <w:shd w:val="clear" w:color="auto" w:fill="FFFFFF"/>
        </w:rPr>
        <w:t xml:space="preserve"> quarter of 2021</w:t>
      </w:r>
      <w:r>
        <w:rPr>
          <w:rFonts w:eastAsia="Times New Roman"/>
          <w:color w:val="000000"/>
          <w:sz w:val="20"/>
          <w:szCs w:val="20"/>
        </w:rPr>
        <w:t xml:space="preserve">. </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Provision for Income Taxes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The effective tax rate for the second quarter of 2022 and for the second quarter of 2021 reflect the impact of the previously recorded valuation all</w:t>
      </w:r>
      <w:r>
        <w:rPr>
          <w:rFonts w:eastAsia="Times New Roman"/>
          <w:color w:val="000000"/>
          <w:sz w:val="20"/>
          <w:szCs w:val="20"/>
          <w:shd w:val="clear" w:color="auto" w:fill="FFFFFF"/>
        </w:rPr>
        <w:t>owance. For the remainder of fiscal 2022, we do not antici</w:t>
      </w:r>
      <w:r>
        <w:rPr>
          <w:rFonts w:eastAsia="Times New Roman"/>
          <w:color w:val="000000"/>
          <w:sz w:val="20"/>
          <w:szCs w:val="20"/>
          <w:shd w:val="clear" w:color="auto" w:fill="FFFFFF"/>
        </w:rPr>
        <w:t>pate material income tax expense or benefit as a result of the valuation allowance recorded. We will maintain a valuation allowance against deferred tax assets until there is sufficient evidence to support a full or partial reversal. The reversal of a prev</w:t>
      </w:r>
      <w:r>
        <w:rPr>
          <w:rFonts w:eastAsia="Times New Roman"/>
          <w:color w:val="000000"/>
          <w:sz w:val="20"/>
          <w:szCs w:val="20"/>
          <w:shd w:val="clear" w:color="auto" w:fill="FFFFFF"/>
        </w:rPr>
        <w:t>iously recorded valuation allowance will generally result in a benefit from income tax.</w:t>
      </w:r>
    </w:p>
    <w:p w:rsidR="00000000" w:rsidRDefault="00BC22AF">
      <w:pPr>
        <w:jc w:val="both"/>
        <w:rPr>
          <w:rFonts w:eastAsia="Times New Roman"/>
        </w:rPr>
      </w:pPr>
    </w:p>
    <w:p w:rsidR="00000000" w:rsidRDefault="00BC22AF">
      <w:pPr>
        <w:jc w:val="center"/>
        <w:divId w:val="613438514"/>
        <w:rPr>
          <w:rFonts w:eastAsia="Times New Roman"/>
        </w:rPr>
      </w:pPr>
      <w:r>
        <w:rPr>
          <w:rFonts w:eastAsia="Times New Roman"/>
          <w:color w:val="000000"/>
          <w:sz w:val="20"/>
          <w:szCs w:val="20"/>
        </w:rPr>
        <w:t>21</w:t>
      </w:r>
    </w:p>
    <w:p w:rsidR="00000000" w:rsidRDefault="00BC22AF">
      <w:pPr>
        <w:rPr>
          <w:rFonts w:eastAsia="Times New Roman"/>
        </w:rPr>
      </w:pPr>
      <w:r>
        <w:rPr>
          <w:rFonts w:eastAsia="Times New Roman"/>
        </w:rPr>
        <w:pict>
          <v:rect id="_x0000_i1046" style="width:0;height:1.5pt" o:hralign="center" o:hrstd="t" o:hr="t" fillcolor="#a0a0a0" stroked="f"/>
        </w:pict>
      </w:r>
    </w:p>
    <w:p w:rsidR="00000000" w:rsidRDefault="00BC22AF">
      <w:pPr>
        <w:divId w:val="1415737609"/>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divId w:val="588151732"/>
        <w:rPr>
          <w:rFonts w:eastAsia="Times New Roman"/>
        </w:rPr>
      </w:pPr>
      <w:r>
        <w:rPr>
          <w:rFonts w:eastAsia="Times New Roman"/>
          <w:b/>
          <w:bCs/>
          <w:color w:val="000000"/>
          <w:sz w:val="20"/>
          <w:szCs w:val="20"/>
          <w:shd w:val="clear" w:color="auto" w:fill="FFFFFF"/>
        </w:rPr>
        <w:t xml:space="preserve">Two Quarters Ended June 28, 2022 Compared to Two </w:t>
      </w:r>
      <w:r>
        <w:rPr>
          <w:rFonts w:eastAsia="Times New Roman"/>
          <w:b/>
          <w:bCs/>
          <w:color w:val="000000"/>
          <w:sz w:val="20"/>
          <w:szCs w:val="20"/>
          <w:shd w:val="clear" w:color="auto" w:fill="FFFFFF"/>
        </w:rPr>
        <w:t xml:space="preserve">Quarters Ended June 29, 2021 </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 xml:space="preserve">The table below presents our unaudited operating results for the first two quarters of 2022 and 2021, and the related period-over-period changes. </w:t>
      </w:r>
    </w:p>
    <w:tbl>
      <w:tblPr>
        <w:tblW w:w="4992" w:type="pct"/>
        <w:tblCellMar>
          <w:top w:w="15" w:type="dxa"/>
          <w:left w:w="15" w:type="dxa"/>
          <w:bottom w:w="15" w:type="dxa"/>
          <w:right w:w="15" w:type="dxa"/>
        </w:tblCellMar>
        <w:tblLook w:val="04A0" w:firstRow="1" w:lastRow="0" w:firstColumn="1" w:lastColumn="0" w:noHBand="0" w:noVBand="1"/>
      </w:tblPr>
      <w:tblGrid>
        <w:gridCol w:w="41"/>
        <w:gridCol w:w="3609"/>
        <w:gridCol w:w="39"/>
        <w:gridCol w:w="36"/>
        <w:gridCol w:w="36"/>
        <w:gridCol w:w="36"/>
        <w:gridCol w:w="120"/>
        <w:gridCol w:w="802"/>
        <w:gridCol w:w="187"/>
        <w:gridCol w:w="36"/>
        <w:gridCol w:w="36"/>
        <w:gridCol w:w="36"/>
        <w:gridCol w:w="120"/>
        <w:gridCol w:w="804"/>
        <w:gridCol w:w="187"/>
        <w:gridCol w:w="36"/>
        <w:gridCol w:w="36"/>
        <w:gridCol w:w="36"/>
        <w:gridCol w:w="120"/>
        <w:gridCol w:w="804"/>
        <w:gridCol w:w="36"/>
        <w:gridCol w:w="36"/>
        <w:gridCol w:w="36"/>
        <w:gridCol w:w="36"/>
        <w:gridCol w:w="42"/>
        <w:gridCol w:w="763"/>
        <w:gridCol w:w="187"/>
      </w:tblGrid>
      <w:tr w:rsidR="00000000">
        <w:tc>
          <w:tcPr>
            <w:tcW w:w="50" w:type="pct"/>
            <w:vAlign w:val="center"/>
            <w:hideMark/>
          </w:tcPr>
          <w:p w:rsidR="00000000" w:rsidRDefault="00BC22AF">
            <w:pPr>
              <w:jc w:val="both"/>
              <w:rPr>
                <w:rFonts w:eastAsia="Times New Roman"/>
              </w:rPr>
            </w:pPr>
          </w:p>
        </w:tc>
        <w:tc>
          <w:tcPr>
            <w:tcW w:w="225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1"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582"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Two Fiscal Quarters Ended</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Increase / (Decrease)</w:t>
            </w:r>
          </w:p>
        </w:tc>
      </w:tr>
      <w:tr w:rsidR="00000000">
        <w:trPr>
          <w:trHeight w:val="160"/>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c>
          <w:tcPr>
            <w:tcW w:w="0" w:type="auto"/>
            <w:gridSpan w:val="3"/>
            <w:vMerge w:val="restart"/>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w:t>
            </w:r>
          </w:p>
        </w:tc>
      </w:tr>
      <w:tr w:rsidR="00000000">
        <w:trPr>
          <w:trHeight w:val="240"/>
        </w:trPr>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vMerge/>
            <w:tcBorders>
              <w:top w:val="single" w:sz="8" w:space="0" w:color="000000"/>
            </w:tcBorders>
            <w:vAlign w:val="center"/>
            <w:hideMark/>
          </w:tcPr>
          <w:p w:rsidR="00000000" w:rsidRDefault="00BC22A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BC22AF">
            <w:pPr>
              <w:spacing w:after="100"/>
              <w:rPr>
                <w:rFonts w:eastAsia="Times New Roman"/>
              </w:rPr>
            </w:pPr>
          </w:p>
        </w:tc>
        <w:tc>
          <w:tcPr>
            <w:tcW w:w="0" w:type="auto"/>
            <w:gridSpan w:val="3"/>
            <w:vMerge/>
            <w:vAlign w:val="center"/>
            <w:hideMark/>
          </w:tcPr>
          <w:p w:rsidR="00000000" w:rsidRDefault="00BC22AF">
            <w:pPr>
              <w:spacing w:after="100"/>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BC22A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BC22AF">
            <w:pPr>
              <w:spacing w:after="100"/>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(in thousands, except percentages)</w:t>
            </w:r>
          </w:p>
        </w:tc>
      </w:tr>
      <w:tr w:rsidR="00000000">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238,235 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231,459 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6,776 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5,394 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3,767 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1,627 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43.2 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243,629 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235,226 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8,403 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ind w:hanging="270"/>
              <w:divId w:val="1478498223"/>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ind w:hanging="27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66,435 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57,782 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8,653 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15.0 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74,321 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71,232 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3,089 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22,223 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23,168 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(945)</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(4.1)</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44,658 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41,287 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3,371 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 xml:space="preserve">General and administrative </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24,584 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23,907 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677 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11,484 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11,163 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321 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761 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221 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540 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3,360 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1,621 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1,739 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107.3 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247,826 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230,381 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17,445 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(Loss) 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(4,197)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(9,042)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926 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1,120 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(194)</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(17.3)</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(Loss) income before taxes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(5,123)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3,725 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(8,848)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(Benefit from) 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(58)</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(5,084)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3,706 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(8,790)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Company-owned:</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Average unit volumes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1,337 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1,260 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Comparable restaurant sales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29.8 </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sz w:val="20"/>
                <w:szCs w:val="20"/>
              </w:rPr>
            </w:pPr>
          </w:p>
        </w:tc>
      </w:tr>
    </w:tbl>
    <w:p w:rsidR="00000000" w:rsidRDefault="00BC22AF">
      <w:pPr>
        <w:divId w:val="1410038542"/>
        <w:rPr>
          <w:rFonts w:eastAsia="Times New Roman"/>
        </w:rPr>
      </w:pPr>
      <w:r>
        <w:rPr>
          <w:rFonts w:eastAsia="Times New Roman"/>
          <w:color w:val="000000"/>
          <w:sz w:val="16"/>
          <w:szCs w:val="16"/>
        </w:rPr>
        <w:t>________________</w:t>
      </w:r>
    </w:p>
    <w:p w:rsidR="00000000" w:rsidRDefault="00BC22AF">
      <w:pPr>
        <w:ind w:hanging="1080"/>
        <w:divId w:val="158402"/>
        <w:rPr>
          <w:rFonts w:eastAsia="Times New Roman"/>
        </w:rPr>
      </w:pPr>
      <w:r>
        <w:rPr>
          <w:rFonts w:eastAsia="Times New Roman"/>
          <w:color w:val="000000"/>
          <w:sz w:val="16"/>
          <w:szCs w:val="16"/>
        </w:rPr>
        <w:t>*Not meaningful.</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Revenue</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Total revenue increased by $8.4 million, or 3.6%, in the first two quarters of 2022, to $243.6 million compared to $235.2 million in the same p</w:t>
      </w:r>
      <w:r>
        <w:rPr>
          <w:rFonts w:eastAsia="Times New Roman"/>
          <w:color w:val="000000"/>
          <w:sz w:val="20"/>
          <w:szCs w:val="20"/>
          <w:shd w:val="clear" w:color="auto" w:fill="FFFFFF"/>
        </w:rPr>
        <w:t xml:space="preserve">eriod of 2021. This increase was primarily due to the increase in comparable restaurant sales and new restaurant </w:t>
      </w:r>
      <w:r>
        <w:rPr>
          <w:rFonts w:eastAsia="Times New Roman"/>
          <w:color w:val="000000"/>
          <w:sz w:val="20"/>
          <w:szCs w:val="20"/>
          <w:shd w:val="clear" w:color="auto" w:fill="FFFFFF"/>
        </w:rPr>
        <w:t>openings, partially offset by temporary restaurant closures mainly during the first quarter of 2022 and the impact of refranchising 15 company-owned restaurants of approximately $7.1 million.</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Comparable restauran</w:t>
      </w:r>
      <w:r>
        <w:rPr>
          <w:rFonts w:eastAsia="Times New Roman"/>
          <w:color w:val="000000"/>
          <w:sz w:val="20"/>
          <w:szCs w:val="20"/>
          <w:shd w:val="clear" w:color="auto" w:fill="FFFFFF"/>
        </w:rPr>
        <w:t xml:space="preserve">t sales increased 5.2% at company-owned restaurants, increased 8.3% at franchise-owned restaurants and increased 5.7% system-wide in </w:t>
      </w:r>
      <w:r>
        <w:rPr>
          <w:rFonts w:eastAsia="Times New Roman"/>
          <w:color w:val="000000"/>
          <w:sz w:val="20"/>
          <w:szCs w:val="20"/>
        </w:rPr>
        <w:t xml:space="preserve">the first two quarters of 2022. The comparable restaurant sales improvement in the first two </w:t>
      </w:r>
      <w:r>
        <w:rPr>
          <w:rFonts w:eastAsia="Times New Roman"/>
          <w:color w:val="000000"/>
          <w:sz w:val="20"/>
          <w:szCs w:val="20"/>
          <w:shd w:val="clear" w:color="auto" w:fill="FFFFFF"/>
        </w:rPr>
        <w:t>quarters of 2022 was primarily</w:t>
      </w:r>
      <w:r>
        <w:rPr>
          <w:rFonts w:eastAsia="Times New Roman"/>
          <w:color w:val="000000"/>
          <w:sz w:val="20"/>
          <w:szCs w:val="20"/>
        </w:rPr>
        <w:t xml:space="preserve"> driven by </w:t>
      </w:r>
      <w:r>
        <w:rPr>
          <w:rFonts w:eastAsia="Times New Roman"/>
          <w:color w:val="000000"/>
          <w:sz w:val="20"/>
          <w:szCs w:val="20"/>
          <w:shd w:val="clear" w:color="auto" w:fill="FFFFFF"/>
        </w:rPr>
        <w:t>continued momentum in both digital and in-person channels, as well as several price increases implemented on our core menu.</w:t>
      </w:r>
    </w:p>
    <w:p w:rsidR="00000000" w:rsidRDefault="00BC22AF">
      <w:pPr>
        <w:jc w:val="both"/>
        <w:rPr>
          <w:rFonts w:eastAsia="Times New Roman"/>
        </w:rPr>
      </w:pPr>
      <w:r>
        <w:rPr>
          <w:rFonts w:eastAsia="Times New Roman"/>
          <w:color w:val="000000"/>
          <w:sz w:val="20"/>
          <w:szCs w:val="20"/>
          <w:shd w:val="clear" w:color="auto" w:fill="FFFFFF"/>
        </w:rPr>
        <w:t xml:space="preserve">AUV, which normalizes for the impact of temporary restaurant closures, increased year-over-year due to pricing increases </w:t>
      </w:r>
      <w:r>
        <w:rPr>
          <w:rFonts w:eastAsia="Times New Roman"/>
          <w:color w:val="000000"/>
          <w:sz w:val="20"/>
          <w:szCs w:val="20"/>
          <w:shd w:val="clear" w:color="auto" w:fill="FFFFFF"/>
        </w:rPr>
        <w:t xml:space="preserve">for our core menu offerings, in addition to strong off-premise sales, including digital, and growth in dine-in sales. </w:t>
      </w:r>
    </w:p>
    <w:p w:rsidR="00000000" w:rsidRDefault="00BC22AF">
      <w:pPr>
        <w:jc w:val="center"/>
        <w:divId w:val="892421146"/>
        <w:rPr>
          <w:rFonts w:eastAsia="Times New Roman"/>
        </w:rPr>
      </w:pPr>
      <w:r>
        <w:rPr>
          <w:rFonts w:eastAsia="Times New Roman"/>
          <w:color w:val="000000"/>
          <w:sz w:val="20"/>
          <w:szCs w:val="20"/>
        </w:rPr>
        <w:t>22</w:t>
      </w:r>
    </w:p>
    <w:p w:rsidR="00000000" w:rsidRDefault="00BC22AF">
      <w:pPr>
        <w:rPr>
          <w:rFonts w:eastAsia="Times New Roman"/>
        </w:rPr>
      </w:pPr>
      <w:r>
        <w:rPr>
          <w:rFonts w:eastAsia="Times New Roman"/>
        </w:rPr>
        <w:pict>
          <v:rect id="_x0000_i1047" style="width:0;height:1.5pt" o:hralign="center" o:hrstd="t" o:hr="t" fillcolor="#a0a0a0" stroked="f"/>
        </w:pict>
      </w:r>
    </w:p>
    <w:p w:rsidR="00000000" w:rsidRDefault="00BC22AF">
      <w:pPr>
        <w:divId w:val="223296823"/>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Cost of Sales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shd w:val="clear" w:color="auto" w:fill="FFFFFF"/>
        </w:rPr>
        <w:t>Cos</w:t>
      </w:r>
      <w:r>
        <w:rPr>
          <w:rFonts w:eastAsia="Times New Roman"/>
          <w:color w:val="000000"/>
          <w:sz w:val="20"/>
          <w:szCs w:val="20"/>
          <w:shd w:val="clear" w:color="auto" w:fill="FFFFFF"/>
        </w:rPr>
        <w:t>t of sales increased by $8.7 million, or 15.0%, in the first two quarters of 2022 compared to the same period of 2021, due primarily to the increase in restaurant sales and commodity inflation. As a perce</w:t>
      </w:r>
      <w:r>
        <w:rPr>
          <w:rFonts w:eastAsia="Times New Roman"/>
          <w:color w:val="000000"/>
          <w:sz w:val="20"/>
          <w:szCs w:val="20"/>
        </w:rPr>
        <w:t xml:space="preserve">ntage of restaurant revenue, </w:t>
      </w:r>
      <w:r>
        <w:rPr>
          <w:rFonts w:eastAsia="Times New Roman"/>
          <w:color w:val="000000"/>
          <w:sz w:val="20"/>
          <w:szCs w:val="20"/>
          <w:shd w:val="clear" w:color="auto" w:fill="FFFFFF"/>
        </w:rPr>
        <w:t>cost of sales increased</w:t>
      </w:r>
      <w:r>
        <w:rPr>
          <w:rFonts w:eastAsia="Times New Roman"/>
          <w:color w:val="000000"/>
          <w:sz w:val="20"/>
          <w:szCs w:val="20"/>
          <w:shd w:val="clear" w:color="auto" w:fill="FFFFFF"/>
        </w:rPr>
        <w:t xml:space="preserve"> to 27.9% in the first two quarters of 2022 compared to 25.0% in the first two quarters of 2021, primarily due to increases in certain commodity costs, particularly with our protein costs, and higher discounts partially offset by supply chain savings initi</w:t>
      </w:r>
      <w:r>
        <w:rPr>
          <w:rFonts w:eastAsia="Times New Roman"/>
          <w:color w:val="000000"/>
          <w:sz w:val="20"/>
          <w:szCs w:val="20"/>
          <w:shd w:val="clear" w:color="auto" w:fill="FFFFFF"/>
        </w:rPr>
        <w:t xml:space="preserve">atives. </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Labor Costs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shd w:val="clear" w:color="auto" w:fill="FFFFFF"/>
        </w:rPr>
        <w:t>Labor costs increased by $3.1 million, or 4.3%, in the first two quarters of 2022 compared to the same period of 2021, due primarily to the increase in restaurant sales in addition to wage inflation. As a percentage of restaurant r</w:t>
      </w:r>
      <w:r>
        <w:rPr>
          <w:rFonts w:eastAsia="Times New Roman"/>
          <w:color w:val="000000"/>
          <w:sz w:val="20"/>
          <w:szCs w:val="20"/>
          <w:shd w:val="clear" w:color="auto" w:fill="FFFFFF"/>
        </w:rPr>
        <w:t>evenue, labor costs increased to 31.2% in the first two quarters of 2022 compared to 30.8% in the first two quarters of 2021. The increase as a percentage of restaurant revenue was primarily due to accelerating wage inflation and inefficiencies in labor du</w:t>
      </w:r>
      <w:r>
        <w:rPr>
          <w:rFonts w:eastAsia="Times New Roman"/>
          <w:color w:val="000000"/>
          <w:sz w:val="20"/>
          <w:szCs w:val="20"/>
          <w:shd w:val="clear" w:color="auto" w:fill="FFFFFF"/>
        </w:rPr>
        <w:t>e to reduced operating hours mainly in the first quarter partially offset by labor initiatives and lower incentive pay.</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Occupancy Costs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 xml:space="preserve">Occupancy costs decreased </w:t>
      </w:r>
      <w:r>
        <w:rPr>
          <w:rFonts w:eastAsia="Times New Roman"/>
          <w:color w:val="000000"/>
          <w:sz w:val="20"/>
          <w:szCs w:val="20"/>
          <w:shd w:val="clear" w:color="auto" w:fill="FFFFFF"/>
        </w:rPr>
        <w:t>by $0.9 million, or 4.1%, in the first two quarters of 2022 compared to the first two quar</w:t>
      </w:r>
      <w:r>
        <w:rPr>
          <w:rFonts w:eastAsia="Times New Roman"/>
          <w:color w:val="000000"/>
          <w:sz w:val="20"/>
          <w:szCs w:val="20"/>
          <w:shd w:val="clear" w:color="auto" w:fill="FFFFFF"/>
        </w:rPr>
        <w:t>ters of 2021, due primarily to restaurants closed or impaired since the beginning of the second quarter of 2021. As a percentage of revenue, occupancy costs decreased to 9.3% in first two quarters of 2022, compared to 10.0% in the first two quarters of 202</w:t>
      </w:r>
      <w:r>
        <w:rPr>
          <w:rFonts w:eastAsia="Times New Roman"/>
          <w:color w:val="000000"/>
          <w:sz w:val="20"/>
          <w:szCs w:val="20"/>
          <w:shd w:val="clear" w:color="auto" w:fill="FFFFFF"/>
        </w:rPr>
        <w:t>1, primarily due to sales leverage.</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Other Restaurant Operating Costs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Other restaurant operating costs increased by $3.4 million, or 8.2%, in the first two quarters of 2022 compared to the first two quarters of 2021.</w:t>
      </w:r>
      <w:r>
        <w:rPr>
          <w:rFonts w:eastAsia="Times New Roman"/>
          <w:color w:val="000000"/>
          <w:sz w:val="20"/>
          <w:szCs w:val="20"/>
          <w:shd w:val="clear" w:color="auto" w:fill="FFFFFF"/>
        </w:rPr>
        <w:t xml:space="preserve"> As a p</w:t>
      </w:r>
      <w:r>
        <w:rPr>
          <w:rFonts w:eastAsia="Times New Roman"/>
          <w:color w:val="000000"/>
          <w:sz w:val="20"/>
          <w:szCs w:val="20"/>
        </w:rPr>
        <w:t>ercentage of restaurant revenu</w:t>
      </w:r>
      <w:r>
        <w:rPr>
          <w:rFonts w:eastAsia="Times New Roman"/>
          <w:color w:val="000000"/>
          <w:sz w:val="20"/>
          <w:szCs w:val="20"/>
        </w:rPr>
        <w:t>e, other restaurant operating cos</w:t>
      </w:r>
      <w:r>
        <w:rPr>
          <w:rFonts w:eastAsia="Times New Roman"/>
          <w:color w:val="000000"/>
          <w:sz w:val="20"/>
          <w:szCs w:val="20"/>
          <w:shd w:val="clear" w:color="auto" w:fill="FFFFFF"/>
        </w:rPr>
        <w:t>ts increased t</w:t>
      </w:r>
      <w:r>
        <w:rPr>
          <w:rFonts w:eastAsia="Times New Roman"/>
          <w:color w:val="000000"/>
          <w:sz w:val="20"/>
          <w:szCs w:val="20"/>
        </w:rPr>
        <w:t>o 18.7% in the first two quarters of 2022, compared to 17.8% in t</w:t>
      </w:r>
      <w:r>
        <w:rPr>
          <w:rFonts w:eastAsia="Times New Roman"/>
          <w:color w:val="000000"/>
          <w:sz w:val="20"/>
          <w:szCs w:val="20"/>
          <w:shd w:val="clear" w:color="auto" w:fill="FFFFFF"/>
        </w:rPr>
        <w:t>he first two quarters of 2021, due primarily to higher revenue partially offset by third-party delivery fees and increases in repairs and mainte</w:t>
      </w:r>
      <w:r>
        <w:rPr>
          <w:rFonts w:eastAsia="Times New Roman"/>
          <w:color w:val="000000"/>
          <w:sz w:val="20"/>
          <w:szCs w:val="20"/>
          <w:shd w:val="clear" w:color="auto" w:fill="FFFFFF"/>
        </w:rPr>
        <w:t xml:space="preserve">nance and utilities as dining rooms returned to full capacity. Third-party delivery fees were 5.8% and 5.5% of total revenue for the first two quarters of 2022 and 2021, respectively. </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General and Administrative Expense</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General and administrative expense increased by $0.7 million, or 2.8%, in the first two quarters of 2022 compared to the first two quarters of 2021</w:t>
      </w:r>
      <w:r>
        <w:rPr>
          <w:rFonts w:eastAsia="Times New Roman"/>
          <w:color w:val="000000"/>
          <w:sz w:val="20"/>
          <w:szCs w:val="20"/>
          <w:shd w:val="clear" w:color="auto" w:fill="FFFFFF"/>
        </w:rPr>
        <w:t>, primarily due to increases in software maintenance, recruiting costs and travel related expenses, partially</w:t>
      </w:r>
      <w:r>
        <w:rPr>
          <w:rFonts w:eastAsia="Times New Roman"/>
          <w:color w:val="000000"/>
          <w:sz w:val="20"/>
          <w:szCs w:val="20"/>
          <w:shd w:val="clear" w:color="auto" w:fill="FFFFFF"/>
        </w:rPr>
        <w:t xml:space="preserve"> offset by a reduction in bonus expense and employee related costs. As a percentage of revenue, general and administrative expense remained relatively flat in</w:t>
      </w:r>
      <w:r>
        <w:rPr>
          <w:rFonts w:eastAsia="Times New Roman"/>
          <w:color w:val="000000"/>
          <w:sz w:val="20"/>
          <w:szCs w:val="20"/>
        </w:rPr>
        <w:t xml:space="preserve"> the first two quarters of 2022 compared to the first two quarters of 2021.</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Depreciation and Amo</w:t>
      </w:r>
      <w:r>
        <w:rPr>
          <w:rFonts w:eastAsia="Times New Roman"/>
          <w:b/>
          <w:bCs/>
          <w:i/>
          <w:iCs/>
          <w:color w:val="000000"/>
          <w:sz w:val="20"/>
          <w:szCs w:val="20"/>
        </w:rPr>
        <w:t>rtization</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Depreciation and amortization increased by $0.3 million, or 2.9%, in the first two quarters of 2022 compared to the first two quarters of 2021</w:t>
      </w:r>
      <w:r>
        <w:rPr>
          <w:rFonts w:eastAsia="Times New Roman"/>
          <w:color w:val="000000"/>
          <w:sz w:val="20"/>
          <w:szCs w:val="20"/>
          <w:shd w:val="clear" w:color="auto" w:fill="FFFFFF"/>
        </w:rPr>
        <w:t>, primarily due to new asset additions. As a percentage of revenue, depreciation and amortization rema</w:t>
      </w:r>
      <w:r>
        <w:rPr>
          <w:rFonts w:eastAsia="Times New Roman"/>
          <w:color w:val="000000"/>
          <w:sz w:val="20"/>
          <w:szCs w:val="20"/>
          <w:shd w:val="clear" w:color="auto" w:fill="FFFFFF"/>
        </w:rPr>
        <w:t>ined relatively flat in the first two quarters of 2022 compared to the first two quarters of 2021.</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Restaurant Impairments, Closure Costs and Asset Disposals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Restaurant impairments, closure costs and asset disposals increased by $1.7 million in the firs</w:t>
      </w:r>
      <w:r>
        <w:rPr>
          <w:rFonts w:eastAsia="Times New Roman"/>
          <w:color w:val="000000"/>
          <w:sz w:val="20"/>
          <w:szCs w:val="20"/>
        </w:rPr>
        <w:t>t two quarters of 2022 compared to the first two quarters of 2021</w:t>
      </w:r>
      <w:r>
        <w:rPr>
          <w:rFonts w:eastAsia="Times New Roman"/>
          <w:color w:val="000000"/>
          <w:sz w:val="20"/>
          <w:szCs w:val="20"/>
          <w:shd w:val="clear" w:color="auto" w:fill="FFFFFF"/>
        </w:rPr>
        <w:t xml:space="preserve">. The increase was largely due to more impairment and closure costs during the first two quarters of 2022 as compared to the same period in 2021. There were two restaurant impairments in the </w:t>
      </w:r>
      <w:r>
        <w:rPr>
          <w:rFonts w:eastAsia="Times New Roman"/>
          <w:color w:val="000000"/>
          <w:sz w:val="20"/>
          <w:szCs w:val="20"/>
          <w:shd w:val="clear" w:color="auto" w:fill="FFFFFF"/>
        </w:rPr>
        <w:t>first two quarters of 2022 compared to one restaurant impairment in the first two quarters of 2021. During the first two quarters of 2022, we also incurred losses from the disposal of assets related to the divestiture of company-owned restaurants to a fran</w:t>
      </w:r>
      <w:r>
        <w:rPr>
          <w:rFonts w:eastAsia="Times New Roman"/>
          <w:color w:val="000000"/>
          <w:sz w:val="20"/>
          <w:szCs w:val="20"/>
          <w:shd w:val="clear" w:color="auto" w:fill="FFFFFF"/>
        </w:rPr>
        <w:t>chisee.</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Interest Expense</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Interest expense decreased by $0.2 million in the first two quarters of 2022 compare</w:t>
      </w:r>
      <w:r>
        <w:rPr>
          <w:rFonts w:eastAsia="Times New Roman"/>
          <w:color w:val="000000"/>
          <w:sz w:val="20"/>
          <w:szCs w:val="20"/>
          <w:shd w:val="clear" w:color="auto" w:fill="FFFFFF"/>
        </w:rPr>
        <w:t>d to the same period of 2021. The decrease was mainly due to lower average borrowings in the first two quarters of 2022 compare</w:t>
      </w:r>
      <w:r>
        <w:rPr>
          <w:rFonts w:eastAsia="Times New Roman"/>
          <w:color w:val="000000"/>
          <w:sz w:val="20"/>
          <w:szCs w:val="20"/>
        </w:rPr>
        <w:t>d to the first two quarters of 2021.</w:t>
      </w:r>
    </w:p>
    <w:p w:rsidR="00000000" w:rsidRDefault="00BC22AF">
      <w:pPr>
        <w:jc w:val="center"/>
        <w:divId w:val="1458328112"/>
        <w:rPr>
          <w:rFonts w:eastAsia="Times New Roman"/>
        </w:rPr>
      </w:pPr>
      <w:r>
        <w:rPr>
          <w:rFonts w:eastAsia="Times New Roman"/>
          <w:color w:val="000000"/>
          <w:sz w:val="20"/>
          <w:szCs w:val="20"/>
        </w:rPr>
        <w:t>23</w:t>
      </w:r>
    </w:p>
    <w:p w:rsidR="00000000" w:rsidRDefault="00BC22AF">
      <w:pPr>
        <w:rPr>
          <w:rFonts w:eastAsia="Times New Roman"/>
        </w:rPr>
      </w:pPr>
      <w:r>
        <w:rPr>
          <w:rFonts w:eastAsia="Times New Roman"/>
        </w:rPr>
        <w:pict>
          <v:rect id="_x0000_i1048" style="width:0;height:1.5pt" o:hralign="center" o:hrstd="t" o:hr="t" fillcolor="#a0a0a0" stroked="f"/>
        </w:pict>
      </w:r>
    </w:p>
    <w:p w:rsidR="00000000" w:rsidRDefault="00BC22AF">
      <w:pPr>
        <w:divId w:val="1482497767"/>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Provision for Income Taxes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The effective tax rate for the first two quarters of 2022 and for the first two quarters of 2021 reflect the impact of the previously recorded valuation allowance. For the remainder of fiscal 2022, we</w:t>
      </w:r>
      <w:r>
        <w:rPr>
          <w:rFonts w:eastAsia="Times New Roman"/>
          <w:color w:val="000000"/>
          <w:sz w:val="20"/>
          <w:szCs w:val="20"/>
        </w:rPr>
        <w:t xml:space="preserve"> do not anticipate material income tax expense or benefit as a result of the valuation allowance recorded. We will maintain a valuation allowance against deferred tax assets until there is sufficient evidence to support a full or partial reversal. The reve</w:t>
      </w:r>
      <w:r>
        <w:rPr>
          <w:rFonts w:eastAsia="Times New Roman"/>
          <w:color w:val="000000"/>
          <w:sz w:val="20"/>
          <w:szCs w:val="20"/>
        </w:rPr>
        <w:t>rsal of a previously recorded valuation allowance will generally result in a benefit from income tax. We estimate the annual effective tax rate for 2022 to be betw</w:t>
      </w:r>
      <w:r>
        <w:rPr>
          <w:rFonts w:eastAsia="Times New Roman"/>
          <w:color w:val="000000"/>
          <w:sz w:val="20"/>
          <w:szCs w:val="20"/>
          <w:shd w:val="clear" w:color="auto" w:fill="FFFFFF"/>
        </w:rPr>
        <w:t>een 0.25% and 1.25%.</w:t>
      </w:r>
    </w:p>
    <w:p w:rsidR="00000000" w:rsidRDefault="00BC22AF">
      <w:pPr>
        <w:jc w:val="both"/>
        <w:rPr>
          <w:rFonts w:eastAsia="Times New Roman"/>
        </w:rPr>
      </w:pPr>
    </w:p>
    <w:p w:rsidR="00000000" w:rsidRDefault="00BC22AF">
      <w:pPr>
        <w:jc w:val="both"/>
        <w:rPr>
          <w:rFonts w:eastAsia="Times New Roman"/>
        </w:rPr>
      </w:pPr>
      <w:r>
        <w:rPr>
          <w:rFonts w:eastAsia="Times New Roman"/>
          <w:b/>
          <w:bCs/>
          <w:color w:val="000000"/>
          <w:sz w:val="20"/>
          <w:szCs w:val="20"/>
        </w:rPr>
        <w:t>Liquidity and Capital Resources</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Summary of Cash Flows</w:t>
      </w:r>
    </w:p>
    <w:p w:rsidR="00000000" w:rsidRDefault="00BC22AF">
      <w:pPr>
        <w:jc w:val="both"/>
        <w:divId w:val="1773159738"/>
        <w:rPr>
          <w:rFonts w:eastAsia="Times New Roman"/>
        </w:rPr>
      </w:pPr>
      <w:r>
        <w:rPr>
          <w:rFonts w:eastAsia="Times New Roman"/>
          <w:color w:val="000000"/>
          <w:sz w:val="20"/>
          <w:szCs w:val="20"/>
        </w:rPr>
        <w:t>We have histor</w:t>
      </w:r>
      <w:r>
        <w:rPr>
          <w:rFonts w:eastAsia="Times New Roman"/>
          <w:color w:val="000000"/>
          <w:sz w:val="20"/>
          <w:szCs w:val="20"/>
        </w:rPr>
        <w:t>ically used cash and our revolving credit facility to fund capital expenditures for new restaurant openings, reinvest in our existing restaurants, invest in infrastructure and information technology and maintain working capital. Our working capital positio</w:t>
      </w:r>
      <w:r>
        <w:rPr>
          <w:rFonts w:eastAsia="Times New Roman"/>
          <w:color w:val="000000"/>
          <w:sz w:val="20"/>
          <w:szCs w:val="20"/>
        </w:rPr>
        <w:t xml:space="preserve">n benefits from the fact that we generally collect cash from sales to customers the same day, or in the case of credit or debit card transactions, within several days of the related sale, and we typically have up to 30 days to pay our vendors. </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We believe that we will be in compliance with our debt covenants and have sufficient sources of cash to meet our liquidity needs and capital resource requirements for at least the next twelve months, primarily through currently available cash and cash equi</w:t>
      </w:r>
      <w:r>
        <w:rPr>
          <w:rFonts w:eastAsia="Times New Roman"/>
          <w:color w:val="000000"/>
          <w:sz w:val="20"/>
          <w:szCs w:val="20"/>
        </w:rPr>
        <w:t xml:space="preserve">valents and cash flows from operations. </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Cash flows from operating, investing and financing activities are shown in the following table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5112"/>
        <w:gridCol w:w="37"/>
        <w:gridCol w:w="36"/>
        <w:gridCol w:w="36"/>
        <w:gridCol w:w="36"/>
        <w:gridCol w:w="121"/>
        <w:gridCol w:w="1282"/>
        <w:gridCol w:w="36"/>
        <w:gridCol w:w="36"/>
        <w:gridCol w:w="36"/>
        <w:gridCol w:w="36"/>
        <w:gridCol w:w="120"/>
        <w:gridCol w:w="1283"/>
        <w:gridCol w:w="36"/>
      </w:tblGrid>
      <w:tr w:rsidR="00000000">
        <w:tc>
          <w:tcPr>
            <w:tcW w:w="50" w:type="pct"/>
            <w:vAlign w:val="center"/>
            <w:hideMark/>
          </w:tcPr>
          <w:p w:rsidR="00000000" w:rsidRDefault="00BC22AF">
            <w:pPr>
              <w:jc w:val="both"/>
              <w:rPr>
                <w:rFonts w:eastAsia="Times New Roman"/>
              </w:rPr>
            </w:pPr>
          </w:p>
        </w:tc>
        <w:tc>
          <w:tcPr>
            <w:tcW w:w="3112"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824"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26"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824"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Two Fiscal Quarters Ended</w:t>
            </w:r>
          </w:p>
        </w:tc>
      </w:tr>
      <w:tr w:rsidR="00000000">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28,</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16"/>
                <w:szCs w:val="16"/>
              </w:rPr>
              <w:t>June 29,</w:t>
            </w:r>
            <w:r>
              <w:rPr>
                <w:rFonts w:eastAsia="Times New Roman"/>
                <w:b/>
                <w:bCs/>
                <w:color w:val="000000"/>
                <w:sz w:val="16"/>
                <w:szCs w:val="16"/>
              </w:rPr>
              <w:br/>
              <w:t>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6,043 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23,246 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Net cash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(15,147)</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(7,476)</w:t>
            </w:r>
          </w:p>
        </w:tc>
        <w:tc>
          <w:tcPr>
            <w:tcW w:w="0" w:type="auto"/>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Net cash provided by (used in) financing activities</w:t>
            </w: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8,638 </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(6,286)</w:t>
            </w:r>
          </w:p>
        </w:tc>
        <w:tc>
          <w:tcPr>
            <w:tcW w:w="0" w:type="auto"/>
            <w:shd w:val="clear" w:color="auto" w:fill="CCEEFF"/>
            <w:tcMar>
              <w:top w:w="30" w:type="dxa"/>
              <w:left w:w="0" w:type="dxa"/>
              <w:bottom w:w="30" w:type="dxa"/>
              <w:right w:w="20" w:type="dxa"/>
            </w:tcMar>
            <w:vAlign w:val="bottom"/>
            <w:hideMark/>
          </w:tcPr>
          <w:p w:rsidR="00000000" w:rsidRDefault="00BC22AF">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Net (decrease) increase in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(466)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BC22A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BC22AF">
            <w:pPr>
              <w:spacing w:after="100"/>
              <w:jc w:val="right"/>
              <w:rPr>
                <w:rFonts w:eastAsia="Times New Roman"/>
              </w:rPr>
            </w:pPr>
            <w:r>
              <w:rPr>
                <w:rFonts w:eastAsia="Times New Roman"/>
                <w:color w:val="000000"/>
                <w:sz w:val="20"/>
                <w:szCs w:val="20"/>
              </w:rPr>
              <w:t>9,484 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BC22AF">
            <w:pPr>
              <w:spacing w:after="100"/>
              <w:jc w:val="right"/>
              <w:rPr>
                <w:rFonts w:eastAsia="Times New Roman"/>
              </w:rPr>
            </w:pPr>
          </w:p>
        </w:tc>
      </w:tr>
    </w:tbl>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O</w:t>
      </w:r>
      <w:r>
        <w:rPr>
          <w:rFonts w:eastAsia="Times New Roman"/>
          <w:b/>
          <w:bCs/>
          <w:i/>
          <w:iCs/>
          <w:color w:val="000000"/>
          <w:sz w:val="20"/>
          <w:szCs w:val="20"/>
        </w:rPr>
        <w:t>perating Activities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shd w:val="clear" w:color="auto" w:fill="FFFFFF"/>
        </w:rPr>
        <w:t>Net cash provided by operating activities was $6.0 million in the two quarters of 2022 compared to net cash provided by operating activities of $23.2 million in the two quarters of 2021. The decrease in operating cash flows resulted p</w:t>
      </w:r>
      <w:r>
        <w:rPr>
          <w:rFonts w:eastAsia="Times New Roman"/>
          <w:color w:val="000000"/>
          <w:sz w:val="20"/>
          <w:szCs w:val="20"/>
          <w:shd w:val="clear" w:color="auto" w:fill="FFFFFF"/>
        </w:rPr>
        <w:t>rimarily from a decrease in net income, as well as working capital changes during the first two quarters of 2022 compared to the prior period of 2021.</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shd w:val="clear" w:color="auto" w:fill="FFFFFF"/>
        </w:rPr>
        <w:t>Investing Activities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shd w:val="clear" w:color="auto" w:fill="FFFFFF"/>
        </w:rPr>
        <w:t>Net cash used in investing activities increased $7.7 million in the two quarters of 2022 from $7.5 million in the two quarters of 2021. This increase was primarily due to higher investments in eight new restaurant openings in the first two quarters of 2022</w:t>
      </w:r>
      <w:r>
        <w:rPr>
          <w:rFonts w:eastAsia="Times New Roman"/>
          <w:color w:val="000000"/>
          <w:sz w:val="20"/>
          <w:szCs w:val="20"/>
          <w:shd w:val="clear" w:color="auto" w:fill="FFFFFF"/>
        </w:rPr>
        <w:t xml:space="preserve"> compared to two new restaurant openings in 2021.</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Financing Activities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shd w:val="clear" w:color="auto" w:fill="FFFFFF"/>
        </w:rPr>
        <w:t>Net cash provided by financing activities was $8.6 million in the two quarters of 2022 related to draws on our revolving credit facility of $11.1 million to fund new restaurant open</w:t>
      </w:r>
      <w:r>
        <w:rPr>
          <w:rFonts w:eastAsia="Times New Roman"/>
          <w:color w:val="000000"/>
          <w:sz w:val="20"/>
          <w:szCs w:val="20"/>
          <w:shd w:val="clear" w:color="auto" w:fill="FFFFFF"/>
        </w:rPr>
        <w:t>ings partially offset by repayments on our long-term debt and finance leases.</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Capital Resources</w:t>
      </w:r>
    </w:p>
    <w:p w:rsidR="00000000" w:rsidRDefault="00BC22AF">
      <w:pPr>
        <w:jc w:val="both"/>
        <w:rPr>
          <w:rFonts w:eastAsia="Times New Roman"/>
        </w:rPr>
      </w:pPr>
    </w:p>
    <w:p w:rsidR="00000000" w:rsidRDefault="00BC22AF">
      <w:pPr>
        <w:jc w:val="both"/>
        <w:rPr>
          <w:rFonts w:eastAsia="Times New Roman"/>
        </w:rPr>
      </w:pPr>
      <w:r>
        <w:rPr>
          <w:rFonts w:eastAsia="Times New Roman"/>
          <w:i/>
          <w:iCs/>
          <w:color w:val="000000"/>
          <w:sz w:val="20"/>
          <w:szCs w:val="20"/>
        </w:rPr>
        <w:t xml:space="preserve">Future Capital Expenditure Requirements. </w:t>
      </w:r>
      <w:r>
        <w:rPr>
          <w:rFonts w:eastAsia="Times New Roman"/>
          <w:color w:val="000000"/>
          <w:sz w:val="20"/>
          <w:szCs w:val="20"/>
        </w:rPr>
        <w:t>Our capital expenditure requirements are primarily dependent upon the pace of our real estate development program a</w:t>
      </w:r>
      <w:r>
        <w:rPr>
          <w:rFonts w:eastAsia="Times New Roman"/>
          <w:color w:val="000000"/>
          <w:sz w:val="20"/>
          <w:szCs w:val="20"/>
        </w:rPr>
        <w:t xml:space="preserve">nd resulting new restaurant openings, costs for maintenance and remodeling of our existing restaurants as well as information technology expenses and other general corporate capital expenditures. </w:t>
      </w:r>
    </w:p>
    <w:p w:rsidR="00000000" w:rsidRDefault="00BC22AF">
      <w:pPr>
        <w:jc w:val="both"/>
        <w:rPr>
          <w:rFonts w:eastAsia="Times New Roman"/>
        </w:rPr>
      </w:pPr>
    </w:p>
    <w:p w:rsidR="00000000" w:rsidRDefault="00BC22AF">
      <w:pPr>
        <w:jc w:val="center"/>
        <w:divId w:val="699205355"/>
        <w:rPr>
          <w:rFonts w:eastAsia="Times New Roman"/>
        </w:rPr>
      </w:pPr>
      <w:r>
        <w:rPr>
          <w:rFonts w:eastAsia="Times New Roman"/>
          <w:color w:val="000000"/>
          <w:sz w:val="20"/>
          <w:szCs w:val="20"/>
        </w:rPr>
        <w:t>24</w:t>
      </w:r>
    </w:p>
    <w:p w:rsidR="00000000" w:rsidRDefault="00BC22AF">
      <w:pPr>
        <w:rPr>
          <w:rFonts w:eastAsia="Times New Roman"/>
        </w:rPr>
      </w:pPr>
      <w:r>
        <w:rPr>
          <w:rFonts w:eastAsia="Times New Roman"/>
        </w:rPr>
        <w:pict>
          <v:rect id="_x0000_i1049" style="width:0;height:1.5pt" o:hralign="center" o:hrstd="t" o:hr="t" fillcolor="#a0a0a0" stroked="f"/>
        </w:pict>
      </w:r>
    </w:p>
    <w:p w:rsidR="00000000" w:rsidRDefault="00BC22AF">
      <w:pPr>
        <w:divId w:val="701781806"/>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both"/>
        <w:rPr>
          <w:rFonts w:eastAsia="Times New Roman"/>
        </w:rPr>
      </w:pPr>
      <w:r>
        <w:rPr>
          <w:rFonts w:eastAsia="Times New Roman"/>
          <w:color w:val="000000"/>
          <w:sz w:val="20"/>
          <w:szCs w:val="20"/>
        </w:rPr>
        <w:t>We estimate capital expenditures will be approximat</w:t>
      </w:r>
      <w:r>
        <w:rPr>
          <w:rFonts w:eastAsia="Times New Roman"/>
          <w:color w:val="000000"/>
          <w:sz w:val="20"/>
          <w:szCs w:val="20"/>
          <w:shd w:val="clear" w:color="auto" w:fill="FFFFFF"/>
        </w:rPr>
        <w:t>ely $30.0 million to $33.0 million for fi</w:t>
      </w:r>
      <w:r>
        <w:rPr>
          <w:rFonts w:eastAsia="Times New Roman"/>
          <w:color w:val="000000"/>
          <w:sz w:val="20"/>
          <w:szCs w:val="20"/>
        </w:rPr>
        <w:t xml:space="preserve">scal year 2022, primarily for the opening </w:t>
      </w:r>
      <w:r>
        <w:rPr>
          <w:rFonts w:eastAsia="Times New Roman"/>
          <w:color w:val="000000"/>
          <w:sz w:val="20"/>
          <w:szCs w:val="20"/>
          <w:shd w:val="clear" w:color="auto" w:fill="FFFFFF"/>
        </w:rPr>
        <w:t>of company-owned restaurants before any reduc</w:t>
      </w:r>
      <w:r>
        <w:rPr>
          <w:rFonts w:eastAsia="Times New Roman"/>
          <w:color w:val="000000"/>
          <w:sz w:val="20"/>
          <w:szCs w:val="20"/>
          <w:shd w:val="clear" w:color="auto" w:fill="FFFFFF"/>
        </w:rPr>
        <w:t>tions for landlord reimbursements, reinvestment in existing restaurants and investments in technology. W</w:t>
      </w:r>
      <w:r>
        <w:rPr>
          <w:rFonts w:eastAsia="Times New Roman"/>
          <w:color w:val="000000"/>
          <w:sz w:val="20"/>
          <w:szCs w:val="20"/>
        </w:rPr>
        <w:t>e expect such capital expenditures to be funded by currently available cash and cash equivalents, cash flows from operations and if necessary, undrawn c</w:t>
      </w:r>
      <w:r>
        <w:rPr>
          <w:rFonts w:eastAsia="Times New Roman"/>
          <w:color w:val="000000"/>
          <w:sz w:val="20"/>
          <w:szCs w:val="20"/>
        </w:rPr>
        <w:t xml:space="preserve">apacity under our revolving credit line. </w:t>
      </w:r>
    </w:p>
    <w:p w:rsidR="00000000" w:rsidRDefault="00BC22AF">
      <w:pPr>
        <w:jc w:val="both"/>
        <w:rPr>
          <w:rFonts w:eastAsia="Times New Roman"/>
        </w:rPr>
      </w:pPr>
    </w:p>
    <w:p w:rsidR="00000000" w:rsidRDefault="00BC22AF">
      <w:pPr>
        <w:jc w:val="both"/>
        <w:rPr>
          <w:rFonts w:eastAsia="Times New Roman"/>
        </w:rPr>
      </w:pPr>
      <w:r>
        <w:rPr>
          <w:rFonts w:eastAsia="Times New Roman"/>
          <w:i/>
          <w:iCs/>
          <w:color w:val="000000"/>
          <w:sz w:val="20"/>
          <w:szCs w:val="20"/>
        </w:rPr>
        <w:t xml:space="preserve">Current Resources. </w:t>
      </w:r>
      <w:r>
        <w:rPr>
          <w:rFonts w:eastAsia="Times New Roman"/>
          <w:color w:val="000000"/>
          <w:sz w:val="20"/>
          <w:szCs w:val="20"/>
        </w:rPr>
        <w:t xml:space="preserve">Our operations have not historically required significant working capital and, like many restaurant companies, we operate with negative working capital. Restaurant sales are primarily paid for </w:t>
      </w:r>
      <w:r>
        <w:rPr>
          <w:rFonts w:eastAsia="Times New Roman"/>
          <w:color w:val="000000"/>
          <w:sz w:val="20"/>
          <w:szCs w:val="20"/>
        </w:rPr>
        <w:t xml:space="preserve">in cash or by credit or debit card, and restaurant operations do not require significant inventories or receivables. In addition, we receive trade credit for the purchase of food, beverages and supplies, therefore reducing the need for incremental working </w:t>
      </w:r>
      <w:r>
        <w:rPr>
          <w:rFonts w:eastAsia="Times New Roman"/>
          <w:color w:val="000000"/>
          <w:sz w:val="20"/>
          <w:szCs w:val="20"/>
        </w:rPr>
        <w:t>capital to support growth.</w:t>
      </w:r>
    </w:p>
    <w:p w:rsidR="00000000" w:rsidRDefault="00BC22AF">
      <w:pPr>
        <w:jc w:val="both"/>
        <w:rPr>
          <w:rFonts w:eastAsia="Times New Roman"/>
        </w:rPr>
      </w:pPr>
    </w:p>
    <w:p w:rsidR="00000000" w:rsidRDefault="00BC22AF">
      <w:pPr>
        <w:jc w:val="both"/>
        <w:rPr>
          <w:rFonts w:eastAsia="Times New Roman"/>
        </w:rPr>
      </w:pPr>
      <w:r>
        <w:rPr>
          <w:rFonts w:eastAsia="Times New Roman"/>
          <w:i/>
          <w:iCs/>
          <w:color w:val="000000"/>
          <w:sz w:val="20"/>
          <w:szCs w:val="20"/>
        </w:rPr>
        <w:t>Liquidity</w:t>
      </w:r>
      <w:r>
        <w:rPr>
          <w:rFonts w:eastAsia="Times New Roman"/>
          <w:color w:val="000000"/>
          <w:sz w:val="20"/>
          <w:szCs w:val="20"/>
        </w:rPr>
        <w:t xml:space="preserve">. </w:t>
      </w:r>
      <w:r>
        <w:rPr>
          <w:rFonts w:eastAsia="Times New Roman"/>
          <w:color w:val="000000"/>
          <w:sz w:val="20"/>
          <w:szCs w:val="20"/>
          <w:shd w:val="clear" w:color="auto" w:fill="FFFFFF"/>
        </w:rPr>
        <w:t xml:space="preserve">As of </w:t>
      </w:r>
      <w:r>
        <w:rPr>
          <w:rFonts w:eastAsia="Times New Roman"/>
          <w:color w:val="000000"/>
          <w:sz w:val="20"/>
          <w:szCs w:val="20"/>
        </w:rPr>
        <w:t>June 28, 2022</w:t>
      </w:r>
      <w:r>
        <w:rPr>
          <w:rFonts w:eastAsia="Times New Roman"/>
          <w:color w:val="000000"/>
          <w:sz w:val="20"/>
          <w:szCs w:val="20"/>
          <w:shd w:val="clear" w:color="auto" w:fill="FFFFFF"/>
        </w:rPr>
        <w:t xml:space="preserve">, we had a cash balance of $1.8 million compared to $2.3 million as </w:t>
      </w:r>
      <w:r>
        <w:rPr>
          <w:rFonts w:eastAsia="Times New Roman"/>
          <w:color w:val="000000"/>
          <w:sz w:val="20"/>
          <w:szCs w:val="20"/>
        </w:rPr>
        <w:t>of December 28, 2021. The amount available for future borrowings under our Second Amended Credit Facility was $60.9 million. We b</w:t>
      </w:r>
      <w:r>
        <w:rPr>
          <w:rFonts w:eastAsia="Times New Roman"/>
          <w:color w:val="000000"/>
          <w:sz w:val="20"/>
          <w:szCs w:val="20"/>
        </w:rPr>
        <w:t>elieve that our current cash and cash equivalents, the expected cash flows from company-owned restaurant operations, the expected franchise fees and royalties and available borrowings under the credit facility will be sufficient to fund our cash requiremen</w:t>
      </w:r>
      <w:r>
        <w:rPr>
          <w:rFonts w:eastAsia="Times New Roman"/>
          <w:color w:val="000000"/>
          <w:sz w:val="20"/>
          <w:szCs w:val="20"/>
        </w:rPr>
        <w:t xml:space="preserve">ts for working capital needs, new restaurant openings, and capital improvements and maintenance of existing restaurants for at least the next twelve months. </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Credit Facility</w:t>
      </w:r>
    </w:p>
    <w:p w:rsidR="00000000" w:rsidRDefault="00BC22AF">
      <w:pPr>
        <w:jc w:val="both"/>
        <w:rPr>
          <w:rFonts w:eastAsia="Times New Roman"/>
        </w:rPr>
      </w:pPr>
    </w:p>
    <w:p w:rsidR="00000000" w:rsidRDefault="00BC22AF">
      <w:pPr>
        <w:jc w:val="both"/>
        <w:divId w:val="867181096"/>
        <w:rPr>
          <w:rFonts w:eastAsia="Times New Roman"/>
        </w:rPr>
      </w:pPr>
      <w:r>
        <w:rPr>
          <w:rFonts w:eastAsia="Times New Roman"/>
          <w:color w:val="000000"/>
          <w:sz w:val="20"/>
          <w:szCs w:val="20"/>
        </w:rPr>
        <w:t>In November of 2019, we amended our 2018 Credit Facility by entering into that</w:t>
      </w:r>
      <w:r>
        <w:rPr>
          <w:rFonts w:eastAsia="Times New Roman"/>
          <w:color w:val="000000"/>
          <w:sz w:val="20"/>
          <w:szCs w:val="20"/>
        </w:rPr>
        <w:t xml:space="preserve"> certain First Amendment to Credit Agreement (the “Amendment” and the 2018 Credit Facility, as amended, the “First Amended Credit Facility”). Among other things, the Amendment: (i) extended the maturity date to November 20, 2024; (ii) increased the revolvi</w:t>
      </w:r>
      <w:r>
        <w:rPr>
          <w:rFonts w:eastAsia="Times New Roman"/>
          <w:color w:val="000000"/>
          <w:sz w:val="20"/>
          <w:szCs w:val="20"/>
        </w:rPr>
        <w:t>ng credit facility from $65.0 million to $75.0 million; (iii) delayed step downs of the Company’s leverage covenant; and (iv) increased the limit on capital expenditures to $37.0 million in 2020 and to $45.0 million in 2021 and each fiscal year thereafter.</w:t>
      </w:r>
      <w:r>
        <w:rPr>
          <w:rFonts w:eastAsia="Times New Roman"/>
          <w:color w:val="000000"/>
          <w:sz w:val="20"/>
          <w:szCs w:val="20"/>
        </w:rPr>
        <w:t xml:space="preserve"> Upon execution of the First Amended Credit Facility, the Company repaid in full its outstanding indebtedness under its prior credit facility using funds drawn on the First Amended Credit Facility. Upon repayment, the prior credit facility and all related </w:t>
      </w:r>
      <w:r>
        <w:rPr>
          <w:rFonts w:eastAsia="Times New Roman"/>
          <w:color w:val="000000"/>
          <w:sz w:val="20"/>
          <w:szCs w:val="20"/>
        </w:rPr>
        <w:t xml:space="preserve">agreements were terminated. </w:t>
      </w:r>
    </w:p>
    <w:p w:rsidR="00000000" w:rsidRDefault="00BC22AF">
      <w:pPr>
        <w:jc w:val="both"/>
        <w:rPr>
          <w:rFonts w:eastAsia="Times New Roman"/>
        </w:rPr>
      </w:pPr>
      <w:r>
        <w:rPr>
          <w:rFonts w:eastAsia="Times New Roman"/>
          <w:color w:val="000000"/>
          <w:sz w:val="20"/>
          <w:szCs w:val="20"/>
        </w:rPr>
        <w:t>On June 16, 2020 (the “Effective Date”), the Company amended its First Amended Credit Facility by entering into the Second Amendment to the Credit Agreement (the “Second Amendment” and the First Amended Credit Facility, as amen</w:t>
      </w:r>
      <w:r>
        <w:rPr>
          <w:rFonts w:eastAsia="Times New Roman"/>
          <w:color w:val="000000"/>
          <w:sz w:val="20"/>
          <w:szCs w:val="20"/>
        </w:rPr>
        <w:t>ded, the “Second Amended Credit Facility”). Beginning on the Effective Date and through the third quarter of 2021 (the “Amendment Period”), borrowings under the Second Amended Credit Facility, including the term loan facility, bore interest at LIBOR plus 3</w:t>
      </w:r>
      <w:r>
        <w:rPr>
          <w:rFonts w:eastAsia="Times New Roman"/>
          <w:color w:val="000000"/>
          <w:sz w:val="20"/>
          <w:szCs w:val="20"/>
        </w:rPr>
        <w:t>.25% per annum. Following the Amendment Period, borrowings bore interest at LIBOR plus a margin of 2.00% to 3.00% per annum, based upon the consolidated total lease-adjusted leverage ratio. Among other things, the Second Amendment (i) waives the lease-adju</w:t>
      </w:r>
      <w:r>
        <w:rPr>
          <w:rFonts w:eastAsia="Times New Roman"/>
          <w:color w:val="000000"/>
          <w:sz w:val="20"/>
          <w:szCs w:val="20"/>
        </w:rPr>
        <w:t>sted leverage ratio and fixed charge ratio covenants through the first quarter of 2021; (ii) amends the Company’s lease-adjusted leverage ratio and fixed coverage ratio covenant thresholds beginning in the second quarter of 2021 through the third quarter o</w:t>
      </w:r>
      <w:r>
        <w:rPr>
          <w:rFonts w:eastAsia="Times New Roman"/>
          <w:color w:val="000000"/>
          <w:sz w:val="20"/>
          <w:szCs w:val="20"/>
        </w:rPr>
        <w:t>f 2022 and the first quarter of 2022, respectively and (iii) limits capital expenditures to $12.0 million in 2020, $12.0 million plus a liquidity-based performance basket up to an additional $12.0 million in 2021, $34.0 million in 2022, $37.0 million in 20</w:t>
      </w:r>
      <w:r>
        <w:rPr>
          <w:rFonts w:eastAsia="Times New Roman"/>
          <w:color w:val="000000"/>
          <w:sz w:val="20"/>
          <w:szCs w:val="20"/>
        </w:rPr>
        <w:t>23 and $45.0 million annually thereafter.</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 xml:space="preserve">As of June 28, 2022, we had $32.2 million of indebtedness (excluding $1.1 million of unamortized debt issuance costs) and $3.0 million of letters of credit outstanding under the Second Amended Credit Facility. </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Our Second Amended Credit Facility is secured by a pledge of stock of substantially all of our subsidiaries and a lien on substantially all of our and our subsidiaries’ personal property assets.</w:t>
      </w:r>
    </w:p>
    <w:p w:rsidR="00000000" w:rsidRDefault="00BC22AF">
      <w:pPr>
        <w:jc w:val="both"/>
        <w:divId w:val="1491828434"/>
        <w:rPr>
          <w:rFonts w:eastAsia="Times New Roman"/>
        </w:rPr>
      </w:pPr>
      <w:r>
        <w:rPr>
          <w:rFonts w:eastAsia="Times New Roman"/>
          <w:color w:val="000000"/>
          <w:sz w:val="20"/>
          <w:szCs w:val="20"/>
          <w:shd w:val="clear" w:color="auto" w:fill="FFFFFF"/>
        </w:rPr>
        <w:t>On July 27, 2022, t</w:t>
      </w:r>
      <w:r>
        <w:rPr>
          <w:rFonts w:eastAsia="Times New Roman"/>
          <w:color w:val="000000"/>
          <w:sz w:val="20"/>
          <w:szCs w:val="20"/>
        </w:rPr>
        <w:t>he Company amended and restated its Second</w:t>
      </w:r>
      <w:r>
        <w:rPr>
          <w:rFonts w:eastAsia="Times New Roman"/>
          <w:color w:val="000000"/>
          <w:sz w:val="20"/>
          <w:szCs w:val="20"/>
        </w:rPr>
        <w:t xml:space="preserve"> Amended Credit Facility by entering into the Third Amendment to the Credit</w:t>
      </w:r>
      <w:r>
        <w:rPr>
          <w:rFonts w:eastAsia="Times New Roman"/>
          <w:color w:val="000000"/>
          <w:sz w:val="20"/>
          <w:szCs w:val="20"/>
          <w:shd w:val="clear" w:color="auto" w:fill="FFFFFF"/>
        </w:rPr>
        <w:t xml:space="preserve"> Agreement (the “Third Amendment” or the “Third Amended Credit Facility”). Among other things, the Third Amendment: (i) increased the credit facility from $100.0 million to $125.0 m</w:t>
      </w:r>
      <w:r>
        <w:rPr>
          <w:rFonts w:eastAsia="Times New Roman"/>
          <w:color w:val="000000"/>
          <w:sz w:val="20"/>
          <w:szCs w:val="20"/>
          <w:shd w:val="clear" w:color="auto" w:fill="FFFFFF"/>
        </w:rPr>
        <w:t>illion; (ii) eliminated the term loan and principal amortization components of the credit facility; (iii) removed the Company’s capital expenditure covenant; (iv) enhanced flexibility for certain covenants and restrictions; and (v) lowered the spread withi</w:t>
      </w:r>
      <w:r>
        <w:rPr>
          <w:rFonts w:eastAsia="Times New Roman"/>
          <w:color w:val="000000"/>
          <w:sz w:val="20"/>
          <w:szCs w:val="20"/>
          <w:shd w:val="clear" w:color="auto" w:fill="FFFFFF"/>
        </w:rPr>
        <w:t>n the Company’s cost of borrowing</w:t>
      </w:r>
      <w:r>
        <w:rPr>
          <w:rFonts w:eastAsia="Times New Roman"/>
          <w:color w:val="000000"/>
          <w:sz w:val="20"/>
          <w:szCs w:val="20"/>
        </w:rPr>
        <w:t xml:space="preserve"> and will transition to the Secured Overnight Financing Rate (“SOFR”) plus a margin of 1.50% to 2.50% per annum, based upon the consolidated total lease-adjusted leverage ratio.</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Off-Balance Sheet Arrangements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 xml:space="preserve">We had no </w:t>
      </w:r>
      <w:r>
        <w:rPr>
          <w:rFonts w:eastAsia="Times New Roman"/>
          <w:color w:val="000000"/>
          <w:sz w:val="20"/>
          <w:szCs w:val="20"/>
        </w:rPr>
        <w:t>off-balance sheet arrangements or obligations as of June 28, 2022.</w:t>
      </w:r>
    </w:p>
    <w:p w:rsidR="00000000" w:rsidRDefault="00BC22AF">
      <w:pPr>
        <w:jc w:val="both"/>
        <w:rPr>
          <w:rFonts w:eastAsia="Times New Roman"/>
        </w:rPr>
      </w:pPr>
    </w:p>
    <w:p w:rsidR="00000000" w:rsidRDefault="00BC22AF">
      <w:pPr>
        <w:jc w:val="both"/>
        <w:rPr>
          <w:rFonts w:eastAsia="Times New Roman"/>
        </w:rPr>
      </w:pPr>
      <w:r>
        <w:rPr>
          <w:rFonts w:eastAsia="Times New Roman"/>
          <w:b/>
          <w:bCs/>
          <w:color w:val="000000"/>
          <w:sz w:val="20"/>
          <w:szCs w:val="20"/>
        </w:rPr>
        <w:t>Critical Accounting Policies and Estimates</w:t>
      </w:r>
    </w:p>
    <w:p w:rsidR="00000000" w:rsidRDefault="00BC22AF">
      <w:pPr>
        <w:jc w:val="center"/>
        <w:divId w:val="1594977420"/>
        <w:rPr>
          <w:rFonts w:eastAsia="Times New Roman"/>
        </w:rPr>
      </w:pPr>
      <w:r>
        <w:rPr>
          <w:rFonts w:eastAsia="Times New Roman"/>
          <w:color w:val="000000"/>
          <w:sz w:val="20"/>
          <w:szCs w:val="20"/>
        </w:rPr>
        <w:t>25</w:t>
      </w:r>
    </w:p>
    <w:p w:rsidR="00000000" w:rsidRDefault="00BC22AF">
      <w:pPr>
        <w:rPr>
          <w:rFonts w:eastAsia="Times New Roman"/>
        </w:rPr>
      </w:pPr>
      <w:r>
        <w:rPr>
          <w:rFonts w:eastAsia="Times New Roman"/>
        </w:rPr>
        <w:pict>
          <v:rect id="_x0000_i1050" style="width:0;height:1.5pt" o:hralign="center" o:hrstd="t" o:hr="t" fillcolor="#a0a0a0" stroked="f"/>
        </w:pict>
      </w:r>
    </w:p>
    <w:p w:rsidR="00000000" w:rsidRDefault="00BC22AF">
      <w:pPr>
        <w:divId w:val="1521972659"/>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 xml:space="preserve">Our condensed consolidated financial statements and accompanying notes are prepared in accordance with GAAP. Preparing consolidated financial statements requires us to make estimates and assumptions that affect the reported amounts of assets, liabilities, </w:t>
      </w:r>
      <w:r>
        <w:rPr>
          <w:rFonts w:eastAsia="Times New Roman"/>
          <w:color w:val="000000"/>
          <w:sz w:val="20"/>
          <w:szCs w:val="20"/>
        </w:rPr>
        <w:t xml:space="preserve">revenue and expenses. These estimates and assumptions are affected by the application of our accounting policies. Our significant accounting policies are described in our Annual Report on Form 10-K for the year ended December 28, 2021. Critical accounting </w:t>
      </w:r>
      <w:r>
        <w:rPr>
          <w:rFonts w:eastAsia="Times New Roman"/>
          <w:color w:val="000000"/>
          <w:sz w:val="20"/>
          <w:szCs w:val="20"/>
        </w:rPr>
        <w:t xml:space="preserve">estimates are those that require application of management’s most difficult, subjective or complex judgments, often as a result of matters that are inherently uncertain and may change in subsequent periods. While we apply our judgment based on assumptions </w:t>
      </w:r>
      <w:r>
        <w:rPr>
          <w:rFonts w:eastAsia="Times New Roman"/>
          <w:color w:val="000000"/>
          <w:sz w:val="20"/>
          <w:szCs w:val="20"/>
        </w:rPr>
        <w:t>believed to be reasonable under the circumstances, actual results could vary from these assumptions. It is possible that materially different amounts would be reported using different assumptions. Our critical accounting estimates are identified and descri</w:t>
      </w:r>
      <w:r>
        <w:rPr>
          <w:rFonts w:eastAsia="Times New Roman"/>
          <w:color w:val="000000"/>
          <w:sz w:val="20"/>
          <w:szCs w:val="20"/>
        </w:rPr>
        <w:t xml:space="preserve">bed in our annual consolidated financial statements and the related notes included in our Annual Report on Form 10-K for our fiscal year ended December 28, 2021. </w:t>
      </w:r>
    </w:p>
    <w:p w:rsidR="00000000" w:rsidRDefault="00BC22AF">
      <w:pPr>
        <w:jc w:val="both"/>
        <w:rPr>
          <w:rFonts w:eastAsia="Times New Roman"/>
        </w:rPr>
      </w:pPr>
    </w:p>
    <w:p w:rsidR="00000000" w:rsidRDefault="00BC22AF">
      <w:pPr>
        <w:divId w:val="128088884"/>
        <w:rPr>
          <w:rFonts w:eastAsia="Times New Roman"/>
        </w:rPr>
      </w:pPr>
      <w:r>
        <w:rPr>
          <w:rFonts w:eastAsia="Times New Roman"/>
          <w:b/>
          <w:bCs/>
          <w:color w:val="000000"/>
          <w:sz w:val="20"/>
          <w:szCs w:val="20"/>
        </w:rPr>
        <w:t>Item 3. Quantitative and Qualitative Disclosures about Market Risk</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Interest Rate Risk</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W</w:t>
      </w:r>
      <w:r>
        <w:rPr>
          <w:rFonts w:eastAsia="Times New Roman"/>
          <w:color w:val="000000"/>
          <w:sz w:val="20"/>
          <w:szCs w:val="20"/>
        </w:rPr>
        <w:t>e are exposed to market risk from changes in interest rates on debt. Our exposure to interest rate fluctuations is limited to our outstanding bank debt, which bears interest at variable rates. As of June 28, 2022, we had $32.2 million of outstanding borrow</w:t>
      </w:r>
      <w:r>
        <w:rPr>
          <w:rFonts w:eastAsia="Times New Roman"/>
          <w:color w:val="000000"/>
          <w:sz w:val="20"/>
          <w:szCs w:val="20"/>
        </w:rPr>
        <w:t>ings under our credit facility. An increase or decrease of 1.0% in the effective interest rate applied on these loans would have resulted in a pre-tax interest expe</w:t>
      </w:r>
      <w:r>
        <w:rPr>
          <w:rFonts w:eastAsia="Times New Roman"/>
          <w:color w:val="000000"/>
          <w:sz w:val="20"/>
          <w:szCs w:val="20"/>
          <w:shd w:val="clear" w:color="auto" w:fill="FFFFFF"/>
        </w:rPr>
        <w:t xml:space="preserve">nse fluctuation of approximately $0.3 million on an annualized basis. </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Commodity Price Ris</w:t>
      </w:r>
      <w:r>
        <w:rPr>
          <w:rFonts w:eastAsia="Times New Roman"/>
          <w:b/>
          <w:bCs/>
          <w:i/>
          <w:iCs/>
          <w:color w:val="000000"/>
          <w:sz w:val="20"/>
          <w:szCs w:val="20"/>
        </w:rPr>
        <w:t>k</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We purchase certain products that are affected by commodity prices and are, therefore, subject to price volatility caused by weather, market conditions and other factors which are not considered predictable or within our control. Although these product</w:t>
      </w:r>
      <w:r>
        <w:rPr>
          <w:rFonts w:eastAsia="Times New Roman"/>
          <w:color w:val="000000"/>
          <w:sz w:val="20"/>
          <w:szCs w:val="20"/>
        </w:rPr>
        <w:t xml:space="preserve">s are subject to changes in commodity prices, certain purchasing contracts or pricing arrangements contain risk management techniques designed to minimize price volatility. However, during the first half of 2022, due to the volatility in several commodity </w:t>
      </w:r>
      <w:r>
        <w:rPr>
          <w:rFonts w:eastAsia="Times New Roman"/>
          <w:color w:val="000000"/>
          <w:sz w:val="20"/>
          <w:szCs w:val="20"/>
        </w:rPr>
        <w:t>markets and driven by vendor availability, many of our contracts were shorter duration than typical and, in some cases, were based on floating rate prices rather than fixed rate. As a result, we saw higher cost of food in the first half than in prior peri</w:t>
      </w:r>
      <w:r>
        <w:rPr>
          <w:rFonts w:eastAsia="Times New Roman"/>
          <w:color w:val="000000"/>
          <w:sz w:val="20"/>
          <w:szCs w:val="20"/>
          <w:shd w:val="clear" w:color="auto" w:fill="FFFFFF"/>
        </w:rPr>
        <w:t>o</w:t>
      </w:r>
      <w:r>
        <w:rPr>
          <w:rFonts w:eastAsia="Times New Roman"/>
          <w:color w:val="000000"/>
          <w:sz w:val="20"/>
          <w:szCs w:val="20"/>
          <w:shd w:val="clear" w:color="auto" w:fill="FFFFFF"/>
        </w:rPr>
        <w:t>ds. Desp</w:t>
      </w:r>
      <w:r>
        <w:rPr>
          <w:rFonts w:eastAsia="Times New Roman"/>
          <w:color w:val="000000"/>
          <w:sz w:val="20"/>
          <w:szCs w:val="20"/>
        </w:rPr>
        <w:t>ite these increases, we believe we have material pricing power with our guests that allows us to adjust our menu pricing or change our product delivery strategy without impact to the demand for our brand. However, increases in commodity prices, wit</w:t>
      </w:r>
      <w:r>
        <w:rPr>
          <w:rFonts w:eastAsia="Times New Roman"/>
          <w:color w:val="000000"/>
          <w:sz w:val="20"/>
          <w:szCs w:val="20"/>
        </w:rPr>
        <w:t>hout adjustments to our menu prices, have and could continue to increase restaurant operating costs as a percentage of restaurant revenue.</w:t>
      </w:r>
    </w:p>
    <w:p w:rsidR="00000000" w:rsidRDefault="00BC22AF">
      <w:pPr>
        <w:jc w:val="both"/>
        <w:rPr>
          <w:rFonts w:eastAsia="Times New Roman"/>
        </w:rPr>
      </w:pPr>
    </w:p>
    <w:p w:rsidR="00000000" w:rsidRDefault="00BC22AF">
      <w:pPr>
        <w:jc w:val="both"/>
        <w:rPr>
          <w:rFonts w:eastAsia="Times New Roman"/>
        </w:rPr>
      </w:pPr>
      <w:r>
        <w:rPr>
          <w:rFonts w:eastAsia="Times New Roman"/>
          <w:b/>
          <w:bCs/>
          <w:i/>
          <w:iCs/>
          <w:color w:val="000000"/>
          <w:sz w:val="20"/>
          <w:szCs w:val="20"/>
        </w:rPr>
        <w:t>Inflation</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The primary inflationary factors affecting our operations are food, labor costs, energy costs and mater</w:t>
      </w:r>
      <w:r>
        <w:rPr>
          <w:rFonts w:eastAsia="Times New Roman"/>
          <w:color w:val="000000"/>
          <w:sz w:val="20"/>
          <w:szCs w:val="20"/>
        </w:rPr>
        <w:t>ials used in the construction of new restaurants. Increases in the minimum wage requirements directly affect our labor costs. Many of our leases require us to pay taxes, maintenance, repairs, insurance and utilities, all of which are generally subject</w:t>
      </w:r>
      <w:r>
        <w:rPr>
          <w:rFonts w:eastAsia="Times New Roman"/>
          <w:color w:val="000000"/>
          <w:sz w:val="20"/>
          <w:szCs w:val="20"/>
          <w:shd w:val="clear" w:color="auto" w:fill="FFFFFF"/>
        </w:rPr>
        <w:t xml:space="preserve"> to i</w:t>
      </w:r>
      <w:r>
        <w:rPr>
          <w:rFonts w:eastAsia="Times New Roman"/>
          <w:color w:val="000000"/>
          <w:sz w:val="20"/>
          <w:szCs w:val="20"/>
          <w:shd w:val="clear" w:color="auto" w:fill="FFFFFF"/>
        </w:rPr>
        <w:t>nflationary increases. Finally, the cost of constructing our restaurants is subject to inflationary increases in the costs of labor and material which we experienced in the first two quarters of 2022. Over the past five years, inflation has not significant</w:t>
      </w:r>
      <w:r>
        <w:rPr>
          <w:rFonts w:eastAsia="Times New Roman"/>
          <w:color w:val="000000"/>
          <w:sz w:val="20"/>
          <w:szCs w:val="20"/>
          <w:shd w:val="clear" w:color="auto" w:fill="FFFFFF"/>
        </w:rPr>
        <w:t xml:space="preserve">ly affected our operating results with the exception of the current commodity and construction inflation experienced in the first two quarters of 2022 and increased wage inflation that affected our results from 2017 through the first two quarters of 2022. </w:t>
      </w:r>
      <w:r>
        <w:rPr>
          <w:rFonts w:eastAsia="Times New Roman"/>
          <w:color w:val="000000"/>
          <w:sz w:val="20"/>
          <w:szCs w:val="20"/>
          <w:shd w:val="clear" w:color="auto" w:fill="FFFFFF"/>
        </w:rPr>
        <w:t xml:space="preserve">We expect inflation may continue to affect our results in the near future. </w:t>
      </w:r>
    </w:p>
    <w:p w:rsidR="00000000" w:rsidRDefault="00BC22AF">
      <w:pPr>
        <w:jc w:val="both"/>
        <w:rPr>
          <w:rFonts w:eastAsia="Times New Roman"/>
        </w:rPr>
      </w:pPr>
    </w:p>
    <w:p w:rsidR="00000000" w:rsidRDefault="00BC22AF">
      <w:pPr>
        <w:divId w:val="674309662"/>
        <w:rPr>
          <w:rFonts w:eastAsia="Times New Roman"/>
        </w:rPr>
      </w:pPr>
      <w:r>
        <w:rPr>
          <w:rFonts w:eastAsia="Times New Roman"/>
          <w:b/>
          <w:bCs/>
          <w:color w:val="000000"/>
          <w:sz w:val="20"/>
          <w:szCs w:val="20"/>
        </w:rPr>
        <w:t>Item 4. Controls and Procedures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O</w:t>
      </w:r>
      <w:r>
        <w:rPr>
          <w:rFonts w:eastAsia="Times New Roman"/>
          <w:color w:val="000000"/>
          <w:sz w:val="20"/>
          <w:szCs w:val="20"/>
          <w:shd w:val="clear" w:color="auto" w:fill="FFFFFF"/>
        </w:rPr>
        <w:t>ur management carried out an evaluation, under the supervision and with the participation of our chief executive officer and chief financial officer, of the effectiven</w:t>
      </w:r>
      <w:r>
        <w:rPr>
          <w:rFonts w:eastAsia="Times New Roman"/>
          <w:color w:val="000000"/>
          <w:sz w:val="20"/>
          <w:szCs w:val="20"/>
        </w:rPr>
        <w:t xml:space="preserve">ess of the design and operation of our disclosure controls and procedures as of June 28, </w:t>
      </w:r>
      <w:r>
        <w:rPr>
          <w:rFonts w:eastAsia="Times New Roman"/>
          <w:color w:val="000000"/>
          <w:sz w:val="20"/>
          <w:szCs w:val="20"/>
        </w:rPr>
        <w:t>2022, pursuant to Rule 13a-15 under the Exchange Act. In designing and evaluating the disclosure controls and procedures, management recognized that any controls and procedures, no matter how well designed and operated, can provide only reasonable assuranc</w:t>
      </w:r>
      <w:r>
        <w:rPr>
          <w:rFonts w:eastAsia="Times New Roman"/>
          <w:color w:val="000000"/>
          <w:sz w:val="20"/>
          <w:szCs w:val="20"/>
        </w:rPr>
        <w:t>e of achieving the desired control objectives. In addition, the design of disclosure controls and procedures must reflect the fact that there are resource constraints and that management is required to apply its judgment in evaluating the benefits of possi</w:t>
      </w:r>
      <w:r>
        <w:rPr>
          <w:rFonts w:eastAsia="Times New Roman"/>
          <w:color w:val="000000"/>
          <w:sz w:val="20"/>
          <w:szCs w:val="20"/>
        </w:rPr>
        <w:t>ble controls and procedures relative to their costs.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Based on that evaluation, our chief executive officer and chief financial officer</w:t>
      </w:r>
      <w:r>
        <w:rPr>
          <w:rFonts w:eastAsia="Times New Roman"/>
          <w:color w:val="000000"/>
          <w:sz w:val="20"/>
          <w:szCs w:val="20"/>
          <w:shd w:val="clear" w:color="auto" w:fill="FFFFFF"/>
        </w:rPr>
        <w:t xml:space="preserve"> concluded</w:t>
      </w:r>
      <w:r>
        <w:rPr>
          <w:rFonts w:eastAsia="Times New Roman"/>
          <w:color w:val="000000"/>
          <w:sz w:val="20"/>
          <w:szCs w:val="20"/>
        </w:rPr>
        <w:t xml:space="preserve"> that our disclosure controls and procedures are effective to provide reasonable assurance that information we</w:t>
      </w:r>
      <w:r>
        <w:rPr>
          <w:rFonts w:eastAsia="Times New Roman"/>
          <w:color w:val="000000"/>
          <w:sz w:val="20"/>
          <w:szCs w:val="20"/>
        </w:rPr>
        <w:t xml:space="preserve"> are required to disclose in reports that we file or submit under the Exchange Act is recorded, processed, summarized and reported within the time periods specified in SEC rules </w:t>
      </w:r>
    </w:p>
    <w:p w:rsidR="00000000" w:rsidRDefault="00BC22AF">
      <w:pPr>
        <w:jc w:val="center"/>
        <w:divId w:val="1638677534"/>
        <w:rPr>
          <w:rFonts w:eastAsia="Times New Roman"/>
        </w:rPr>
      </w:pPr>
      <w:r>
        <w:rPr>
          <w:rFonts w:eastAsia="Times New Roman"/>
          <w:color w:val="000000"/>
          <w:sz w:val="20"/>
          <w:szCs w:val="20"/>
        </w:rPr>
        <w:t>26</w:t>
      </w:r>
    </w:p>
    <w:p w:rsidR="00000000" w:rsidRDefault="00BC22AF">
      <w:pPr>
        <w:rPr>
          <w:rFonts w:eastAsia="Times New Roman"/>
        </w:rPr>
      </w:pPr>
      <w:r>
        <w:rPr>
          <w:rFonts w:eastAsia="Times New Roman"/>
        </w:rPr>
        <w:pict>
          <v:rect id="_x0000_i1051" style="width:0;height:1.5pt" o:hralign="center" o:hrstd="t" o:hr="t" fillcolor="#a0a0a0" stroked="f"/>
        </w:pict>
      </w:r>
    </w:p>
    <w:p w:rsidR="00000000" w:rsidRDefault="00BC22AF">
      <w:pPr>
        <w:divId w:val="1671517945"/>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both"/>
        <w:rPr>
          <w:rFonts w:eastAsia="Times New Roman"/>
        </w:rPr>
      </w:pPr>
      <w:r>
        <w:rPr>
          <w:rFonts w:eastAsia="Times New Roman"/>
          <w:color w:val="000000"/>
          <w:sz w:val="20"/>
          <w:szCs w:val="20"/>
        </w:rPr>
        <w:t>and forms, and that such information is accumulated and communicated to our management, including our chief executive officer and chief financial officer, as appropriate, to allow timely decisions regarding required d</w:t>
      </w:r>
      <w:r>
        <w:rPr>
          <w:rFonts w:eastAsia="Times New Roman"/>
          <w:color w:val="000000"/>
          <w:sz w:val="20"/>
          <w:szCs w:val="20"/>
        </w:rPr>
        <w:t>isclosure.</w:t>
      </w:r>
    </w:p>
    <w:p w:rsidR="00000000" w:rsidRDefault="00BC22AF">
      <w:pPr>
        <w:divId w:val="789130212"/>
        <w:rPr>
          <w:rFonts w:eastAsia="Times New Roman"/>
        </w:rPr>
      </w:pPr>
    </w:p>
    <w:p w:rsidR="00000000" w:rsidRDefault="00BC22AF">
      <w:pPr>
        <w:divId w:val="1368413314"/>
        <w:rPr>
          <w:rFonts w:eastAsia="Times New Roman"/>
        </w:rPr>
      </w:pPr>
      <w:r>
        <w:rPr>
          <w:rFonts w:eastAsia="Times New Roman"/>
          <w:b/>
          <w:bCs/>
          <w:i/>
          <w:iCs/>
          <w:color w:val="000000"/>
          <w:sz w:val="20"/>
          <w:szCs w:val="20"/>
        </w:rPr>
        <w:t>Changes in Internal Control over Financial Reporting</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There have been no changes in our internal control over financial reporting (as defined in Rule 13a-15(f) of the Exchange Act) that occurred during our most recent fiscal quarter that have</w:t>
      </w:r>
      <w:r>
        <w:rPr>
          <w:rFonts w:eastAsia="Times New Roman"/>
          <w:color w:val="000000"/>
          <w:sz w:val="20"/>
          <w:szCs w:val="20"/>
        </w:rPr>
        <w:t xml:space="preserve"> materially affected, or are reasonably likely to materially affect, our internal control over financial reporting.</w:t>
      </w:r>
    </w:p>
    <w:p w:rsidR="00000000" w:rsidRDefault="00BC22AF">
      <w:pPr>
        <w:jc w:val="center"/>
        <w:divId w:val="768232647"/>
        <w:rPr>
          <w:rFonts w:eastAsia="Times New Roman"/>
        </w:rPr>
      </w:pPr>
      <w:r>
        <w:rPr>
          <w:rFonts w:eastAsia="Times New Roman"/>
          <w:color w:val="000000"/>
          <w:sz w:val="20"/>
          <w:szCs w:val="20"/>
        </w:rPr>
        <w:t>27</w:t>
      </w:r>
    </w:p>
    <w:p w:rsidR="00000000" w:rsidRDefault="00BC22AF">
      <w:pPr>
        <w:rPr>
          <w:rFonts w:eastAsia="Times New Roman"/>
        </w:rPr>
      </w:pPr>
      <w:r>
        <w:rPr>
          <w:rFonts w:eastAsia="Times New Roman"/>
        </w:rPr>
        <w:pict>
          <v:rect id="_x0000_i1052" style="width:0;height:1.5pt" o:hralign="center" o:hrstd="t" o:hr="t" fillcolor="#a0a0a0" stroked="f"/>
        </w:pict>
      </w:r>
    </w:p>
    <w:p w:rsidR="00000000" w:rsidRDefault="00BC22AF">
      <w:pPr>
        <w:divId w:val="320813195"/>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both"/>
        <w:rPr>
          <w:rFonts w:eastAsia="Times New Roman"/>
        </w:rPr>
      </w:pPr>
    </w:p>
    <w:p w:rsidR="00000000" w:rsidRDefault="00BC22AF">
      <w:pPr>
        <w:jc w:val="both"/>
        <w:rPr>
          <w:rFonts w:eastAsia="Times New Roman"/>
        </w:rPr>
      </w:pPr>
      <w:r>
        <w:rPr>
          <w:rFonts w:eastAsia="Times New Roman"/>
          <w:b/>
          <w:bCs/>
          <w:color w:val="000000"/>
          <w:sz w:val="20"/>
          <w:szCs w:val="20"/>
        </w:rPr>
        <w:t>PART II</w:t>
      </w:r>
    </w:p>
    <w:p w:rsidR="00000000" w:rsidRDefault="00BC22AF">
      <w:pPr>
        <w:divId w:val="1548562632"/>
        <w:rPr>
          <w:rFonts w:eastAsia="Times New Roman"/>
        </w:rPr>
      </w:pPr>
    </w:p>
    <w:p w:rsidR="00000000" w:rsidRDefault="00BC22AF">
      <w:pPr>
        <w:jc w:val="both"/>
        <w:rPr>
          <w:rFonts w:eastAsia="Times New Roman"/>
        </w:rPr>
      </w:pPr>
      <w:r>
        <w:rPr>
          <w:rFonts w:eastAsia="Times New Roman"/>
          <w:b/>
          <w:bCs/>
          <w:color w:val="000000"/>
          <w:sz w:val="20"/>
          <w:szCs w:val="20"/>
        </w:rPr>
        <w:t>Item 1. Legal Proceedings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We are currently not a party to any material legal proceedings. From time to time, we may become involved in legal proceedings arising in t</w:t>
      </w:r>
      <w:r>
        <w:rPr>
          <w:rFonts w:eastAsia="Times New Roman"/>
          <w:color w:val="000000"/>
          <w:sz w:val="20"/>
          <w:szCs w:val="20"/>
        </w:rPr>
        <w:t>he ordinary course of our business. Regardless of outcome, litigation can have an adverse impact on us due to defense and settlement costs, diversion of management resources, negative publicity, reputational harm and other factors, and there can be no assu</w:t>
      </w:r>
      <w:r>
        <w:rPr>
          <w:rFonts w:eastAsia="Times New Roman"/>
          <w:color w:val="000000"/>
          <w:sz w:val="20"/>
          <w:szCs w:val="20"/>
        </w:rPr>
        <w:t>rances that favorable outcomes will be obtained.</w:t>
      </w:r>
    </w:p>
    <w:p w:rsidR="00000000" w:rsidRDefault="00BC22AF">
      <w:pPr>
        <w:jc w:val="both"/>
        <w:rPr>
          <w:rFonts w:eastAsia="Times New Roman"/>
        </w:rPr>
      </w:pPr>
    </w:p>
    <w:p w:rsidR="00000000" w:rsidRDefault="00BC22AF">
      <w:pPr>
        <w:jc w:val="both"/>
        <w:rPr>
          <w:rFonts w:eastAsia="Times New Roman"/>
        </w:rPr>
      </w:pPr>
      <w:r>
        <w:rPr>
          <w:rFonts w:eastAsia="Times New Roman"/>
          <w:b/>
          <w:bCs/>
          <w:color w:val="000000"/>
          <w:sz w:val="20"/>
          <w:szCs w:val="20"/>
        </w:rPr>
        <w:t>Item 1A. Risk Factors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A description of the risk factors associated with our business is contained in the “Risk Factors” section of our</w:t>
      </w:r>
      <w:r>
        <w:rPr>
          <w:rFonts w:eastAsia="Times New Roman"/>
          <w:i/>
          <w:iCs/>
          <w:color w:val="000000"/>
          <w:sz w:val="20"/>
          <w:szCs w:val="20"/>
        </w:rPr>
        <w:t xml:space="preserve"> </w:t>
      </w:r>
      <w:r>
        <w:rPr>
          <w:rFonts w:eastAsia="Times New Roman"/>
          <w:color w:val="000000"/>
          <w:sz w:val="20"/>
          <w:szCs w:val="20"/>
        </w:rPr>
        <w:t>Annual Report on Form 10-K for our fiscal year ended December 28, 20</w:t>
      </w:r>
      <w:r>
        <w:rPr>
          <w:rFonts w:eastAsia="Times New Roman"/>
          <w:color w:val="000000"/>
          <w:sz w:val="20"/>
          <w:szCs w:val="20"/>
        </w:rPr>
        <w:t>21. There have been no material changes to our Risk Factors as previously reported in our Annual Report on Form 10-K for our fiscal year ended December 28, 2021</w:t>
      </w:r>
      <w:r>
        <w:rPr>
          <w:rFonts w:eastAsia="Times New Roman"/>
          <w:color w:val="000000"/>
          <w:sz w:val="20"/>
          <w:szCs w:val="20"/>
          <w:shd w:val="clear" w:color="auto" w:fill="FFFFFF"/>
        </w:rPr>
        <w:t>.</w:t>
      </w:r>
    </w:p>
    <w:p w:rsidR="00000000" w:rsidRDefault="00BC22AF">
      <w:pPr>
        <w:jc w:val="both"/>
        <w:rPr>
          <w:rFonts w:eastAsia="Times New Roman"/>
        </w:rPr>
      </w:pPr>
    </w:p>
    <w:p w:rsidR="00000000" w:rsidRDefault="00BC22AF">
      <w:pPr>
        <w:jc w:val="both"/>
        <w:rPr>
          <w:rFonts w:eastAsia="Times New Roman"/>
        </w:rPr>
      </w:pPr>
      <w:r>
        <w:rPr>
          <w:rFonts w:eastAsia="Times New Roman"/>
          <w:b/>
          <w:bCs/>
          <w:color w:val="000000"/>
          <w:sz w:val="20"/>
          <w:szCs w:val="20"/>
        </w:rPr>
        <w:t>Item 2. Unregistered Sales of Equity Securities and Use of Proceeds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None.</w:t>
      </w:r>
    </w:p>
    <w:p w:rsidR="00000000" w:rsidRDefault="00BC22AF">
      <w:pPr>
        <w:jc w:val="both"/>
        <w:rPr>
          <w:rFonts w:eastAsia="Times New Roman"/>
        </w:rPr>
      </w:pPr>
    </w:p>
    <w:p w:rsidR="00000000" w:rsidRDefault="00BC22AF">
      <w:pPr>
        <w:jc w:val="both"/>
        <w:rPr>
          <w:rFonts w:eastAsia="Times New Roman"/>
        </w:rPr>
      </w:pPr>
      <w:r>
        <w:rPr>
          <w:rFonts w:eastAsia="Times New Roman"/>
          <w:b/>
          <w:bCs/>
          <w:color w:val="000000"/>
          <w:sz w:val="20"/>
          <w:szCs w:val="20"/>
        </w:rPr>
        <w:t>Item 3. Defaults upon Senior Securities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None.</w:t>
      </w:r>
    </w:p>
    <w:p w:rsidR="00000000" w:rsidRDefault="00BC22AF">
      <w:pPr>
        <w:jc w:val="both"/>
        <w:rPr>
          <w:rFonts w:eastAsia="Times New Roman"/>
        </w:rPr>
      </w:pPr>
    </w:p>
    <w:p w:rsidR="00000000" w:rsidRDefault="00BC22AF">
      <w:pPr>
        <w:jc w:val="both"/>
        <w:rPr>
          <w:rFonts w:eastAsia="Times New Roman"/>
        </w:rPr>
      </w:pPr>
      <w:r>
        <w:rPr>
          <w:rFonts w:eastAsia="Times New Roman"/>
          <w:b/>
          <w:bCs/>
          <w:color w:val="000000"/>
          <w:sz w:val="20"/>
          <w:szCs w:val="20"/>
        </w:rPr>
        <w:t>Item 4. Mine Safety Disclosures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Not applicable.</w:t>
      </w:r>
    </w:p>
    <w:p w:rsidR="00000000" w:rsidRDefault="00BC22AF">
      <w:pPr>
        <w:jc w:val="both"/>
        <w:rPr>
          <w:rFonts w:eastAsia="Times New Roman"/>
        </w:rPr>
      </w:pPr>
    </w:p>
    <w:p w:rsidR="00000000" w:rsidRDefault="00BC22AF">
      <w:pPr>
        <w:jc w:val="both"/>
        <w:rPr>
          <w:rFonts w:eastAsia="Times New Roman"/>
        </w:rPr>
      </w:pPr>
      <w:r>
        <w:rPr>
          <w:rFonts w:eastAsia="Times New Roman"/>
          <w:b/>
          <w:bCs/>
          <w:color w:val="000000"/>
          <w:sz w:val="20"/>
          <w:szCs w:val="20"/>
        </w:rPr>
        <w:t>Item 5. Other Information</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 xml:space="preserve">None. </w:t>
      </w:r>
    </w:p>
    <w:p w:rsidR="00000000" w:rsidRDefault="00BC22AF">
      <w:pPr>
        <w:jc w:val="both"/>
        <w:rPr>
          <w:rFonts w:eastAsia="Times New Roman"/>
        </w:rPr>
      </w:pPr>
    </w:p>
    <w:p w:rsidR="00000000" w:rsidRDefault="00BC22AF">
      <w:pPr>
        <w:jc w:val="center"/>
        <w:divId w:val="42562259"/>
        <w:rPr>
          <w:rFonts w:eastAsia="Times New Roman"/>
        </w:rPr>
      </w:pPr>
      <w:r>
        <w:rPr>
          <w:rFonts w:eastAsia="Times New Roman"/>
          <w:color w:val="000000"/>
          <w:sz w:val="20"/>
          <w:szCs w:val="20"/>
        </w:rPr>
        <w:t>28</w:t>
      </w:r>
    </w:p>
    <w:p w:rsidR="00000000" w:rsidRDefault="00BC22AF">
      <w:pPr>
        <w:rPr>
          <w:rFonts w:eastAsia="Times New Roman"/>
        </w:rPr>
      </w:pPr>
      <w:r>
        <w:rPr>
          <w:rFonts w:eastAsia="Times New Roman"/>
        </w:rPr>
        <w:pict>
          <v:rect id="_x0000_i1053" style="width:0;height:1.5pt" o:hralign="center" o:hrstd="t" o:hr="t" fillcolor="#a0a0a0" stroked="f"/>
        </w:pict>
      </w:r>
    </w:p>
    <w:p w:rsidR="00000000" w:rsidRDefault="00BC22AF">
      <w:pPr>
        <w:divId w:val="617952510"/>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both"/>
        <w:rPr>
          <w:rFonts w:eastAsia="Times New Roman"/>
        </w:rPr>
      </w:pPr>
      <w:r>
        <w:rPr>
          <w:rFonts w:eastAsia="Times New Roman"/>
          <w:b/>
          <w:bCs/>
          <w:color w:val="000000"/>
          <w:sz w:val="20"/>
          <w:szCs w:val="20"/>
        </w:rPr>
        <w:t>I</w:t>
      </w:r>
      <w:r>
        <w:rPr>
          <w:rFonts w:eastAsia="Times New Roman"/>
          <w:b/>
          <w:bCs/>
          <w:color w:val="000000"/>
          <w:sz w:val="20"/>
          <w:szCs w:val="20"/>
        </w:rPr>
        <w:t xml:space="preserve">tem 6. Exhibit Index </w:t>
      </w:r>
    </w:p>
    <w:tbl>
      <w:tblPr>
        <w:tblW w:w="4985" w:type="pct"/>
        <w:tblCellMar>
          <w:top w:w="15" w:type="dxa"/>
          <w:left w:w="15" w:type="dxa"/>
          <w:bottom w:w="15" w:type="dxa"/>
          <w:right w:w="15" w:type="dxa"/>
        </w:tblCellMar>
        <w:tblLook w:val="04A0" w:firstRow="1" w:lastRow="0" w:firstColumn="1" w:lastColumn="0" w:noHBand="0" w:noVBand="1"/>
      </w:tblPr>
      <w:tblGrid>
        <w:gridCol w:w="80"/>
        <w:gridCol w:w="703"/>
        <w:gridCol w:w="37"/>
        <w:gridCol w:w="36"/>
        <w:gridCol w:w="56"/>
        <w:gridCol w:w="36"/>
        <w:gridCol w:w="61"/>
        <w:gridCol w:w="7235"/>
        <w:gridCol w:w="37"/>
      </w:tblGrid>
      <w:tr w:rsidR="00000000">
        <w:tc>
          <w:tcPr>
            <w:tcW w:w="50" w:type="pct"/>
            <w:vAlign w:val="center"/>
            <w:hideMark/>
          </w:tcPr>
          <w:p w:rsidR="00000000" w:rsidRDefault="00BC22AF">
            <w:pPr>
              <w:jc w:val="both"/>
              <w:rPr>
                <w:rFonts w:eastAsia="Times New Roman"/>
              </w:rPr>
            </w:pPr>
          </w:p>
        </w:tc>
        <w:tc>
          <w:tcPr>
            <w:tcW w:w="443"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5"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c>
          <w:tcPr>
            <w:tcW w:w="50" w:type="pct"/>
            <w:vAlign w:val="center"/>
            <w:hideMark/>
          </w:tcPr>
          <w:p w:rsidR="00000000" w:rsidRDefault="00BC22AF">
            <w:pPr>
              <w:spacing w:after="100"/>
              <w:rPr>
                <w:rFonts w:eastAsia="Times New Roman"/>
                <w:sz w:val="20"/>
                <w:szCs w:val="20"/>
              </w:rPr>
            </w:pPr>
          </w:p>
        </w:tc>
        <w:tc>
          <w:tcPr>
            <w:tcW w:w="4380" w:type="pct"/>
            <w:vAlign w:val="center"/>
            <w:hideMark/>
          </w:tcPr>
          <w:p w:rsidR="00000000" w:rsidRDefault="00BC22AF">
            <w:pPr>
              <w:spacing w:after="100"/>
              <w:rPr>
                <w:rFonts w:eastAsia="Times New Roman"/>
                <w:sz w:val="20"/>
                <w:szCs w:val="20"/>
              </w:rPr>
            </w:pPr>
          </w:p>
        </w:tc>
        <w:tc>
          <w:tcPr>
            <w:tcW w:w="5" w:type="pct"/>
            <w:vAlign w:val="center"/>
            <w:hideMark/>
          </w:tcPr>
          <w:p w:rsidR="00000000" w:rsidRDefault="00BC22AF">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20"/>
                <w:szCs w:val="20"/>
              </w:rPr>
              <w:t>Exhibit Number</w:t>
            </w:r>
          </w:p>
        </w:tc>
        <w:tc>
          <w:tcPr>
            <w:tcW w:w="0" w:type="auto"/>
            <w:gridSpan w:val="3"/>
            <w:tcMar>
              <w:top w:w="0" w:type="dxa"/>
              <w:left w:w="20" w:type="dxa"/>
              <w:bottom w:w="0" w:type="dxa"/>
              <w:right w:w="20" w:type="dxa"/>
            </w:tcMar>
            <w:vAlign w:val="center"/>
            <w:hideMark/>
          </w:tcPr>
          <w:p w:rsidR="00000000" w:rsidRDefault="00BC22A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jc w:val="center"/>
              <w:rPr>
                <w:rFonts w:eastAsia="Times New Roman"/>
              </w:rPr>
            </w:pPr>
            <w:r>
              <w:rPr>
                <w:rFonts w:eastAsia="Times New Roman"/>
                <w:b/>
                <w:bCs/>
                <w:color w:val="000000"/>
                <w:sz w:val="20"/>
                <w:szCs w:val="20"/>
              </w:rPr>
              <w:t>Description of Exhibit</w:t>
            </w:r>
          </w:p>
        </w:tc>
      </w:tr>
      <w:tr w:rsidR="00000000">
        <w:tc>
          <w:tcPr>
            <w:tcW w:w="0" w:type="auto"/>
            <w:gridSpan w:val="2"/>
            <w:tcMar>
              <w:top w:w="30" w:type="dxa"/>
              <w:left w:w="20" w:type="dxa"/>
              <w:bottom w:w="30" w:type="dxa"/>
              <w:right w:w="0" w:type="dxa"/>
            </w:tcMar>
            <w:hideMark/>
          </w:tcPr>
          <w:p w:rsidR="00000000" w:rsidRDefault="00BC22AF">
            <w:pPr>
              <w:spacing w:after="100"/>
              <w:jc w:val="right"/>
              <w:rPr>
                <w:rFonts w:eastAsia="Times New Roman"/>
              </w:rPr>
            </w:pPr>
            <w:r>
              <w:rPr>
                <w:rFonts w:eastAsia="Times New Roman"/>
                <w:color w:val="000000"/>
                <w:sz w:val="20"/>
                <w:szCs w:val="20"/>
              </w:rPr>
              <w:t>10.1 </w:t>
            </w:r>
          </w:p>
        </w:tc>
        <w:tc>
          <w:tcPr>
            <w:tcW w:w="0" w:type="auto"/>
            <w:tcMar>
              <w:top w:w="30" w:type="dxa"/>
              <w:left w:w="0" w:type="dxa"/>
              <w:bottom w:w="30" w:type="dxa"/>
              <w:right w:w="20" w:type="dxa"/>
            </w:tcMar>
            <w:hideMark/>
          </w:tcPr>
          <w:p w:rsidR="00000000" w:rsidRDefault="00BC22A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BC22AF">
            <w:pPr>
              <w:spacing w:after="100"/>
              <w:jc w:val="both"/>
              <w:rPr>
                <w:rFonts w:eastAsia="Times New Roman"/>
              </w:rPr>
            </w:pPr>
            <w:hyperlink r:id="rId4" w:history="1">
              <w:r>
                <w:rPr>
                  <w:rStyle w:val="a3"/>
                  <w:rFonts w:eastAsia="Times New Roman"/>
                  <w:sz w:val="20"/>
                  <w:szCs w:val="20"/>
                </w:rPr>
                <w:t>Third Amendment to Credit Agreement dated July 27, 2022, by and among Noodles &amp; Company, each of the Guarantors signatory thereto, U.S. Bank National Association, as Administrative Agent, L/C Issuer and Swing Line Issuer and the lenders signatory thereto</w:t>
              </w:r>
            </w:hyperlink>
          </w:p>
        </w:tc>
      </w:tr>
      <w:tr w:rsidR="00000000">
        <w:tc>
          <w:tcPr>
            <w:tcW w:w="0" w:type="auto"/>
            <w:gridSpan w:val="2"/>
            <w:tcMar>
              <w:top w:w="30" w:type="dxa"/>
              <w:left w:w="20" w:type="dxa"/>
              <w:bottom w:w="30" w:type="dxa"/>
              <w:right w:w="0" w:type="dxa"/>
            </w:tcMar>
            <w:hideMark/>
          </w:tcPr>
          <w:p w:rsidR="00000000" w:rsidRDefault="00BC22AF">
            <w:pPr>
              <w:spacing w:after="100"/>
              <w:jc w:val="right"/>
              <w:rPr>
                <w:rFonts w:eastAsia="Times New Roman"/>
              </w:rPr>
            </w:pPr>
            <w:r>
              <w:rPr>
                <w:rFonts w:eastAsia="Times New Roman"/>
                <w:color w:val="000000"/>
                <w:sz w:val="20"/>
                <w:szCs w:val="20"/>
              </w:rPr>
              <w:t>31.1 </w:t>
            </w:r>
          </w:p>
        </w:tc>
        <w:tc>
          <w:tcPr>
            <w:tcW w:w="0" w:type="auto"/>
            <w:tcMar>
              <w:top w:w="30" w:type="dxa"/>
              <w:left w:w="0" w:type="dxa"/>
              <w:bottom w:w="30" w:type="dxa"/>
              <w:right w:w="20" w:type="dxa"/>
            </w:tcMar>
            <w:hideMark/>
          </w:tcPr>
          <w:p w:rsidR="00000000" w:rsidRDefault="00BC22A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BC22AF">
            <w:pPr>
              <w:spacing w:after="100"/>
              <w:divId w:val="1746486971"/>
              <w:rPr>
                <w:rFonts w:eastAsia="Times New Roman"/>
              </w:rPr>
            </w:pPr>
            <w:hyperlink r:id="rId5" w:history="1">
              <w:r>
                <w:rPr>
                  <w:rStyle w:val="a3"/>
                  <w:rFonts w:eastAsia="Times New Roman"/>
                  <w:sz w:val="20"/>
                  <w:szCs w:val="20"/>
                </w:rPr>
                <w:t>Certification of Principal Executive Officer pursuant to Section 302 of the Sarbanes-Oxley Act of 2002</w:t>
              </w:r>
            </w:hyperlink>
          </w:p>
        </w:tc>
      </w:tr>
      <w:tr w:rsidR="00000000">
        <w:tc>
          <w:tcPr>
            <w:tcW w:w="0" w:type="auto"/>
            <w:gridSpan w:val="2"/>
            <w:tcMar>
              <w:top w:w="30" w:type="dxa"/>
              <w:left w:w="20" w:type="dxa"/>
              <w:bottom w:w="30" w:type="dxa"/>
              <w:right w:w="0" w:type="dxa"/>
            </w:tcMar>
            <w:hideMark/>
          </w:tcPr>
          <w:p w:rsidR="00000000" w:rsidRDefault="00BC22AF">
            <w:pPr>
              <w:spacing w:after="100"/>
              <w:jc w:val="right"/>
              <w:rPr>
                <w:rFonts w:eastAsia="Times New Roman"/>
              </w:rPr>
            </w:pPr>
            <w:r>
              <w:rPr>
                <w:rFonts w:eastAsia="Times New Roman"/>
                <w:color w:val="000000"/>
                <w:sz w:val="20"/>
                <w:szCs w:val="20"/>
              </w:rPr>
              <w:t>31.2 </w:t>
            </w:r>
          </w:p>
        </w:tc>
        <w:tc>
          <w:tcPr>
            <w:tcW w:w="0" w:type="auto"/>
            <w:tcMar>
              <w:top w:w="30" w:type="dxa"/>
              <w:left w:w="0" w:type="dxa"/>
              <w:bottom w:w="30" w:type="dxa"/>
              <w:right w:w="20" w:type="dxa"/>
            </w:tcMar>
            <w:hideMark/>
          </w:tcPr>
          <w:p w:rsidR="00000000" w:rsidRDefault="00BC22A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BC22AF">
            <w:pPr>
              <w:spacing w:after="100"/>
              <w:divId w:val="386612883"/>
              <w:rPr>
                <w:rFonts w:eastAsia="Times New Roman"/>
              </w:rPr>
            </w:pPr>
            <w:hyperlink r:id="rId6" w:history="1">
              <w:r>
                <w:rPr>
                  <w:rStyle w:val="a3"/>
                  <w:rFonts w:eastAsia="Times New Roman"/>
                  <w:sz w:val="20"/>
                  <w:szCs w:val="20"/>
                </w:rPr>
                <w:t>Certification of Principal Financial Officer purs</w:t>
              </w:r>
              <w:r>
                <w:rPr>
                  <w:rStyle w:val="a3"/>
                  <w:rFonts w:eastAsia="Times New Roman"/>
                  <w:sz w:val="20"/>
                  <w:szCs w:val="20"/>
                </w:rPr>
                <w:t>uant to Section 302 of the Sarbanes-Oxley Act of 2002</w:t>
              </w:r>
            </w:hyperlink>
          </w:p>
        </w:tc>
      </w:tr>
      <w:tr w:rsidR="00000000">
        <w:tc>
          <w:tcPr>
            <w:tcW w:w="0" w:type="auto"/>
            <w:gridSpan w:val="2"/>
            <w:tcMar>
              <w:top w:w="30" w:type="dxa"/>
              <w:left w:w="20" w:type="dxa"/>
              <w:bottom w:w="30" w:type="dxa"/>
              <w:right w:w="0" w:type="dxa"/>
            </w:tcMar>
            <w:hideMark/>
          </w:tcPr>
          <w:p w:rsidR="00000000" w:rsidRDefault="00BC22AF">
            <w:pPr>
              <w:spacing w:after="100"/>
              <w:jc w:val="right"/>
              <w:rPr>
                <w:rFonts w:eastAsia="Times New Roman"/>
              </w:rPr>
            </w:pPr>
            <w:r>
              <w:rPr>
                <w:rFonts w:eastAsia="Times New Roman"/>
                <w:color w:val="000000"/>
                <w:sz w:val="20"/>
                <w:szCs w:val="20"/>
              </w:rPr>
              <w:t>32.1 </w:t>
            </w:r>
          </w:p>
        </w:tc>
        <w:tc>
          <w:tcPr>
            <w:tcW w:w="0" w:type="auto"/>
            <w:tcMar>
              <w:top w:w="30" w:type="dxa"/>
              <w:left w:w="0" w:type="dxa"/>
              <w:bottom w:w="30" w:type="dxa"/>
              <w:right w:w="20" w:type="dxa"/>
            </w:tcMar>
            <w:hideMark/>
          </w:tcPr>
          <w:p w:rsidR="00000000" w:rsidRDefault="00BC22A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BC22AF">
            <w:pPr>
              <w:spacing w:after="100"/>
              <w:divId w:val="972175987"/>
              <w:rPr>
                <w:rFonts w:eastAsia="Times New Roman"/>
              </w:rPr>
            </w:pPr>
            <w:hyperlink r:id="rId7" w:history="1">
              <w:r>
                <w:rPr>
                  <w:rStyle w:val="a3"/>
                  <w:rFonts w:eastAsia="Times New Roman"/>
                  <w:sz w:val="20"/>
                  <w:szCs w:val="20"/>
                </w:rPr>
                <w:t>Certification of Principal Executive Officer and Principal Financial Officer pursuant to Section 906 of the Sarbanes-Oxley Act of 2002</w:t>
              </w:r>
            </w:hyperlink>
            <w:r>
              <w:rPr>
                <w:rFonts w:eastAsia="Times New Roman"/>
                <w:color w:val="000000"/>
                <w:sz w:val="20"/>
                <w:szCs w:val="20"/>
              </w:rPr>
              <w:t xml:space="preserve"> (furnished herewith)</w:t>
            </w:r>
          </w:p>
        </w:tc>
      </w:tr>
      <w:tr w:rsidR="00000000">
        <w:tc>
          <w:tcPr>
            <w:tcW w:w="0" w:type="auto"/>
            <w:gridSpan w:val="3"/>
            <w:tcMar>
              <w:top w:w="30" w:type="dxa"/>
              <w:left w:w="20" w:type="dxa"/>
              <w:bottom w:w="30" w:type="dxa"/>
              <w:right w:w="20" w:type="dxa"/>
            </w:tcMar>
            <w:hideMark/>
          </w:tcPr>
          <w:p w:rsidR="00000000" w:rsidRDefault="00BC22AF">
            <w:pPr>
              <w:spacing w:after="100"/>
              <w:jc w:val="right"/>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Inline XBRL Instance Document - the instance document does not appear in the Interac</w:t>
            </w:r>
            <w:r>
              <w:rPr>
                <w:rFonts w:eastAsia="Times New Roman"/>
                <w:color w:val="000000"/>
                <w:sz w:val="20"/>
                <w:szCs w:val="20"/>
              </w:rPr>
              <w:t>tive Data File because its XBRL tags are embedded within the Inline XBRL document</w:t>
            </w:r>
          </w:p>
        </w:tc>
      </w:tr>
      <w:tr w:rsidR="00000000">
        <w:tc>
          <w:tcPr>
            <w:tcW w:w="0" w:type="auto"/>
            <w:gridSpan w:val="3"/>
            <w:tcMar>
              <w:top w:w="30" w:type="dxa"/>
              <w:left w:w="20" w:type="dxa"/>
              <w:bottom w:w="30" w:type="dxa"/>
              <w:right w:w="20" w:type="dxa"/>
            </w:tcMar>
            <w:hideMark/>
          </w:tcPr>
          <w:p w:rsidR="00000000" w:rsidRDefault="00BC22AF">
            <w:pPr>
              <w:spacing w:after="100"/>
              <w:jc w:val="right"/>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Inline XBRL Taxonomy Extension Schema Document</w:t>
            </w:r>
          </w:p>
        </w:tc>
      </w:tr>
      <w:tr w:rsidR="00000000">
        <w:tc>
          <w:tcPr>
            <w:tcW w:w="0" w:type="auto"/>
            <w:gridSpan w:val="3"/>
            <w:tcMar>
              <w:top w:w="30" w:type="dxa"/>
              <w:left w:w="20" w:type="dxa"/>
              <w:bottom w:w="30" w:type="dxa"/>
              <w:right w:w="20" w:type="dxa"/>
            </w:tcMar>
            <w:hideMark/>
          </w:tcPr>
          <w:p w:rsidR="00000000" w:rsidRDefault="00BC22AF">
            <w:pPr>
              <w:spacing w:after="100"/>
              <w:jc w:val="right"/>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Inline XBRL Taxonomy Extension Calculation Linkbase Document</w:t>
            </w:r>
          </w:p>
        </w:tc>
      </w:tr>
      <w:tr w:rsidR="00000000">
        <w:tc>
          <w:tcPr>
            <w:tcW w:w="0" w:type="auto"/>
            <w:gridSpan w:val="3"/>
            <w:tcMar>
              <w:top w:w="30" w:type="dxa"/>
              <w:left w:w="20" w:type="dxa"/>
              <w:bottom w:w="30" w:type="dxa"/>
              <w:right w:w="20" w:type="dxa"/>
            </w:tcMar>
            <w:hideMark/>
          </w:tcPr>
          <w:p w:rsidR="00000000" w:rsidRDefault="00BC22AF">
            <w:pPr>
              <w:spacing w:after="100"/>
              <w:jc w:val="right"/>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Inline XBRL Taxonomy Extension Definition Linkbase Document</w:t>
            </w:r>
          </w:p>
        </w:tc>
      </w:tr>
      <w:tr w:rsidR="00000000">
        <w:tc>
          <w:tcPr>
            <w:tcW w:w="0" w:type="auto"/>
            <w:gridSpan w:val="3"/>
            <w:tcMar>
              <w:top w:w="30" w:type="dxa"/>
              <w:left w:w="20" w:type="dxa"/>
              <w:bottom w:w="30" w:type="dxa"/>
              <w:right w:w="20" w:type="dxa"/>
            </w:tcMar>
            <w:hideMark/>
          </w:tcPr>
          <w:p w:rsidR="00000000" w:rsidRDefault="00BC22AF">
            <w:pPr>
              <w:spacing w:after="100"/>
              <w:jc w:val="right"/>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Inline XBRL Taxonomy Extension Label Linkbase Document</w:t>
            </w:r>
          </w:p>
        </w:tc>
      </w:tr>
      <w:tr w:rsidR="00000000">
        <w:tc>
          <w:tcPr>
            <w:tcW w:w="0" w:type="auto"/>
            <w:gridSpan w:val="3"/>
            <w:tcMar>
              <w:top w:w="30" w:type="dxa"/>
              <w:left w:w="20" w:type="dxa"/>
              <w:bottom w:w="30" w:type="dxa"/>
              <w:right w:w="20" w:type="dxa"/>
            </w:tcMar>
            <w:hideMark/>
          </w:tcPr>
          <w:p w:rsidR="00000000" w:rsidRDefault="00BC22AF">
            <w:pPr>
              <w:spacing w:after="100"/>
              <w:jc w:val="right"/>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Inline XBRL Taxonomy Extension Presentation Linkbase Document</w:t>
            </w:r>
          </w:p>
        </w:tc>
      </w:tr>
      <w:tr w:rsidR="00000000">
        <w:tc>
          <w:tcPr>
            <w:tcW w:w="0" w:type="auto"/>
            <w:gridSpan w:val="2"/>
            <w:tcMar>
              <w:top w:w="30" w:type="dxa"/>
              <w:left w:w="20" w:type="dxa"/>
              <w:bottom w:w="30" w:type="dxa"/>
              <w:right w:w="0" w:type="dxa"/>
            </w:tcMar>
            <w:hideMark/>
          </w:tcPr>
          <w:p w:rsidR="00000000" w:rsidRDefault="00BC22AF">
            <w:pPr>
              <w:spacing w:after="100"/>
              <w:jc w:val="right"/>
              <w:rPr>
                <w:rFonts w:eastAsia="Times New Roman"/>
              </w:rPr>
            </w:pPr>
            <w:r>
              <w:rPr>
                <w:rFonts w:eastAsia="Times New Roman"/>
                <w:color w:val="000000"/>
                <w:sz w:val="20"/>
                <w:szCs w:val="20"/>
              </w:rPr>
              <w:t>104.0 </w:t>
            </w:r>
          </w:p>
        </w:tc>
        <w:tc>
          <w:tcPr>
            <w:tcW w:w="0" w:type="auto"/>
            <w:tcMar>
              <w:top w:w="30" w:type="dxa"/>
              <w:left w:w="0" w:type="dxa"/>
              <w:bottom w:w="30" w:type="dxa"/>
              <w:right w:w="20" w:type="dxa"/>
            </w:tcMar>
            <w:hideMark/>
          </w:tcPr>
          <w:p w:rsidR="00000000" w:rsidRDefault="00BC22A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BC22AF">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Cover Page Interactive Data File (formatted as Inline XBRL and contained in Exhibit 101)</w:t>
            </w:r>
          </w:p>
        </w:tc>
      </w:tr>
    </w:tbl>
    <w:p w:rsidR="00000000" w:rsidRDefault="00BC22AF">
      <w:pPr>
        <w:divId w:val="785931223"/>
        <w:rPr>
          <w:rFonts w:eastAsia="Times New Roman"/>
        </w:rPr>
      </w:pPr>
    </w:p>
    <w:p w:rsidR="00000000" w:rsidRDefault="00BC22AF">
      <w:pPr>
        <w:jc w:val="center"/>
        <w:divId w:val="1912540907"/>
        <w:rPr>
          <w:rFonts w:eastAsia="Times New Roman"/>
        </w:rPr>
      </w:pPr>
      <w:r>
        <w:rPr>
          <w:rFonts w:eastAsia="Times New Roman"/>
          <w:color w:val="000000"/>
          <w:sz w:val="20"/>
          <w:szCs w:val="20"/>
        </w:rPr>
        <w:t>29</w:t>
      </w:r>
    </w:p>
    <w:p w:rsidR="00000000" w:rsidRDefault="00BC22AF">
      <w:pPr>
        <w:rPr>
          <w:rFonts w:eastAsia="Times New Roman"/>
        </w:rPr>
      </w:pPr>
      <w:r>
        <w:rPr>
          <w:rFonts w:eastAsia="Times New Roman"/>
        </w:rPr>
        <w:pict>
          <v:rect id="_x0000_i1054" style="width:0;height:1.5pt" o:hralign="center" o:hrstd="t" o:hr="t" fillcolor="#a0a0a0" stroked="f"/>
        </w:pict>
      </w:r>
    </w:p>
    <w:p w:rsidR="00000000" w:rsidRDefault="00BC22AF">
      <w:pPr>
        <w:divId w:val="1213689937"/>
        <w:rPr>
          <w:rFonts w:eastAsia="Times New Roman"/>
        </w:rPr>
      </w:pPr>
      <w:hyperlink w:anchor="ieb49ef76ccb44390aea9b3491b58e300_10" w:history="1">
        <w:r>
          <w:rPr>
            <w:rStyle w:val="a3"/>
            <w:rFonts w:eastAsia="Times New Roman"/>
            <w:sz w:val="20"/>
            <w:szCs w:val="20"/>
          </w:rPr>
          <w:t>Table of Contents</w:t>
        </w:r>
      </w:hyperlink>
    </w:p>
    <w:p w:rsidR="00000000" w:rsidRDefault="00BC22AF">
      <w:pPr>
        <w:jc w:val="center"/>
        <w:rPr>
          <w:rFonts w:eastAsia="Times New Roman"/>
        </w:rPr>
      </w:pPr>
      <w:r>
        <w:rPr>
          <w:rFonts w:eastAsia="Times New Roman"/>
          <w:b/>
          <w:bCs/>
          <w:color w:val="000000"/>
          <w:sz w:val="20"/>
          <w:szCs w:val="20"/>
        </w:rPr>
        <w:t>SIGNATURES</w:t>
      </w:r>
    </w:p>
    <w:p w:rsidR="00000000" w:rsidRDefault="00BC22AF">
      <w:pPr>
        <w:jc w:val="both"/>
        <w:rPr>
          <w:rFonts w:eastAsia="Times New Roman"/>
        </w:rPr>
      </w:pPr>
    </w:p>
    <w:p w:rsidR="00000000" w:rsidRDefault="00BC22AF">
      <w:pPr>
        <w:jc w:val="both"/>
        <w:rPr>
          <w:rFonts w:eastAsia="Times New Roman"/>
        </w:rPr>
      </w:pPr>
      <w:r>
        <w:rPr>
          <w:rFonts w:eastAsia="Times New Roman"/>
          <w:color w:val="000000"/>
          <w:sz w:val="20"/>
          <w:szCs w:val="20"/>
        </w:rPr>
        <w:t xml:space="preserve">Pursuant to the requirements of the Securities Act of 1934, the Registrant has duly caused this report to be signed on its behalf </w:t>
      </w:r>
      <w:r>
        <w:rPr>
          <w:rFonts w:eastAsia="Times New Roman"/>
          <w:color w:val="000000"/>
          <w:sz w:val="20"/>
          <w:szCs w:val="20"/>
        </w:rPr>
        <w:t>by the undersigned, thereunto duly authorized.</w:t>
      </w:r>
    </w:p>
    <w:p w:rsidR="00000000" w:rsidRDefault="00BC22AF">
      <w:pPr>
        <w:jc w:val="both"/>
        <w:rPr>
          <w:rFonts w:eastAsia="Times New Roman"/>
        </w:rPr>
      </w:pPr>
    </w:p>
    <w:tbl>
      <w:tblPr>
        <w:tblW w:w="10005" w:type="dxa"/>
        <w:tblCellMar>
          <w:top w:w="15" w:type="dxa"/>
          <w:left w:w="15" w:type="dxa"/>
          <w:bottom w:w="15" w:type="dxa"/>
          <w:right w:w="15" w:type="dxa"/>
        </w:tblCellMar>
        <w:tblLook w:val="04A0" w:firstRow="1" w:lastRow="0" w:firstColumn="1" w:lastColumn="0" w:noHBand="0" w:noVBand="1"/>
      </w:tblPr>
      <w:tblGrid>
        <w:gridCol w:w="36"/>
        <w:gridCol w:w="721"/>
        <w:gridCol w:w="36"/>
        <w:gridCol w:w="36"/>
        <w:gridCol w:w="9140"/>
        <w:gridCol w:w="36"/>
      </w:tblGrid>
      <w:tr w:rsidR="00000000">
        <w:tc>
          <w:tcPr>
            <w:tcW w:w="20" w:type="dxa"/>
            <w:vAlign w:val="center"/>
            <w:hideMark/>
          </w:tcPr>
          <w:p w:rsidR="00000000" w:rsidRDefault="00BC22AF">
            <w:pPr>
              <w:jc w:val="both"/>
              <w:rPr>
                <w:rFonts w:eastAsia="Times New Roman"/>
              </w:rPr>
            </w:pPr>
          </w:p>
        </w:tc>
        <w:tc>
          <w:tcPr>
            <w:tcW w:w="725" w:type="dxa"/>
            <w:vAlign w:val="center"/>
            <w:hideMark/>
          </w:tcPr>
          <w:p w:rsidR="00000000" w:rsidRDefault="00BC22AF">
            <w:pPr>
              <w:spacing w:after="100"/>
              <w:rPr>
                <w:rFonts w:eastAsia="Times New Roman"/>
                <w:sz w:val="20"/>
                <w:szCs w:val="20"/>
              </w:rPr>
            </w:pPr>
          </w:p>
        </w:tc>
        <w:tc>
          <w:tcPr>
            <w:tcW w:w="20" w:type="dxa"/>
            <w:vAlign w:val="center"/>
            <w:hideMark/>
          </w:tcPr>
          <w:p w:rsidR="00000000" w:rsidRDefault="00BC22AF">
            <w:pPr>
              <w:spacing w:after="100"/>
              <w:rPr>
                <w:rFonts w:eastAsia="Times New Roman"/>
                <w:sz w:val="20"/>
                <w:szCs w:val="20"/>
              </w:rPr>
            </w:pPr>
          </w:p>
        </w:tc>
        <w:tc>
          <w:tcPr>
            <w:tcW w:w="20" w:type="dxa"/>
            <w:vAlign w:val="center"/>
            <w:hideMark/>
          </w:tcPr>
          <w:p w:rsidR="00000000" w:rsidRDefault="00BC22AF">
            <w:pPr>
              <w:spacing w:after="100"/>
              <w:rPr>
                <w:rFonts w:eastAsia="Times New Roman"/>
                <w:sz w:val="20"/>
                <w:szCs w:val="20"/>
              </w:rPr>
            </w:pPr>
          </w:p>
        </w:tc>
        <w:tc>
          <w:tcPr>
            <w:tcW w:w="9200" w:type="dxa"/>
            <w:vAlign w:val="center"/>
            <w:hideMark/>
          </w:tcPr>
          <w:p w:rsidR="00000000" w:rsidRDefault="00BC22AF">
            <w:pPr>
              <w:spacing w:after="100"/>
              <w:rPr>
                <w:rFonts w:eastAsia="Times New Roman"/>
                <w:sz w:val="20"/>
                <w:szCs w:val="20"/>
              </w:rPr>
            </w:pPr>
          </w:p>
        </w:tc>
        <w:tc>
          <w:tcPr>
            <w:tcW w:w="20" w:type="dxa"/>
            <w:vAlign w:val="center"/>
            <w:hideMark/>
          </w:tcPr>
          <w:p w:rsidR="00000000" w:rsidRDefault="00BC22AF">
            <w:pPr>
              <w:spacing w:after="100"/>
              <w:rPr>
                <w:rFonts w:eastAsia="Times New Roman"/>
                <w:sz w:val="20"/>
                <w:szCs w:val="20"/>
              </w:rPr>
            </w:pPr>
          </w:p>
        </w:tc>
      </w:tr>
      <w:tr w:rsidR="00000000">
        <w:trPr>
          <w:trHeight w:val="300"/>
        </w:trPr>
        <w:tc>
          <w:tcPr>
            <w:tcW w:w="0" w:type="auto"/>
            <w:gridSpan w:val="6"/>
            <w:tcMar>
              <w:top w:w="30" w:type="dxa"/>
              <w:left w:w="20" w:type="dxa"/>
              <w:bottom w:w="30" w:type="dxa"/>
              <w:right w:w="20" w:type="dxa"/>
            </w:tcMar>
            <w:hideMark/>
          </w:tcPr>
          <w:p w:rsidR="00000000" w:rsidRDefault="00BC22AF">
            <w:pPr>
              <w:spacing w:after="100"/>
              <w:rPr>
                <w:rFonts w:eastAsia="Times New Roman"/>
              </w:rPr>
            </w:pPr>
            <w:r>
              <w:rPr>
                <w:rFonts w:eastAsia="Times New Roman"/>
                <w:b/>
                <w:bCs/>
                <w:color w:val="000000"/>
                <w:sz w:val="20"/>
                <w:szCs w:val="20"/>
              </w:rPr>
              <w:t>NOODLES &amp; COMPANY</w:t>
            </w:r>
          </w:p>
        </w:tc>
      </w:tr>
      <w:tr w:rsidR="00000000">
        <w:trPr>
          <w:trHeight w:val="300"/>
        </w:trPr>
        <w:tc>
          <w:tcPr>
            <w:tcW w:w="0" w:type="auto"/>
            <w:gridSpan w:val="3"/>
            <w:tcMar>
              <w:top w:w="30" w:type="dxa"/>
              <w:left w:w="20" w:type="dxa"/>
              <w:bottom w:w="30" w:type="dxa"/>
              <w:right w:w="20" w:type="dxa"/>
            </w:tcMar>
            <w:hideMark/>
          </w:tcPr>
          <w:p w:rsidR="00000000" w:rsidRDefault="00BC22AF">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/s/  CARL LUKACH</w:t>
            </w:r>
          </w:p>
        </w:tc>
      </w:tr>
      <w:tr w:rsidR="00000000">
        <w:trPr>
          <w:trHeight w:val="700"/>
        </w:trPr>
        <w:tc>
          <w:tcPr>
            <w:tcW w:w="0" w:type="auto"/>
            <w:gridSpan w:val="3"/>
            <w:tcMar>
              <w:top w:w="0" w:type="dxa"/>
              <w:left w:w="20" w:type="dxa"/>
              <w:bottom w:w="0" w:type="dxa"/>
              <w:right w:w="20" w:type="dxa"/>
            </w:tcMar>
            <w:vAlign w:val="center"/>
            <w:hideMark/>
          </w:tcPr>
          <w:p w:rsidR="00000000" w:rsidRDefault="00BC22A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BC22AF">
            <w:pPr>
              <w:spacing w:after="100"/>
              <w:divId w:val="1371610129"/>
              <w:rPr>
                <w:rFonts w:eastAsia="Times New Roman"/>
              </w:rPr>
            </w:pPr>
            <w:r>
              <w:rPr>
                <w:rFonts w:eastAsia="Times New Roman"/>
                <w:color w:val="000000"/>
                <w:sz w:val="20"/>
                <w:szCs w:val="20"/>
              </w:rPr>
              <w:t>Carl Lukach</w:t>
            </w:r>
          </w:p>
          <w:p w:rsidR="00000000" w:rsidRDefault="00BC22AF">
            <w:pPr>
              <w:spacing w:after="100"/>
              <w:divId w:val="1495532129"/>
              <w:rPr>
                <w:rFonts w:eastAsia="Times New Roman"/>
              </w:rPr>
            </w:pPr>
            <w:r>
              <w:rPr>
                <w:rFonts w:eastAsia="Times New Roman"/>
                <w:i/>
                <w:iCs/>
                <w:color w:val="000000"/>
                <w:sz w:val="20"/>
                <w:szCs w:val="20"/>
              </w:rPr>
              <w:t>Chief Financial Officer (principal financial officer and duly authorized signatory for the registrant)</w:t>
            </w:r>
          </w:p>
        </w:tc>
      </w:tr>
      <w:tr w:rsidR="00000000">
        <w:trPr>
          <w:trHeight w:val="300"/>
        </w:trPr>
        <w:tc>
          <w:tcPr>
            <w:tcW w:w="0" w:type="auto"/>
            <w:gridSpan w:val="3"/>
            <w:tcMar>
              <w:top w:w="30" w:type="dxa"/>
              <w:left w:w="20" w:type="dxa"/>
              <w:bottom w:w="30" w:type="dxa"/>
              <w:right w:w="20" w:type="dxa"/>
            </w:tcMar>
            <w:hideMark/>
          </w:tcPr>
          <w:p w:rsidR="00000000" w:rsidRDefault="00BC22AF">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BC22AF">
            <w:pPr>
              <w:spacing w:after="100"/>
              <w:rPr>
                <w:rFonts w:eastAsia="Times New Roman"/>
              </w:rPr>
            </w:pPr>
            <w:r>
              <w:rPr>
                <w:rFonts w:eastAsia="Times New Roman"/>
                <w:color w:val="000000"/>
                <w:sz w:val="20"/>
                <w:szCs w:val="20"/>
              </w:rPr>
              <w:t>July 28, 2022</w:t>
            </w:r>
          </w:p>
        </w:tc>
      </w:tr>
    </w:tbl>
    <w:p w:rsidR="00000000" w:rsidRDefault="00BC22AF">
      <w:pPr>
        <w:divId w:val="325983093"/>
        <w:rPr>
          <w:rFonts w:eastAsia="Times New Roman"/>
        </w:rPr>
      </w:pPr>
    </w:p>
    <w:p w:rsidR="00000000" w:rsidRDefault="00BC22AF">
      <w:pPr>
        <w:jc w:val="center"/>
        <w:divId w:val="1439063029"/>
        <w:rPr>
          <w:rFonts w:eastAsia="Times New Roman"/>
        </w:rPr>
      </w:pPr>
    </w:p>
    <w:p w:rsidR="00BC22AF" w:rsidRDefault="00BC22AF">
      <w:pPr>
        <w:jc w:val="center"/>
        <w:divId w:val="1649434784"/>
        <w:rPr>
          <w:rFonts w:eastAsia="Times New Roman"/>
        </w:rPr>
      </w:pPr>
      <w:r>
        <w:rPr>
          <w:rFonts w:eastAsia="Times New Roman"/>
          <w:color w:val="000000"/>
          <w:sz w:val="20"/>
          <w:szCs w:val="20"/>
        </w:rPr>
        <w:t>30</w:t>
      </w:r>
    </w:p>
    <w:sectPr w:rsidR="00BC22A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C22AF"/>
    <w:rsid w:val="00BC22AF"/>
  </w:rsids>
  <m:mathPr>
    <m:mathFont m:val="Cambria Math"/>
    <m:brkBin m:val="before"/>
    <m:brkBinSub m:val="--"/>
    <m:smallFrac m:val="0"/>
    <m:dispDef/>
    <m:lMargin m:val="0"/>
    <m:rMargin m:val="0"/>
    <m:defJc m:val="centerGroup"/>
    <m:wrapIndent m:val="1440"/>
    <m:intLim m:val="subSup"/>
    <m:naryLim m:val="undOvr"/>
  </m:mathPr>
  <w:attachedSchema w:val="http://www.sec.gov/inlineXBRL/transformation/2015-08-31"/>
  <w:attachedSchema w:val="http://fasb.org/us-gaap/2022"/>
  <w:attachedSchema w:val="http://xbrl.org/2006/xbrldi"/>
  <w:attachedSchema w:val="http://www.xbrl.org/2003/linkbase"/>
  <w:attachedSchema w:val="http://www.xbrl.org/2013/inlineXBRL"/>
  <w:attachedSchema w:val="http://fasb.org/srt/2022"/>
  <w:attachedSchema w:val="http://www.w3.org/1999/xlink"/>
  <w:attachedSchema w:val="http://www.xbrl.org/2003/iso4217"/>
  <w:attachedSchema w:val="http://xbrl.sec.gov/dei/2022"/>
  <w:attachedSchema w:val="http://www.xbrl.org/2003/instance"/>
  <w:attachedSchema w:val="http://www.xbrl.org/inlineXBRL/transformation/2020-02-12"/>
  <w:attachedSchema w:val="http://www.noodles.com/20220628"/>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02">
      <w:marLeft w:val="0"/>
      <w:marRight w:val="0"/>
      <w:marTop w:val="0"/>
      <w:marBottom w:val="0"/>
      <w:divBdr>
        <w:top w:val="none" w:sz="0" w:space="0" w:color="auto"/>
        <w:left w:val="none" w:sz="0" w:space="0" w:color="auto"/>
        <w:bottom w:val="none" w:sz="0" w:space="0" w:color="auto"/>
        <w:right w:val="none" w:sz="0" w:space="0" w:color="auto"/>
      </w:divBdr>
    </w:div>
    <w:div w:id="13003720">
      <w:marLeft w:val="0"/>
      <w:marRight w:val="0"/>
      <w:marTop w:val="0"/>
      <w:marBottom w:val="0"/>
      <w:divBdr>
        <w:top w:val="none" w:sz="0" w:space="0" w:color="auto"/>
        <w:left w:val="none" w:sz="0" w:space="0" w:color="auto"/>
        <w:bottom w:val="none" w:sz="0" w:space="0" w:color="auto"/>
        <w:right w:val="none" w:sz="0" w:space="0" w:color="auto"/>
      </w:divBdr>
    </w:div>
    <w:div w:id="15010562">
      <w:marLeft w:val="0"/>
      <w:marRight w:val="0"/>
      <w:marTop w:val="0"/>
      <w:marBottom w:val="0"/>
      <w:divBdr>
        <w:top w:val="none" w:sz="0" w:space="0" w:color="auto"/>
        <w:left w:val="none" w:sz="0" w:space="0" w:color="auto"/>
        <w:bottom w:val="none" w:sz="0" w:space="0" w:color="auto"/>
        <w:right w:val="none" w:sz="0" w:space="0" w:color="auto"/>
      </w:divBdr>
    </w:div>
    <w:div w:id="17392874">
      <w:marLeft w:val="0"/>
      <w:marRight w:val="0"/>
      <w:marTop w:val="0"/>
      <w:marBottom w:val="0"/>
      <w:divBdr>
        <w:top w:val="none" w:sz="0" w:space="0" w:color="auto"/>
        <w:left w:val="none" w:sz="0" w:space="0" w:color="auto"/>
        <w:bottom w:val="none" w:sz="0" w:space="0" w:color="auto"/>
        <w:right w:val="none" w:sz="0" w:space="0" w:color="auto"/>
      </w:divBdr>
    </w:div>
    <w:div w:id="21829205">
      <w:marLeft w:val="0"/>
      <w:marRight w:val="0"/>
      <w:marTop w:val="0"/>
      <w:marBottom w:val="0"/>
      <w:divBdr>
        <w:top w:val="none" w:sz="0" w:space="0" w:color="auto"/>
        <w:left w:val="none" w:sz="0" w:space="0" w:color="auto"/>
        <w:bottom w:val="none" w:sz="0" w:space="0" w:color="auto"/>
        <w:right w:val="none" w:sz="0" w:space="0" w:color="auto"/>
      </w:divBdr>
    </w:div>
    <w:div w:id="26175374">
      <w:marLeft w:val="0"/>
      <w:marRight w:val="0"/>
      <w:marTop w:val="0"/>
      <w:marBottom w:val="0"/>
      <w:divBdr>
        <w:top w:val="none" w:sz="0" w:space="0" w:color="auto"/>
        <w:left w:val="none" w:sz="0" w:space="0" w:color="auto"/>
        <w:bottom w:val="none" w:sz="0" w:space="0" w:color="auto"/>
        <w:right w:val="none" w:sz="0" w:space="0" w:color="auto"/>
      </w:divBdr>
      <w:divsChild>
        <w:div w:id="698893837">
          <w:marLeft w:val="0"/>
          <w:marRight w:val="0"/>
          <w:marTop w:val="160"/>
          <w:marBottom w:val="160"/>
          <w:divBdr>
            <w:top w:val="none" w:sz="0" w:space="0" w:color="auto"/>
            <w:left w:val="none" w:sz="0" w:space="0" w:color="auto"/>
            <w:bottom w:val="none" w:sz="0" w:space="0" w:color="auto"/>
            <w:right w:val="none" w:sz="0" w:space="0" w:color="auto"/>
          </w:divBdr>
        </w:div>
      </w:divsChild>
    </w:div>
    <w:div w:id="28919245">
      <w:marLeft w:val="0"/>
      <w:marRight w:val="0"/>
      <w:marTop w:val="120"/>
      <w:marBottom w:val="60"/>
      <w:divBdr>
        <w:top w:val="none" w:sz="0" w:space="0" w:color="auto"/>
        <w:left w:val="none" w:sz="0" w:space="0" w:color="auto"/>
        <w:bottom w:val="none" w:sz="0" w:space="0" w:color="auto"/>
        <w:right w:val="none" w:sz="0" w:space="0" w:color="auto"/>
      </w:divBdr>
    </w:div>
    <w:div w:id="50614848">
      <w:marLeft w:val="0"/>
      <w:marRight w:val="0"/>
      <w:marTop w:val="0"/>
      <w:marBottom w:val="0"/>
      <w:divBdr>
        <w:top w:val="none" w:sz="0" w:space="0" w:color="auto"/>
        <w:left w:val="none" w:sz="0" w:space="0" w:color="auto"/>
        <w:bottom w:val="none" w:sz="0" w:space="0" w:color="auto"/>
        <w:right w:val="none" w:sz="0" w:space="0" w:color="auto"/>
      </w:divBdr>
    </w:div>
    <w:div w:id="61298156">
      <w:marLeft w:val="0"/>
      <w:marRight w:val="0"/>
      <w:marTop w:val="0"/>
      <w:marBottom w:val="0"/>
      <w:divBdr>
        <w:top w:val="none" w:sz="0" w:space="0" w:color="auto"/>
        <w:left w:val="none" w:sz="0" w:space="0" w:color="auto"/>
        <w:bottom w:val="none" w:sz="0" w:space="0" w:color="auto"/>
        <w:right w:val="none" w:sz="0" w:space="0" w:color="auto"/>
      </w:divBdr>
    </w:div>
    <w:div w:id="64425711">
      <w:marLeft w:val="0"/>
      <w:marRight w:val="0"/>
      <w:marTop w:val="0"/>
      <w:marBottom w:val="0"/>
      <w:divBdr>
        <w:top w:val="none" w:sz="0" w:space="0" w:color="auto"/>
        <w:left w:val="none" w:sz="0" w:space="0" w:color="auto"/>
        <w:bottom w:val="none" w:sz="0" w:space="0" w:color="auto"/>
        <w:right w:val="none" w:sz="0" w:space="0" w:color="auto"/>
      </w:divBdr>
    </w:div>
    <w:div w:id="68428159">
      <w:marLeft w:val="0"/>
      <w:marRight w:val="0"/>
      <w:marTop w:val="0"/>
      <w:marBottom w:val="0"/>
      <w:divBdr>
        <w:top w:val="none" w:sz="0" w:space="0" w:color="auto"/>
        <w:left w:val="none" w:sz="0" w:space="0" w:color="auto"/>
        <w:bottom w:val="none" w:sz="0" w:space="0" w:color="auto"/>
        <w:right w:val="none" w:sz="0" w:space="0" w:color="auto"/>
      </w:divBdr>
      <w:divsChild>
        <w:div w:id="2027559648">
          <w:marLeft w:val="0"/>
          <w:marRight w:val="0"/>
          <w:marTop w:val="160"/>
          <w:marBottom w:val="160"/>
          <w:divBdr>
            <w:top w:val="none" w:sz="0" w:space="0" w:color="auto"/>
            <w:left w:val="none" w:sz="0" w:space="0" w:color="auto"/>
            <w:bottom w:val="none" w:sz="0" w:space="0" w:color="auto"/>
            <w:right w:val="none" w:sz="0" w:space="0" w:color="auto"/>
          </w:divBdr>
        </w:div>
      </w:divsChild>
    </w:div>
    <w:div w:id="85928230">
      <w:marLeft w:val="0"/>
      <w:marRight w:val="0"/>
      <w:marTop w:val="0"/>
      <w:marBottom w:val="0"/>
      <w:divBdr>
        <w:top w:val="none" w:sz="0" w:space="0" w:color="auto"/>
        <w:left w:val="none" w:sz="0" w:space="0" w:color="auto"/>
        <w:bottom w:val="none" w:sz="0" w:space="0" w:color="auto"/>
        <w:right w:val="none" w:sz="0" w:space="0" w:color="auto"/>
      </w:divBdr>
    </w:div>
    <w:div w:id="91557098">
      <w:marLeft w:val="0"/>
      <w:marRight w:val="0"/>
      <w:marTop w:val="100"/>
      <w:marBottom w:val="0"/>
      <w:divBdr>
        <w:top w:val="none" w:sz="0" w:space="0" w:color="auto"/>
        <w:left w:val="none" w:sz="0" w:space="0" w:color="auto"/>
        <w:bottom w:val="none" w:sz="0" w:space="0" w:color="auto"/>
        <w:right w:val="none" w:sz="0" w:space="0" w:color="auto"/>
      </w:divBdr>
      <w:divsChild>
        <w:div w:id="630284411">
          <w:marLeft w:val="0"/>
          <w:marRight w:val="0"/>
          <w:marTop w:val="0"/>
          <w:marBottom w:val="0"/>
          <w:divBdr>
            <w:top w:val="none" w:sz="0" w:space="0" w:color="auto"/>
            <w:left w:val="none" w:sz="0" w:space="0" w:color="auto"/>
            <w:bottom w:val="none" w:sz="0" w:space="0" w:color="auto"/>
            <w:right w:val="none" w:sz="0" w:space="0" w:color="auto"/>
          </w:divBdr>
        </w:div>
        <w:div w:id="30807289">
          <w:marLeft w:val="0"/>
          <w:marRight w:val="0"/>
          <w:marTop w:val="0"/>
          <w:marBottom w:val="0"/>
          <w:divBdr>
            <w:top w:val="none" w:sz="0" w:space="0" w:color="auto"/>
            <w:left w:val="none" w:sz="0" w:space="0" w:color="auto"/>
            <w:bottom w:val="none" w:sz="0" w:space="0" w:color="auto"/>
            <w:right w:val="none" w:sz="0" w:space="0" w:color="auto"/>
          </w:divBdr>
        </w:div>
        <w:div w:id="535655914">
          <w:marLeft w:val="0"/>
          <w:marRight w:val="0"/>
          <w:marTop w:val="0"/>
          <w:marBottom w:val="0"/>
          <w:divBdr>
            <w:top w:val="none" w:sz="0" w:space="0" w:color="auto"/>
            <w:left w:val="none" w:sz="0" w:space="0" w:color="auto"/>
            <w:bottom w:val="none" w:sz="0" w:space="0" w:color="auto"/>
            <w:right w:val="none" w:sz="0" w:space="0" w:color="auto"/>
          </w:divBdr>
        </w:div>
      </w:divsChild>
    </w:div>
    <w:div w:id="92020707">
      <w:marLeft w:val="0"/>
      <w:marRight w:val="0"/>
      <w:marTop w:val="0"/>
      <w:marBottom w:val="0"/>
      <w:divBdr>
        <w:top w:val="none" w:sz="0" w:space="0" w:color="auto"/>
        <w:left w:val="none" w:sz="0" w:space="0" w:color="auto"/>
        <w:bottom w:val="none" w:sz="0" w:space="0" w:color="auto"/>
        <w:right w:val="none" w:sz="0" w:space="0" w:color="auto"/>
      </w:divBdr>
      <w:divsChild>
        <w:div w:id="223296823">
          <w:marLeft w:val="0"/>
          <w:marRight w:val="0"/>
          <w:marTop w:val="160"/>
          <w:marBottom w:val="160"/>
          <w:divBdr>
            <w:top w:val="none" w:sz="0" w:space="0" w:color="auto"/>
            <w:left w:val="none" w:sz="0" w:space="0" w:color="auto"/>
            <w:bottom w:val="none" w:sz="0" w:space="0" w:color="auto"/>
            <w:right w:val="none" w:sz="0" w:space="0" w:color="auto"/>
          </w:divBdr>
        </w:div>
      </w:divsChild>
    </w:div>
    <w:div w:id="116026457">
      <w:marLeft w:val="0"/>
      <w:marRight w:val="0"/>
      <w:marTop w:val="0"/>
      <w:marBottom w:val="0"/>
      <w:divBdr>
        <w:top w:val="none" w:sz="0" w:space="0" w:color="auto"/>
        <w:left w:val="none" w:sz="0" w:space="0" w:color="auto"/>
        <w:bottom w:val="none" w:sz="0" w:space="0" w:color="auto"/>
        <w:right w:val="none" w:sz="0" w:space="0" w:color="auto"/>
      </w:divBdr>
    </w:div>
    <w:div w:id="117186902">
      <w:marLeft w:val="0"/>
      <w:marRight w:val="0"/>
      <w:marTop w:val="0"/>
      <w:marBottom w:val="0"/>
      <w:divBdr>
        <w:top w:val="none" w:sz="0" w:space="0" w:color="auto"/>
        <w:left w:val="none" w:sz="0" w:space="0" w:color="auto"/>
        <w:bottom w:val="none" w:sz="0" w:space="0" w:color="auto"/>
        <w:right w:val="none" w:sz="0" w:space="0" w:color="auto"/>
      </w:divBdr>
      <w:divsChild>
        <w:div w:id="1482497767">
          <w:marLeft w:val="0"/>
          <w:marRight w:val="0"/>
          <w:marTop w:val="160"/>
          <w:marBottom w:val="160"/>
          <w:divBdr>
            <w:top w:val="none" w:sz="0" w:space="0" w:color="auto"/>
            <w:left w:val="none" w:sz="0" w:space="0" w:color="auto"/>
            <w:bottom w:val="none" w:sz="0" w:space="0" w:color="auto"/>
            <w:right w:val="none" w:sz="0" w:space="0" w:color="auto"/>
          </w:divBdr>
        </w:div>
      </w:divsChild>
    </w:div>
    <w:div w:id="124010407">
      <w:marLeft w:val="0"/>
      <w:marRight w:val="0"/>
      <w:marTop w:val="0"/>
      <w:marBottom w:val="0"/>
      <w:divBdr>
        <w:top w:val="none" w:sz="0" w:space="0" w:color="auto"/>
        <w:left w:val="none" w:sz="0" w:space="0" w:color="auto"/>
        <w:bottom w:val="none" w:sz="0" w:space="0" w:color="auto"/>
        <w:right w:val="none" w:sz="0" w:space="0" w:color="auto"/>
      </w:divBdr>
      <w:divsChild>
        <w:div w:id="1521972659">
          <w:marLeft w:val="0"/>
          <w:marRight w:val="0"/>
          <w:marTop w:val="160"/>
          <w:marBottom w:val="160"/>
          <w:divBdr>
            <w:top w:val="none" w:sz="0" w:space="0" w:color="auto"/>
            <w:left w:val="none" w:sz="0" w:space="0" w:color="auto"/>
            <w:bottom w:val="none" w:sz="0" w:space="0" w:color="auto"/>
            <w:right w:val="none" w:sz="0" w:space="0" w:color="auto"/>
          </w:divBdr>
        </w:div>
      </w:divsChild>
    </w:div>
    <w:div w:id="128088884">
      <w:marLeft w:val="0"/>
      <w:marRight w:val="0"/>
      <w:marTop w:val="0"/>
      <w:marBottom w:val="0"/>
      <w:divBdr>
        <w:top w:val="none" w:sz="0" w:space="0" w:color="auto"/>
        <w:left w:val="none" w:sz="0" w:space="0" w:color="auto"/>
        <w:bottom w:val="none" w:sz="0" w:space="0" w:color="auto"/>
        <w:right w:val="none" w:sz="0" w:space="0" w:color="auto"/>
      </w:divBdr>
    </w:div>
    <w:div w:id="144510376">
      <w:marLeft w:val="0"/>
      <w:marRight w:val="0"/>
      <w:marTop w:val="0"/>
      <w:marBottom w:val="0"/>
      <w:divBdr>
        <w:top w:val="none" w:sz="0" w:space="0" w:color="auto"/>
        <w:left w:val="none" w:sz="0" w:space="0" w:color="auto"/>
        <w:bottom w:val="none" w:sz="0" w:space="0" w:color="auto"/>
        <w:right w:val="none" w:sz="0" w:space="0" w:color="auto"/>
      </w:divBdr>
    </w:div>
    <w:div w:id="169102837">
      <w:marLeft w:val="0"/>
      <w:marRight w:val="0"/>
      <w:marTop w:val="60"/>
      <w:marBottom w:val="0"/>
      <w:divBdr>
        <w:top w:val="none" w:sz="0" w:space="0" w:color="auto"/>
        <w:left w:val="none" w:sz="0" w:space="0" w:color="auto"/>
        <w:bottom w:val="none" w:sz="0" w:space="0" w:color="auto"/>
        <w:right w:val="none" w:sz="0" w:space="0" w:color="auto"/>
      </w:divBdr>
    </w:div>
    <w:div w:id="183783695">
      <w:marLeft w:val="0"/>
      <w:marRight w:val="0"/>
      <w:marTop w:val="0"/>
      <w:marBottom w:val="0"/>
      <w:divBdr>
        <w:top w:val="none" w:sz="0" w:space="0" w:color="auto"/>
        <w:left w:val="none" w:sz="0" w:space="0" w:color="auto"/>
        <w:bottom w:val="none" w:sz="0" w:space="0" w:color="auto"/>
        <w:right w:val="none" w:sz="0" w:space="0" w:color="auto"/>
      </w:divBdr>
      <w:divsChild>
        <w:div w:id="1991783735">
          <w:marLeft w:val="0"/>
          <w:marRight w:val="0"/>
          <w:marTop w:val="160"/>
          <w:marBottom w:val="160"/>
          <w:divBdr>
            <w:top w:val="none" w:sz="0" w:space="0" w:color="auto"/>
            <w:left w:val="none" w:sz="0" w:space="0" w:color="auto"/>
            <w:bottom w:val="none" w:sz="0" w:space="0" w:color="auto"/>
            <w:right w:val="none" w:sz="0" w:space="0" w:color="auto"/>
          </w:divBdr>
        </w:div>
      </w:divsChild>
    </w:div>
    <w:div w:id="186798277">
      <w:marLeft w:val="0"/>
      <w:marRight w:val="0"/>
      <w:marTop w:val="0"/>
      <w:marBottom w:val="0"/>
      <w:divBdr>
        <w:top w:val="none" w:sz="0" w:space="0" w:color="auto"/>
        <w:left w:val="none" w:sz="0" w:space="0" w:color="auto"/>
        <w:bottom w:val="none" w:sz="0" w:space="0" w:color="auto"/>
        <w:right w:val="none" w:sz="0" w:space="0" w:color="auto"/>
      </w:divBdr>
    </w:div>
    <w:div w:id="209342234">
      <w:marLeft w:val="0"/>
      <w:marRight w:val="0"/>
      <w:marTop w:val="240"/>
      <w:marBottom w:val="0"/>
      <w:divBdr>
        <w:top w:val="none" w:sz="0" w:space="0" w:color="auto"/>
        <w:left w:val="none" w:sz="0" w:space="0" w:color="auto"/>
        <w:bottom w:val="none" w:sz="0" w:space="0" w:color="auto"/>
        <w:right w:val="none" w:sz="0" w:space="0" w:color="auto"/>
      </w:divBdr>
    </w:div>
    <w:div w:id="209850915">
      <w:marLeft w:val="0"/>
      <w:marRight w:val="0"/>
      <w:marTop w:val="0"/>
      <w:marBottom w:val="0"/>
      <w:divBdr>
        <w:top w:val="none" w:sz="0" w:space="0" w:color="auto"/>
        <w:left w:val="none" w:sz="0" w:space="0" w:color="auto"/>
        <w:bottom w:val="none" w:sz="0" w:space="0" w:color="auto"/>
        <w:right w:val="none" w:sz="0" w:space="0" w:color="auto"/>
      </w:divBdr>
    </w:div>
    <w:div w:id="211045287">
      <w:marLeft w:val="0"/>
      <w:marRight w:val="0"/>
      <w:marTop w:val="0"/>
      <w:marBottom w:val="0"/>
      <w:divBdr>
        <w:top w:val="none" w:sz="0" w:space="0" w:color="auto"/>
        <w:left w:val="none" w:sz="0" w:space="0" w:color="auto"/>
        <w:bottom w:val="none" w:sz="0" w:space="0" w:color="auto"/>
        <w:right w:val="none" w:sz="0" w:space="0" w:color="auto"/>
      </w:divBdr>
    </w:div>
    <w:div w:id="217785102">
      <w:marLeft w:val="0"/>
      <w:marRight w:val="0"/>
      <w:marTop w:val="0"/>
      <w:marBottom w:val="0"/>
      <w:divBdr>
        <w:top w:val="none" w:sz="0" w:space="0" w:color="auto"/>
        <w:left w:val="none" w:sz="0" w:space="0" w:color="auto"/>
        <w:bottom w:val="none" w:sz="0" w:space="0" w:color="auto"/>
        <w:right w:val="none" w:sz="0" w:space="0" w:color="auto"/>
      </w:divBdr>
    </w:div>
    <w:div w:id="220605530">
      <w:marLeft w:val="0"/>
      <w:marRight w:val="0"/>
      <w:marTop w:val="0"/>
      <w:marBottom w:val="60"/>
      <w:divBdr>
        <w:top w:val="none" w:sz="0" w:space="0" w:color="auto"/>
        <w:left w:val="none" w:sz="0" w:space="0" w:color="auto"/>
        <w:bottom w:val="none" w:sz="0" w:space="0" w:color="auto"/>
        <w:right w:val="none" w:sz="0" w:space="0" w:color="auto"/>
      </w:divBdr>
    </w:div>
    <w:div w:id="238947264">
      <w:marLeft w:val="0"/>
      <w:marRight w:val="0"/>
      <w:marTop w:val="100"/>
      <w:marBottom w:val="0"/>
      <w:divBdr>
        <w:top w:val="none" w:sz="0" w:space="0" w:color="auto"/>
        <w:left w:val="none" w:sz="0" w:space="0" w:color="auto"/>
        <w:bottom w:val="none" w:sz="0" w:space="0" w:color="auto"/>
        <w:right w:val="none" w:sz="0" w:space="0" w:color="auto"/>
      </w:divBdr>
    </w:div>
    <w:div w:id="252059374">
      <w:marLeft w:val="0"/>
      <w:marRight w:val="0"/>
      <w:marTop w:val="0"/>
      <w:marBottom w:val="0"/>
      <w:divBdr>
        <w:top w:val="none" w:sz="0" w:space="0" w:color="auto"/>
        <w:left w:val="none" w:sz="0" w:space="0" w:color="auto"/>
        <w:bottom w:val="none" w:sz="0" w:space="0" w:color="auto"/>
        <w:right w:val="none" w:sz="0" w:space="0" w:color="auto"/>
      </w:divBdr>
    </w:div>
    <w:div w:id="263732697">
      <w:marLeft w:val="0"/>
      <w:marRight w:val="0"/>
      <w:marTop w:val="0"/>
      <w:marBottom w:val="100"/>
      <w:divBdr>
        <w:top w:val="none" w:sz="0" w:space="0" w:color="auto"/>
        <w:left w:val="none" w:sz="0" w:space="0" w:color="auto"/>
        <w:bottom w:val="none" w:sz="0" w:space="0" w:color="auto"/>
        <w:right w:val="none" w:sz="0" w:space="0" w:color="auto"/>
      </w:divBdr>
    </w:div>
    <w:div w:id="275136523">
      <w:marLeft w:val="0"/>
      <w:marRight w:val="0"/>
      <w:marTop w:val="0"/>
      <w:marBottom w:val="0"/>
      <w:divBdr>
        <w:top w:val="none" w:sz="0" w:space="0" w:color="auto"/>
        <w:left w:val="none" w:sz="0" w:space="0" w:color="auto"/>
        <w:bottom w:val="none" w:sz="0" w:space="0" w:color="auto"/>
        <w:right w:val="none" w:sz="0" w:space="0" w:color="auto"/>
      </w:divBdr>
    </w:div>
    <w:div w:id="290861634">
      <w:marLeft w:val="0"/>
      <w:marRight w:val="0"/>
      <w:marTop w:val="0"/>
      <w:marBottom w:val="0"/>
      <w:divBdr>
        <w:top w:val="none" w:sz="0" w:space="0" w:color="auto"/>
        <w:left w:val="none" w:sz="0" w:space="0" w:color="auto"/>
        <w:bottom w:val="none" w:sz="0" w:space="0" w:color="auto"/>
        <w:right w:val="none" w:sz="0" w:space="0" w:color="auto"/>
      </w:divBdr>
      <w:divsChild>
        <w:div w:id="1415737609">
          <w:marLeft w:val="0"/>
          <w:marRight w:val="0"/>
          <w:marTop w:val="160"/>
          <w:marBottom w:val="160"/>
          <w:divBdr>
            <w:top w:val="none" w:sz="0" w:space="0" w:color="auto"/>
            <w:left w:val="none" w:sz="0" w:space="0" w:color="auto"/>
            <w:bottom w:val="none" w:sz="0" w:space="0" w:color="auto"/>
            <w:right w:val="none" w:sz="0" w:space="0" w:color="auto"/>
          </w:divBdr>
        </w:div>
      </w:divsChild>
    </w:div>
    <w:div w:id="298146882">
      <w:marLeft w:val="0"/>
      <w:marRight w:val="0"/>
      <w:marTop w:val="0"/>
      <w:marBottom w:val="120"/>
      <w:divBdr>
        <w:top w:val="none" w:sz="0" w:space="0" w:color="auto"/>
        <w:left w:val="none" w:sz="0" w:space="0" w:color="auto"/>
        <w:bottom w:val="none" w:sz="0" w:space="0" w:color="auto"/>
        <w:right w:val="none" w:sz="0" w:space="0" w:color="auto"/>
      </w:divBdr>
    </w:div>
    <w:div w:id="303005633">
      <w:marLeft w:val="0"/>
      <w:marRight w:val="0"/>
      <w:marTop w:val="0"/>
      <w:marBottom w:val="0"/>
      <w:divBdr>
        <w:top w:val="none" w:sz="0" w:space="0" w:color="auto"/>
        <w:left w:val="none" w:sz="0" w:space="0" w:color="auto"/>
        <w:bottom w:val="none" w:sz="0" w:space="0" w:color="auto"/>
        <w:right w:val="none" w:sz="0" w:space="0" w:color="auto"/>
      </w:divBdr>
    </w:div>
    <w:div w:id="311179630">
      <w:marLeft w:val="0"/>
      <w:marRight w:val="0"/>
      <w:marTop w:val="0"/>
      <w:marBottom w:val="0"/>
      <w:divBdr>
        <w:top w:val="none" w:sz="0" w:space="0" w:color="auto"/>
        <w:left w:val="none" w:sz="0" w:space="0" w:color="auto"/>
        <w:bottom w:val="none" w:sz="0" w:space="0" w:color="auto"/>
        <w:right w:val="none" w:sz="0" w:space="0" w:color="auto"/>
      </w:divBdr>
    </w:div>
    <w:div w:id="313880570">
      <w:marLeft w:val="0"/>
      <w:marRight w:val="0"/>
      <w:marTop w:val="0"/>
      <w:marBottom w:val="60"/>
      <w:divBdr>
        <w:top w:val="none" w:sz="0" w:space="0" w:color="auto"/>
        <w:left w:val="none" w:sz="0" w:space="0" w:color="auto"/>
        <w:bottom w:val="none" w:sz="0" w:space="0" w:color="auto"/>
        <w:right w:val="none" w:sz="0" w:space="0" w:color="auto"/>
      </w:divBdr>
    </w:div>
    <w:div w:id="325983093">
      <w:marLeft w:val="0"/>
      <w:marRight w:val="0"/>
      <w:marTop w:val="0"/>
      <w:marBottom w:val="0"/>
      <w:divBdr>
        <w:top w:val="none" w:sz="0" w:space="0" w:color="auto"/>
        <w:left w:val="none" w:sz="0" w:space="0" w:color="auto"/>
        <w:bottom w:val="none" w:sz="0" w:space="0" w:color="auto"/>
        <w:right w:val="none" w:sz="0" w:space="0" w:color="auto"/>
      </w:divBdr>
    </w:div>
    <w:div w:id="345209645">
      <w:marLeft w:val="0"/>
      <w:marRight w:val="0"/>
      <w:marTop w:val="0"/>
      <w:marBottom w:val="0"/>
      <w:divBdr>
        <w:top w:val="none" w:sz="0" w:space="0" w:color="auto"/>
        <w:left w:val="none" w:sz="0" w:space="0" w:color="auto"/>
        <w:bottom w:val="none" w:sz="0" w:space="0" w:color="auto"/>
        <w:right w:val="none" w:sz="0" w:space="0" w:color="auto"/>
      </w:divBdr>
    </w:div>
    <w:div w:id="349720519">
      <w:marLeft w:val="0"/>
      <w:marRight w:val="0"/>
      <w:marTop w:val="0"/>
      <w:marBottom w:val="60"/>
      <w:divBdr>
        <w:top w:val="none" w:sz="0" w:space="0" w:color="auto"/>
        <w:left w:val="none" w:sz="0" w:space="0" w:color="auto"/>
        <w:bottom w:val="none" w:sz="0" w:space="0" w:color="auto"/>
        <w:right w:val="none" w:sz="0" w:space="0" w:color="auto"/>
      </w:divBdr>
    </w:div>
    <w:div w:id="353310417">
      <w:marLeft w:val="0"/>
      <w:marRight w:val="0"/>
      <w:marTop w:val="0"/>
      <w:marBottom w:val="0"/>
      <w:divBdr>
        <w:top w:val="none" w:sz="0" w:space="0" w:color="auto"/>
        <w:left w:val="none" w:sz="0" w:space="0" w:color="auto"/>
        <w:bottom w:val="none" w:sz="0" w:space="0" w:color="auto"/>
        <w:right w:val="none" w:sz="0" w:space="0" w:color="auto"/>
      </w:divBdr>
      <w:divsChild>
        <w:div w:id="482546613">
          <w:marLeft w:val="0"/>
          <w:marRight w:val="0"/>
          <w:marTop w:val="160"/>
          <w:marBottom w:val="160"/>
          <w:divBdr>
            <w:top w:val="none" w:sz="0" w:space="0" w:color="auto"/>
            <w:left w:val="none" w:sz="0" w:space="0" w:color="auto"/>
            <w:bottom w:val="none" w:sz="0" w:space="0" w:color="auto"/>
            <w:right w:val="none" w:sz="0" w:space="0" w:color="auto"/>
          </w:divBdr>
        </w:div>
      </w:divsChild>
    </w:div>
    <w:div w:id="354697164">
      <w:marLeft w:val="0"/>
      <w:marRight w:val="0"/>
      <w:marTop w:val="0"/>
      <w:marBottom w:val="0"/>
      <w:divBdr>
        <w:top w:val="none" w:sz="0" w:space="0" w:color="auto"/>
        <w:left w:val="none" w:sz="0" w:space="0" w:color="auto"/>
        <w:bottom w:val="none" w:sz="0" w:space="0" w:color="auto"/>
        <w:right w:val="none" w:sz="0" w:space="0" w:color="auto"/>
      </w:divBdr>
    </w:div>
    <w:div w:id="355011587">
      <w:marLeft w:val="0"/>
      <w:marRight w:val="0"/>
      <w:marTop w:val="0"/>
      <w:marBottom w:val="0"/>
      <w:divBdr>
        <w:top w:val="none" w:sz="0" w:space="0" w:color="auto"/>
        <w:left w:val="none" w:sz="0" w:space="0" w:color="auto"/>
        <w:bottom w:val="none" w:sz="0" w:space="0" w:color="auto"/>
        <w:right w:val="none" w:sz="0" w:space="0" w:color="auto"/>
      </w:divBdr>
      <w:divsChild>
        <w:div w:id="1165977604">
          <w:marLeft w:val="0"/>
          <w:marRight w:val="0"/>
          <w:marTop w:val="0"/>
          <w:marBottom w:val="0"/>
          <w:divBdr>
            <w:top w:val="none" w:sz="0" w:space="0" w:color="auto"/>
            <w:left w:val="none" w:sz="0" w:space="0" w:color="auto"/>
            <w:bottom w:val="none" w:sz="0" w:space="0" w:color="auto"/>
            <w:right w:val="none" w:sz="0" w:space="0" w:color="auto"/>
          </w:divBdr>
        </w:div>
      </w:divsChild>
    </w:div>
    <w:div w:id="371346178">
      <w:marLeft w:val="0"/>
      <w:marRight w:val="0"/>
      <w:marTop w:val="0"/>
      <w:marBottom w:val="0"/>
      <w:divBdr>
        <w:top w:val="none" w:sz="0" w:space="0" w:color="auto"/>
        <w:left w:val="none" w:sz="0" w:space="0" w:color="auto"/>
        <w:bottom w:val="none" w:sz="0" w:space="0" w:color="auto"/>
        <w:right w:val="none" w:sz="0" w:space="0" w:color="auto"/>
      </w:divBdr>
      <w:divsChild>
        <w:div w:id="252128380">
          <w:marLeft w:val="0"/>
          <w:marRight w:val="0"/>
          <w:marTop w:val="160"/>
          <w:marBottom w:val="160"/>
          <w:divBdr>
            <w:top w:val="none" w:sz="0" w:space="0" w:color="auto"/>
            <w:left w:val="none" w:sz="0" w:space="0" w:color="auto"/>
            <w:bottom w:val="none" w:sz="0" w:space="0" w:color="auto"/>
            <w:right w:val="none" w:sz="0" w:space="0" w:color="auto"/>
          </w:divBdr>
        </w:div>
      </w:divsChild>
    </w:div>
    <w:div w:id="373577777">
      <w:marLeft w:val="0"/>
      <w:marRight w:val="0"/>
      <w:marTop w:val="100"/>
      <w:marBottom w:val="0"/>
      <w:divBdr>
        <w:top w:val="none" w:sz="0" w:space="0" w:color="auto"/>
        <w:left w:val="none" w:sz="0" w:space="0" w:color="auto"/>
        <w:bottom w:val="none" w:sz="0" w:space="0" w:color="auto"/>
        <w:right w:val="none" w:sz="0" w:space="0" w:color="auto"/>
      </w:divBdr>
    </w:div>
    <w:div w:id="376900742">
      <w:marLeft w:val="0"/>
      <w:marRight w:val="0"/>
      <w:marTop w:val="0"/>
      <w:marBottom w:val="0"/>
      <w:divBdr>
        <w:top w:val="none" w:sz="0" w:space="0" w:color="auto"/>
        <w:left w:val="none" w:sz="0" w:space="0" w:color="auto"/>
        <w:bottom w:val="none" w:sz="0" w:space="0" w:color="auto"/>
        <w:right w:val="none" w:sz="0" w:space="0" w:color="auto"/>
      </w:divBdr>
      <w:divsChild>
        <w:div w:id="66390014">
          <w:marLeft w:val="0"/>
          <w:marRight w:val="0"/>
          <w:marTop w:val="0"/>
          <w:marBottom w:val="0"/>
          <w:divBdr>
            <w:top w:val="none" w:sz="0" w:space="0" w:color="auto"/>
            <w:left w:val="none" w:sz="0" w:space="0" w:color="auto"/>
            <w:bottom w:val="none" w:sz="0" w:space="0" w:color="auto"/>
            <w:right w:val="none" w:sz="0" w:space="0" w:color="auto"/>
          </w:divBdr>
        </w:div>
      </w:divsChild>
    </w:div>
    <w:div w:id="381490911">
      <w:marLeft w:val="0"/>
      <w:marRight w:val="0"/>
      <w:marTop w:val="0"/>
      <w:marBottom w:val="0"/>
      <w:divBdr>
        <w:top w:val="none" w:sz="0" w:space="0" w:color="auto"/>
        <w:left w:val="none" w:sz="0" w:space="0" w:color="auto"/>
        <w:bottom w:val="none" w:sz="0" w:space="0" w:color="auto"/>
        <w:right w:val="none" w:sz="0" w:space="0" w:color="auto"/>
      </w:divBdr>
    </w:div>
    <w:div w:id="386612883">
      <w:marLeft w:val="0"/>
      <w:marRight w:val="0"/>
      <w:marTop w:val="0"/>
      <w:marBottom w:val="0"/>
      <w:divBdr>
        <w:top w:val="none" w:sz="0" w:space="0" w:color="auto"/>
        <w:left w:val="none" w:sz="0" w:space="0" w:color="auto"/>
        <w:bottom w:val="none" w:sz="0" w:space="0" w:color="auto"/>
        <w:right w:val="none" w:sz="0" w:space="0" w:color="auto"/>
      </w:divBdr>
    </w:div>
    <w:div w:id="389963074">
      <w:marLeft w:val="0"/>
      <w:marRight w:val="0"/>
      <w:marTop w:val="0"/>
      <w:marBottom w:val="0"/>
      <w:divBdr>
        <w:top w:val="none" w:sz="0" w:space="0" w:color="auto"/>
        <w:left w:val="none" w:sz="0" w:space="0" w:color="auto"/>
        <w:bottom w:val="none" w:sz="0" w:space="0" w:color="auto"/>
        <w:right w:val="none" w:sz="0" w:space="0" w:color="auto"/>
      </w:divBdr>
      <w:divsChild>
        <w:div w:id="1842313632">
          <w:marLeft w:val="0"/>
          <w:marRight w:val="0"/>
          <w:marTop w:val="160"/>
          <w:marBottom w:val="160"/>
          <w:divBdr>
            <w:top w:val="none" w:sz="0" w:space="0" w:color="auto"/>
            <w:left w:val="none" w:sz="0" w:space="0" w:color="auto"/>
            <w:bottom w:val="none" w:sz="0" w:space="0" w:color="auto"/>
            <w:right w:val="none" w:sz="0" w:space="0" w:color="auto"/>
          </w:divBdr>
        </w:div>
      </w:divsChild>
    </w:div>
    <w:div w:id="399520837">
      <w:marLeft w:val="0"/>
      <w:marRight w:val="0"/>
      <w:marTop w:val="0"/>
      <w:marBottom w:val="0"/>
      <w:divBdr>
        <w:top w:val="none" w:sz="0" w:space="0" w:color="auto"/>
        <w:left w:val="none" w:sz="0" w:space="0" w:color="auto"/>
        <w:bottom w:val="none" w:sz="0" w:space="0" w:color="auto"/>
        <w:right w:val="none" w:sz="0" w:space="0" w:color="auto"/>
      </w:divBdr>
    </w:div>
    <w:div w:id="402068066">
      <w:marLeft w:val="0"/>
      <w:marRight w:val="0"/>
      <w:marTop w:val="0"/>
      <w:marBottom w:val="0"/>
      <w:divBdr>
        <w:top w:val="none" w:sz="0" w:space="0" w:color="auto"/>
        <w:left w:val="none" w:sz="0" w:space="0" w:color="auto"/>
        <w:bottom w:val="none" w:sz="0" w:space="0" w:color="auto"/>
        <w:right w:val="none" w:sz="0" w:space="0" w:color="auto"/>
      </w:divBdr>
    </w:div>
    <w:div w:id="406269173">
      <w:marLeft w:val="0"/>
      <w:marRight w:val="0"/>
      <w:marTop w:val="0"/>
      <w:marBottom w:val="60"/>
      <w:divBdr>
        <w:top w:val="none" w:sz="0" w:space="0" w:color="auto"/>
        <w:left w:val="none" w:sz="0" w:space="0" w:color="auto"/>
        <w:bottom w:val="none" w:sz="0" w:space="0" w:color="auto"/>
        <w:right w:val="none" w:sz="0" w:space="0" w:color="auto"/>
      </w:divBdr>
    </w:div>
    <w:div w:id="413092305">
      <w:marLeft w:val="0"/>
      <w:marRight w:val="0"/>
      <w:marTop w:val="0"/>
      <w:marBottom w:val="0"/>
      <w:divBdr>
        <w:top w:val="none" w:sz="0" w:space="0" w:color="auto"/>
        <w:left w:val="none" w:sz="0" w:space="0" w:color="auto"/>
        <w:bottom w:val="none" w:sz="0" w:space="0" w:color="auto"/>
        <w:right w:val="none" w:sz="0" w:space="0" w:color="auto"/>
      </w:divBdr>
    </w:div>
    <w:div w:id="417410629">
      <w:marLeft w:val="0"/>
      <w:marRight w:val="0"/>
      <w:marTop w:val="0"/>
      <w:marBottom w:val="0"/>
      <w:divBdr>
        <w:top w:val="none" w:sz="0" w:space="0" w:color="auto"/>
        <w:left w:val="none" w:sz="0" w:space="0" w:color="auto"/>
        <w:bottom w:val="none" w:sz="0" w:space="0" w:color="auto"/>
        <w:right w:val="none" w:sz="0" w:space="0" w:color="auto"/>
      </w:divBdr>
    </w:div>
    <w:div w:id="421417627">
      <w:marLeft w:val="0"/>
      <w:marRight w:val="0"/>
      <w:marTop w:val="0"/>
      <w:marBottom w:val="60"/>
      <w:divBdr>
        <w:top w:val="none" w:sz="0" w:space="0" w:color="auto"/>
        <w:left w:val="none" w:sz="0" w:space="0" w:color="auto"/>
        <w:bottom w:val="none" w:sz="0" w:space="0" w:color="auto"/>
        <w:right w:val="none" w:sz="0" w:space="0" w:color="auto"/>
      </w:divBdr>
    </w:div>
    <w:div w:id="438138990">
      <w:marLeft w:val="0"/>
      <w:marRight w:val="0"/>
      <w:marTop w:val="0"/>
      <w:marBottom w:val="0"/>
      <w:divBdr>
        <w:top w:val="none" w:sz="0" w:space="0" w:color="auto"/>
        <w:left w:val="none" w:sz="0" w:space="0" w:color="auto"/>
        <w:bottom w:val="none" w:sz="0" w:space="0" w:color="auto"/>
        <w:right w:val="none" w:sz="0" w:space="0" w:color="auto"/>
      </w:divBdr>
    </w:div>
    <w:div w:id="449276917">
      <w:marLeft w:val="0"/>
      <w:marRight w:val="0"/>
      <w:marTop w:val="240"/>
      <w:marBottom w:val="160"/>
      <w:divBdr>
        <w:top w:val="none" w:sz="0" w:space="0" w:color="auto"/>
        <w:left w:val="none" w:sz="0" w:space="0" w:color="auto"/>
        <w:bottom w:val="none" w:sz="0" w:space="0" w:color="auto"/>
        <w:right w:val="none" w:sz="0" w:space="0" w:color="auto"/>
      </w:divBdr>
    </w:div>
    <w:div w:id="457601858">
      <w:marLeft w:val="0"/>
      <w:marRight w:val="0"/>
      <w:marTop w:val="0"/>
      <w:marBottom w:val="0"/>
      <w:divBdr>
        <w:top w:val="none" w:sz="0" w:space="0" w:color="auto"/>
        <w:left w:val="none" w:sz="0" w:space="0" w:color="auto"/>
        <w:bottom w:val="none" w:sz="0" w:space="0" w:color="auto"/>
        <w:right w:val="none" w:sz="0" w:space="0" w:color="auto"/>
      </w:divBdr>
      <w:divsChild>
        <w:div w:id="617952510">
          <w:marLeft w:val="0"/>
          <w:marRight w:val="0"/>
          <w:marTop w:val="160"/>
          <w:marBottom w:val="160"/>
          <w:divBdr>
            <w:top w:val="none" w:sz="0" w:space="0" w:color="auto"/>
            <w:left w:val="none" w:sz="0" w:space="0" w:color="auto"/>
            <w:bottom w:val="none" w:sz="0" w:space="0" w:color="auto"/>
            <w:right w:val="none" w:sz="0" w:space="0" w:color="auto"/>
          </w:divBdr>
        </w:div>
      </w:divsChild>
    </w:div>
    <w:div w:id="463550113">
      <w:marLeft w:val="0"/>
      <w:marRight w:val="0"/>
      <w:marTop w:val="0"/>
      <w:marBottom w:val="0"/>
      <w:divBdr>
        <w:top w:val="none" w:sz="0" w:space="0" w:color="auto"/>
        <w:left w:val="none" w:sz="0" w:space="0" w:color="auto"/>
        <w:bottom w:val="none" w:sz="0" w:space="0" w:color="auto"/>
        <w:right w:val="none" w:sz="0" w:space="0" w:color="auto"/>
      </w:divBdr>
      <w:divsChild>
        <w:div w:id="1458328112">
          <w:marLeft w:val="0"/>
          <w:marRight w:val="0"/>
          <w:marTop w:val="0"/>
          <w:marBottom w:val="0"/>
          <w:divBdr>
            <w:top w:val="none" w:sz="0" w:space="0" w:color="auto"/>
            <w:left w:val="none" w:sz="0" w:space="0" w:color="auto"/>
            <w:bottom w:val="none" w:sz="0" w:space="0" w:color="auto"/>
            <w:right w:val="none" w:sz="0" w:space="0" w:color="auto"/>
          </w:divBdr>
        </w:div>
      </w:divsChild>
    </w:div>
    <w:div w:id="490565360">
      <w:marLeft w:val="0"/>
      <w:marRight w:val="0"/>
      <w:marTop w:val="0"/>
      <w:marBottom w:val="0"/>
      <w:divBdr>
        <w:top w:val="none" w:sz="0" w:space="0" w:color="auto"/>
        <w:left w:val="none" w:sz="0" w:space="0" w:color="auto"/>
        <w:bottom w:val="none" w:sz="0" w:space="0" w:color="auto"/>
        <w:right w:val="none" w:sz="0" w:space="0" w:color="auto"/>
      </w:divBdr>
    </w:div>
    <w:div w:id="491992125">
      <w:marLeft w:val="0"/>
      <w:marRight w:val="0"/>
      <w:marTop w:val="0"/>
      <w:marBottom w:val="0"/>
      <w:divBdr>
        <w:top w:val="none" w:sz="0" w:space="0" w:color="auto"/>
        <w:left w:val="none" w:sz="0" w:space="0" w:color="auto"/>
        <w:bottom w:val="none" w:sz="0" w:space="0" w:color="auto"/>
        <w:right w:val="none" w:sz="0" w:space="0" w:color="auto"/>
      </w:divBdr>
      <w:divsChild>
        <w:div w:id="768232647">
          <w:marLeft w:val="0"/>
          <w:marRight w:val="0"/>
          <w:marTop w:val="0"/>
          <w:marBottom w:val="0"/>
          <w:divBdr>
            <w:top w:val="none" w:sz="0" w:space="0" w:color="auto"/>
            <w:left w:val="none" w:sz="0" w:space="0" w:color="auto"/>
            <w:bottom w:val="none" w:sz="0" w:space="0" w:color="auto"/>
            <w:right w:val="none" w:sz="0" w:space="0" w:color="auto"/>
          </w:divBdr>
        </w:div>
      </w:divsChild>
    </w:div>
    <w:div w:id="500046612">
      <w:marLeft w:val="0"/>
      <w:marRight w:val="0"/>
      <w:marTop w:val="0"/>
      <w:marBottom w:val="0"/>
      <w:divBdr>
        <w:top w:val="none" w:sz="0" w:space="0" w:color="auto"/>
        <w:left w:val="none" w:sz="0" w:space="0" w:color="auto"/>
        <w:bottom w:val="none" w:sz="0" w:space="0" w:color="auto"/>
        <w:right w:val="none" w:sz="0" w:space="0" w:color="auto"/>
      </w:divBdr>
    </w:div>
    <w:div w:id="500701871">
      <w:marLeft w:val="0"/>
      <w:marRight w:val="0"/>
      <w:marTop w:val="0"/>
      <w:marBottom w:val="0"/>
      <w:divBdr>
        <w:top w:val="none" w:sz="0" w:space="0" w:color="auto"/>
        <w:left w:val="none" w:sz="0" w:space="0" w:color="auto"/>
        <w:bottom w:val="none" w:sz="0" w:space="0" w:color="auto"/>
        <w:right w:val="none" w:sz="0" w:space="0" w:color="auto"/>
      </w:divBdr>
    </w:div>
    <w:div w:id="507209608">
      <w:marLeft w:val="0"/>
      <w:marRight w:val="0"/>
      <w:marTop w:val="0"/>
      <w:marBottom w:val="0"/>
      <w:divBdr>
        <w:top w:val="none" w:sz="0" w:space="0" w:color="auto"/>
        <w:left w:val="none" w:sz="0" w:space="0" w:color="auto"/>
        <w:bottom w:val="none" w:sz="0" w:space="0" w:color="auto"/>
        <w:right w:val="none" w:sz="0" w:space="0" w:color="auto"/>
      </w:divBdr>
    </w:div>
    <w:div w:id="535313221">
      <w:marLeft w:val="0"/>
      <w:marRight w:val="0"/>
      <w:marTop w:val="0"/>
      <w:marBottom w:val="0"/>
      <w:divBdr>
        <w:top w:val="none" w:sz="0" w:space="0" w:color="auto"/>
        <w:left w:val="none" w:sz="0" w:space="0" w:color="auto"/>
        <w:bottom w:val="none" w:sz="0" w:space="0" w:color="auto"/>
        <w:right w:val="none" w:sz="0" w:space="0" w:color="auto"/>
      </w:divBdr>
    </w:div>
    <w:div w:id="542139723">
      <w:marLeft w:val="0"/>
      <w:marRight w:val="0"/>
      <w:marTop w:val="0"/>
      <w:marBottom w:val="0"/>
      <w:divBdr>
        <w:top w:val="none" w:sz="0" w:space="0" w:color="auto"/>
        <w:left w:val="none" w:sz="0" w:space="0" w:color="auto"/>
        <w:bottom w:val="none" w:sz="0" w:space="0" w:color="auto"/>
        <w:right w:val="none" w:sz="0" w:space="0" w:color="auto"/>
      </w:divBdr>
    </w:div>
    <w:div w:id="547647058">
      <w:marLeft w:val="0"/>
      <w:marRight w:val="0"/>
      <w:marTop w:val="100"/>
      <w:marBottom w:val="0"/>
      <w:divBdr>
        <w:top w:val="none" w:sz="0" w:space="0" w:color="auto"/>
        <w:left w:val="none" w:sz="0" w:space="0" w:color="auto"/>
        <w:bottom w:val="none" w:sz="0" w:space="0" w:color="auto"/>
        <w:right w:val="none" w:sz="0" w:space="0" w:color="auto"/>
      </w:divBdr>
    </w:div>
    <w:div w:id="576550049">
      <w:marLeft w:val="0"/>
      <w:marRight w:val="0"/>
      <w:marTop w:val="0"/>
      <w:marBottom w:val="0"/>
      <w:divBdr>
        <w:top w:val="none" w:sz="0" w:space="0" w:color="auto"/>
        <w:left w:val="none" w:sz="0" w:space="0" w:color="auto"/>
        <w:bottom w:val="none" w:sz="0" w:space="0" w:color="auto"/>
        <w:right w:val="none" w:sz="0" w:space="0" w:color="auto"/>
      </w:divBdr>
      <w:divsChild>
        <w:div w:id="203948039">
          <w:marLeft w:val="0"/>
          <w:marRight w:val="0"/>
          <w:marTop w:val="160"/>
          <w:marBottom w:val="160"/>
          <w:divBdr>
            <w:top w:val="none" w:sz="0" w:space="0" w:color="auto"/>
            <w:left w:val="none" w:sz="0" w:space="0" w:color="auto"/>
            <w:bottom w:val="none" w:sz="0" w:space="0" w:color="auto"/>
            <w:right w:val="none" w:sz="0" w:space="0" w:color="auto"/>
          </w:divBdr>
        </w:div>
      </w:divsChild>
    </w:div>
    <w:div w:id="584416272">
      <w:marLeft w:val="0"/>
      <w:marRight w:val="0"/>
      <w:marTop w:val="240"/>
      <w:marBottom w:val="160"/>
      <w:divBdr>
        <w:top w:val="none" w:sz="0" w:space="0" w:color="auto"/>
        <w:left w:val="none" w:sz="0" w:space="0" w:color="auto"/>
        <w:bottom w:val="none" w:sz="0" w:space="0" w:color="auto"/>
        <w:right w:val="none" w:sz="0" w:space="0" w:color="auto"/>
      </w:divBdr>
    </w:div>
    <w:div w:id="588151732">
      <w:marLeft w:val="0"/>
      <w:marRight w:val="0"/>
      <w:marTop w:val="0"/>
      <w:marBottom w:val="0"/>
      <w:divBdr>
        <w:top w:val="none" w:sz="0" w:space="0" w:color="auto"/>
        <w:left w:val="none" w:sz="0" w:space="0" w:color="auto"/>
        <w:bottom w:val="none" w:sz="0" w:space="0" w:color="auto"/>
        <w:right w:val="none" w:sz="0" w:space="0" w:color="auto"/>
      </w:divBdr>
    </w:div>
    <w:div w:id="617761764">
      <w:marLeft w:val="0"/>
      <w:marRight w:val="0"/>
      <w:marTop w:val="0"/>
      <w:marBottom w:val="0"/>
      <w:divBdr>
        <w:top w:val="none" w:sz="0" w:space="0" w:color="auto"/>
        <w:left w:val="none" w:sz="0" w:space="0" w:color="auto"/>
        <w:bottom w:val="none" w:sz="0" w:space="0" w:color="auto"/>
        <w:right w:val="none" w:sz="0" w:space="0" w:color="auto"/>
      </w:divBdr>
      <w:divsChild>
        <w:div w:id="1072240095">
          <w:marLeft w:val="0"/>
          <w:marRight w:val="0"/>
          <w:marTop w:val="0"/>
          <w:marBottom w:val="0"/>
          <w:divBdr>
            <w:top w:val="none" w:sz="0" w:space="0" w:color="auto"/>
            <w:left w:val="none" w:sz="0" w:space="0" w:color="auto"/>
            <w:bottom w:val="none" w:sz="0" w:space="0" w:color="auto"/>
            <w:right w:val="none" w:sz="0" w:space="0" w:color="auto"/>
          </w:divBdr>
        </w:div>
      </w:divsChild>
    </w:div>
    <w:div w:id="622464823">
      <w:marLeft w:val="0"/>
      <w:marRight w:val="0"/>
      <w:marTop w:val="0"/>
      <w:marBottom w:val="0"/>
      <w:divBdr>
        <w:top w:val="none" w:sz="0" w:space="0" w:color="auto"/>
        <w:left w:val="none" w:sz="0" w:space="0" w:color="auto"/>
        <w:bottom w:val="none" w:sz="0" w:space="0" w:color="auto"/>
        <w:right w:val="none" w:sz="0" w:space="0" w:color="auto"/>
      </w:divBdr>
      <w:divsChild>
        <w:div w:id="813185833">
          <w:marLeft w:val="0"/>
          <w:marRight w:val="0"/>
          <w:marTop w:val="160"/>
          <w:marBottom w:val="160"/>
          <w:divBdr>
            <w:top w:val="none" w:sz="0" w:space="0" w:color="auto"/>
            <w:left w:val="none" w:sz="0" w:space="0" w:color="auto"/>
            <w:bottom w:val="none" w:sz="0" w:space="0" w:color="auto"/>
            <w:right w:val="none" w:sz="0" w:space="0" w:color="auto"/>
          </w:divBdr>
        </w:div>
      </w:divsChild>
    </w:div>
    <w:div w:id="638268586">
      <w:marLeft w:val="0"/>
      <w:marRight w:val="0"/>
      <w:marTop w:val="0"/>
      <w:marBottom w:val="0"/>
      <w:divBdr>
        <w:top w:val="none" w:sz="0" w:space="0" w:color="auto"/>
        <w:left w:val="none" w:sz="0" w:space="0" w:color="auto"/>
        <w:bottom w:val="none" w:sz="0" w:space="0" w:color="auto"/>
        <w:right w:val="none" w:sz="0" w:space="0" w:color="auto"/>
      </w:divBdr>
    </w:div>
    <w:div w:id="638343450">
      <w:marLeft w:val="0"/>
      <w:marRight w:val="0"/>
      <w:marTop w:val="0"/>
      <w:marBottom w:val="0"/>
      <w:divBdr>
        <w:top w:val="none" w:sz="0" w:space="0" w:color="auto"/>
        <w:left w:val="none" w:sz="0" w:space="0" w:color="auto"/>
        <w:bottom w:val="none" w:sz="0" w:space="0" w:color="auto"/>
        <w:right w:val="none" w:sz="0" w:space="0" w:color="auto"/>
      </w:divBdr>
      <w:divsChild>
        <w:div w:id="1132021235">
          <w:marLeft w:val="0"/>
          <w:marRight w:val="0"/>
          <w:marTop w:val="0"/>
          <w:marBottom w:val="0"/>
          <w:divBdr>
            <w:top w:val="none" w:sz="0" w:space="0" w:color="auto"/>
            <w:left w:val="none" w:sz="0" w:space="0" w:color="auto"/>
            <w:bottom w:val="none" w:sz="0" w:space="0" w:color="auto"/>
            <w:right w:val="none" w:sz="0" w:space="0" w:color="auto"/>
          </w:divBdr>
        </w:div>
      </w:divsChild>
    </w:div>
    <w:div w:id="639306905">
      <w:marLeft w:val="0"/>
      <w:marRight w:val="0"/>
      <w:marTop w:val="0"/>
      <w:marBottom w:val="60"/>
      <w:divBdr>
        <w:top w:val="none" w:sz="0" w:space="0" w:color="auto"/>
        <w:left w:val="none" w:sz="0" w:space="0" w:color="auto"/>
        <w:bottom w:val="none" w:sz="0" w:space="0" w:color="auto"/>
        <w:right w:val="none" w:sz="0" w:space="0" w:color="auto"/>
      </w:divBdr>
    </w:div>
    <w:div w:id="642003126">
      <w:marLeft w:val="0"/>
      <w:marRight w:val="0"/>
      <w:marTop w:val="0"/>
      <w:marBottom w:val="0"/>
      <w:divBdr>
        <w:top w:val="none" w:sz="0" w:space="0" w:color="auto"/>
        <w:left w:val="none" w:sz="0" w:space="0" w:color="auto"/>
        <w:bottom w:val="none" w:sz="0" w:space="0" w:color="auto"/>
        <w:right w:val="none" w:sz="0" w:space="0" w:color="auto"/>
      </w:divBdr>
      <w:divsChild>
        <w:div w:id="823207332">
          <w:marLeft w:val="0"/>
          <w:marRight w:val="0"/>
          <w:marTop w:val="160"/>
          <w:marBottom w:val="160"/>
          <w:divBdr>
            <w:top w:val="none" w:sz="0" w:space="0" w:color="auto"/>
            <w:left w:val="none" w:sz="0" w:space="0" w:color="auto"/>
            <w:bottom w:val="none" w:sz="0" w:space="0" w:color="auto"/>
            <w:right w:val="none" w:sz="0" w:space="0" w:color="auto"/>
          </w:divBdr>
        </w:div>
      </w:divsChild>
    </w:div>
    <w:div w:id="653801597">
      <w:marLeft w:val="0"/>
      <w:marRight w:val="0"/>
      <w:marTop w:val="0"/>
      <w:marBottom w:val="0"/>
      <w:divBdr>
        <w:top w:val="none" w:sz="0" w:space="0" w:color="auto"/>
        <w:left w:val="none" w:sz="0" w:space="0" w:color="auto"/>
        <w:bottom w:val="none" w:sz="0" w:space="0" w:color="auto"/>
        <w:right w:val="none" w:sz="0" w:space="0" w:color="auto"/>
      </w:divBdr>
      <w:divsChild>
        <w:div w:id="1273049669">
          <w:marLeft w:val="0"/>
          <w:marRight w:val="0"/>
          <w:marTop w:val="0"/>
          <w:marBottom w:val="0"/>
          <w:divBdr>
            <w:top w:val="none" w:sz="0" w:space="0" w:color="auto"/>
            <w:left w:val="none" w:sz="0" w:space="0" w:color="auto"/>
            <w:bottom w:val="none" w:sz="0" w:space="0" w:color="auto"/>
            <w:right w:val="none" w:sz="0" w:space="0" w:color="auto"/>
          </w:divBdr>
        </w:div>
      </w:divsChild>
    </w:div>
    <w:div w:id="656810707">
      <w:marLeft w:val="0"/>
      <w:marRight w:val="0"/>
      <w:marTop w:val="0"/>
      <w:marBottom w:val="0"/>
      <w:divBdr>
        <w:top w:val="none" w:sz="0" w:space="0" w:color="auto"/>
        <w:left w:val="none" w:sz="0" w:space="0" w:color="auto"/>
        <w:bottom w:val="none" w:sz="0" w:space="0" w:color="auto"/>
        <w:right w:val="none" w:sz="0" w:space="0" w:color="auto"/>
      </w:divBdr>
    </w:div>
    <w:div w:id="657148025">
      <w:marLeft w:val="0"/>
      <w:marRight w:val="0"/>
      <w:marTop w:val="0"/>
      <w:marBottom w:val="0"/>
      <w:divBdr>
        <w:top w:val="none" w:sz="0" w:space="0" w:color="auto"/>
        <w:left w:val="none" w:sz="0" w:space="0" w:color="auto"/>
        <w:bottom w:val="none" w:sz="0" w:space="0" w:color="auto"/>
        <w:right w:val="none" w:sz="0" w:space="0" w:color="auto"/>
      </w:divBdr>
    </w:div>
    <w:div w:id="657266398">
      <w:marLeft w:val="0"/>
      <w:marRight w:val="0"/>
      <w:marTop w:val="0"/>
      <w:marBottom w:val="0"/>
      <w:divBdr>
        <w:top w:val="none" w:sz="0" w:space="0" w:color="auto"/>
        <w:left w:val="none" w:sz="0" w:space="0" w:color="auto"/>
        <w:bottom w:val="none" w:sz="0" w:space="0" w:color="auto"/>
        <w:right w:val="none" w:sz="0" w:space="0" w:color="auto"/>
      </w:divBdr>
      <w:divsChild>
        <w:div w:id="1986009758">
          <w:marLeft w:val="0"/>
          <w:marRight w:val="0"/>
          <w:marTop w:val="0"/>
          <w:marBottom w:val="0"/>
          <w:divBdr>
            <w:top w:val="none" w:sz="0" w:space="0" w:color="auto"/>
            <w:left w:val="none" w:sz="0" w:space="0" w:color="auto"/>
            <w:bottom w:val="none" w:sz="0" w:space="0" w:color="auto"/>
            <w:right w:val="none" w:sz="0" w:space="0" w:color="auto"/>
          </w:divBdr>
        </w:div>
      </w:divsChild>
    </w:div>
    <w:div w:id="670376150">
      <w:marLeft w:val="0"/>
      <w:marRight w:val="0"/>
      <w:marTop w:val="240"/>
      <w:marBottom w:val="160"/>
      <w:divBdr>
        <w:top w:val="none" w:sz="0" w:space="0" w:color="auto"/>
        <w:left w:val="none" w:sz="0" w:space="0" w:color="auto"/>
        <w:bottom w:val="none" w:sz="0" w:space="0" w:color="auto"/>
        <w:right w:val="none" w:sz="0" w:space="0" w:color="auto"/>
      </w:divBdr>
    </w:div>
    <w:div w:id="674309662">
      <w:marLeft w:val="0"/>
      <w:marRight w:val="0"/>
      <w:marTop w:val="0"/>
      <w:marBottom w:val="0"/>
      <w:divBdr>
        <w:top w:val="none" w:sz="0" w:space="0" w:color="auto"/>
        <w:left w:val="none" w:sz="0" w:space="0" w:color="auto"/>
        <w:bottom w:val="none" w:sz="0" w:space="0" w:color="auto"/>
        <w:right w:val="none" w:sz="0" w:space="0" w:color="auto"/>
      </w:divBdr>
    </w:div>
    <w:div w:id="684136154">
      <w:marLeft w:val="0"/>
      <w:marRight w:val="0"/>
      <w:marTop w:val="0"/>
      <w:marBottom w:val="0"/>
      <w:divBdr>
        <w:top w:val="none" w:sz="0" w:space="0" w:color="auto"/>
        <w:left w:val="none" w:sz="0" w:space="0" w:color="auto"/>
        <w:bottom w:val="none" w:sz="0" w:space="0" w:color="auto"/>
        <w:right w:val="none" w:sz="0" w:space="0" w:color="auto"/>
      </w:divBdr>
    </w:div>
    <w:div w:id="691880047">
      <w:marLeft w:val="0"/>
      <w:marRight w:val="0"/>
      <w:marTop w:val="0"/>
      <w:marBottom w:val="0"/>
      <w:divBdr>
        <w:top w:val="none" w:sz="0" w:space="0" w:color="auto"/>
        <w:left w:val="none" w:sz="0" w:space="0" w:color="auto"/>
        <w:bottom w:val="none" w:sz="0" w:space="0" w:color="auto"/>
        <w:right w:val="none" w:sz="0" w:space="0" w:color="auto"/>
      </w:divBdr>
      <w:divsChild>
        <w:div w:id="372773920">
          <w:marLeft w:val="0"/>
          <w:marRight w:val="0"/>
          <w:marTop w:val="160"/>
          <w:marBottom w:val="160"/>
          <w:divBdr>
            <w:top w:val="none" w:sz="0" w:space="0" w:color="auto"/>
            <w:left w:val="none" w:sz="0" w:space="0" w:color="auto"/>
            <w:bottom w:val="none" w:sz="0" w:space="0" w:color="auto"/>
            <w:right w:val="none" w:sz="0" w:space="0" w:color="auto"/>
          </w:divBdr>
        </w:div>
      </w:divsChild>
    </w:div>
    <w:div w:id="693576504">
      <w:marLeft w:val="0"/>
      <w:marRight w:val="0"/>
      <w:marTop w:val="0"/>
      <w:marBottom w:val="0"/>
      <w:divBdr>
        <w:top w:val="none" w:sz="0" w:space="0" w:color="auto"/>
        <w:left w:val="none" w:sz="0" w:space="0" w:color="auto"/>
        <w:bottom w:val="none" w:sz="0" w:space="0" w:color="auto"/>
        <w:right w:val="none" w:sz="0" w:space="0" w:color="auto"/>
      </w:divBdr>
      <w:divsChild>
        <w:div w:id="542132570">
          <w:marLeft w:val="0"/>
          <w:marRight w:val="0"/>
          <w:marTop w:val="160"/>
          <w:marBottom w:val="160"/>
          <w:divBdr>
            <w:top w:val="none" w:sz="0" w:space="0" w:color="auto"/>
            <w:left w:val="none" w:sz="0" w:space="0" w:color="auto"/>
            <w:bottom w:val="none" w:sz="0" w:space="0" w:color="auto"/>
            <w:right w:val="none" w:sz="0" w:space="0" w:color="auto"/>
          </w:divBdr>
        </w:div>
      </w:divsChild>
    </w:div>
    <w:div w:id="708645710">
      <w:marLeft w:val="0"/>
      <w:marRight w:val="0"/>
      <w:marTop w:val="0"/>
      <w:marBottom w:val="0"/>
      <w:divBdr>
        <w:top w:val="none" w:sz="0" w:space="0" w:color="auto"/>
        <w:left w:val="none" w:sz="0" w:space="0" w:color="auto"/>
        <w:bottom w:val="none" w:sz="0" w:space="0" w:color="auto"/>
        <w:right w:val="none" w:sz="0" w:space="0" w:color="auto"/>
      </w:divBdr>
      <w:divsChild>
        <w:div w:id="1671517945">
          <w:marLeft w:val="0"/>
          <w:marRight w:val="0"/>
          <w:marTop w:val="160"/>
          <w:marBottom w:val="160"/>
          <w:divBdr>
            <w:top w:val="none" w:sz="0" w:space="0" w:color="auto"/>
            <w:left w:val="none" w:sz="0" w:space="0" w:color="auto"/>
            <w:bottom w:val="none" w:sz="0" w:space="0" w:color="auto"/>
            <w:right w:val="none" w:sz="0" w:space="0" w:color="auto"/>
          </w:divBdr>
        </w:div>
      </w:divsChild>
    </w:div>
    <w:div w:id="708997728">
      <w:marLeft w:val="0"/>
      <w:marRight w:val="0"/>
      <w:marTop w:val="0"/>
      <w:marBottom w:val="180"/>
      <w:divBdr>
        <w:top w:val="none" w:sz="0" w:space="0" w:color="auto"/>
        <w:left w:val="none" w:sz="0" w:space="0" w:color="auto"/>
        <w:bottom w:val="none" w:sz="0" w:space="0" w:color="auto"/>
        <w:right w:val="none" w:sz="0" w:space="0" w:color="auto"/>
      </w:divBdr>
    </w:div>
    <w:div w:id="710769281">
      <w:marLeft w:val="0"/>
      <w:marRight w:val="0"/>
      <w:marTop w:val="240"/>
      <w:marBottom w:val="0"/>
      <w:divBdr>
        <w:top w:val="none" w:sz="0" w:space="0" w:color="auto"/>
        <w:left w:val="none" w:sz="0" w:space="0" w:color="auto"/>
        <w:bottom w:val="none" w:sz="0" w:space="0" w:color="auto"/>
        <w:right w:val="none" w:sz="0" w:space="0" w:color="auto"/>
      </w:divBdr>
    </w:div>
    <w:div w:id="713849576">
      <w:marLeft w:val="0"/>
      <w:marRight w:val="0"/>
      <w:marTop w:val="0"/>
      <w:marBottom w:val="0"/>
      <w:divBdr>
        <w:top w:val="none" w:sz="0" w:space="0" w:color="auto"/>
        <w:left w:val="none" w:sz="0" w:space="0" w:color="auto"/>
        <w:bottom w:val="none" w:sz="0" w:space="0" w:color="auto"/>
        <w:right w:val="none" w:sz="0" w:space="0" w:color="auto"/>
      </w:divBdr>
    </w:div>
    <w:div w:id="715198064">
      <w:marLeft w:val="0"/>
      <w:marRight w:val="0"/>
      <w:marTop w:val="240"/>
      <w:marBottom w:val="0"/>
      <w:divBdr>
        <w:top w:val="none" w:sz="0" w:space="0" w:color="auto"/>
        <w:left w:val="none" w:sz="0" w:space="0" w:color="auto"/>
        <w:bottom w:val="none" w:sz="0" w:space="0" w:color="auto"/>
        <w:right w:val="none" w:sz="0" w:space="0" w:color="auto"/>
      </w:divBdr>
    </w:div>
    <w:div w:id="727342865">
      <w:marLeft w:val="0"/>
      <w:marRight w:val="0"/>
      <w:marTop w:val="0"/>
      <w:marBottom w:val="0"/>
      <w:divBdr>
        <w:top w:val="none" w:sz="0" w:space="0" w:color="auto"/>
        <w:left w:val="none" w:sz="0" w:space="0" w:color="auto"/>
        <w:bottom w:val="none" w:sz="0" w:space="0" w:color="auto"/>
        <w:right w:val="none" w:sz="0" w:space="0" w:color="auto"/>
      </w:divBdr>
      <w:divsChild>
        <w:div w:id="701781806">
          <w:marLeft w:val="0"/>
          <w:marRight w:val="0"/>
          <w:marTop w:val="160"/>
          <w:marBottom w:val="160"/>
          <w:divBdr>
            <w:top w:val="none" w:sz="0" w:space="0" w:color="auto"/>
            <w:left w:val="none" w:sz="0" w:space="0" w:color="auto"/>
            <w:bottom w:val="none" w:sz="0" w:space="0" w:color="auto"/>
            <w:right w:val="none" w:sz="0" w:space="0" w:color="auto"/>
          </w:divBdr>
        </w:div>
      </w:divsChild>
    </w:div>
    <w:div w:id="767694749">
      <w:marLeft w:val="0"/>
      <w:marRight w:val="0"/>
      <w:marTop w:val="0"/>
      <w:marBottom w:val="0"/>
      <w:divBdr>
        <w:top w:val="none" w:sz="0" w:space="0" w:color="auto"/>
        <w:left w:val="none" w:sz="0" w:space="0" w:color="auto"/>
        <w:bottom w:val="none" w:sz="0" w:space="0" w:color="auto"/>
        <w:right w:val="none" w:sz="0" w:space="0" w:color="auto"/>
      </w:divBdr>
    </w:div>
    <w:div w:id="775752859">
      <w:marLeft w:val="0"/>
      <w:marRight w:val="0"/>
      <w:marTop w:val="0"/>
      <w:marBottom w:val="0"/>
      <w:divBdr>
        <w:top w:val="none" w:sz="0" w:space="0" w:color="auto"/>
        <w:left w:val="none" w:sz="0" w:space="0" w:color="auto"/>
        <w:bottom w:val="none" w:sz="0" w:space="0" w:color="auto"/>
        <w:right w:val="none" w:sz="0" w:space="0" w:color="auto"/>
      </w:divBdr>
    </w:div>
    <w:div w:id="785931223">
      <w:marLeft w:val="0"/>
      <w:marRight w:val="0"/>
      <w:marTop w:val="0"/>
      <w:marBottom w:val="0"/>
      <w:divBdr>
        <w:top w:val="none" w:sz="0" w:space="0" w:color="auto"/>
        <w:left w:val="none" w:sz="0" w:space="0" w:color="auto"/>
        <w:bottom w:val="none" w:sz="0" w:space="0" w:color="auto"/>
        <w:right w:val="none" w:sz="0" w:space="0" w:color="auto"/>
      </w:divBdr>
    </w:div>
    <w:div w:id="789130212">
      <w:marLeft w:val="0"/>
      <w:marRight w:val="0"/>
      <w:marTop w:val="0"/>
      <w:marBottom w:val="0"/>
      <w:divBdr>
        <w:top w:val="none" w:sz="0" w:space="0" w:color="auto"/>
        <w:left w:val="none" w:sz="0" w:space="0" w:color="auto"/>
        <w:bottom w:val="none" w:sz="0" w:space="0" w:color="auto"/>
        <w:right w:val="none" w:sz="0" w:space="0" w:color="auto"/>
      </w:divBdr>
    </w:div>
    <w:div w:id="789781710">
      <w:marLeft w:val="0"/>
      <w:marRight w:val="0"/>
      <w:marTop w:val="0"/>
      <w:marBottom w:val="0"/>
      <w:divBdr>
        <w:top w:val="none" w:sz="0" w:space="0" w:color="auto"/>
        <w:left w:val="none" w:sz="0" w:space="0" w:color="auto"/>
        <w:bottom w:val="none" w:sz="0" w:space="0" w:color="auto"/>
        <w:right w:val="none" w:sz="0" w:space="0" w:color="auto"/>
      </w:divBdr>
      <w:divsChild>
        <w:div w:id="42562259">
          <w:marLeft w:val="0"/>
          <w:marRight w:val="0"/>
          <w:marTop w:val="0"/>
          <w:marBottom w:val="0"/>
          <w:divBdr>
            <w:top w:val="none" w:sz="0" w:space="0" w:color="auto"/>
            <w:left w:val="none" w:sz="0" w:space="0" w:color="auto"/>
            <w:bottom w:val="none" w:sz="0" w:space="0" w:color="auto"/>
            <w:right w:val="none" w:sz="0" w:space="0" w:color="auto"/>
          </w:divBdr>
        </w:div>
      </w:divsChild>
    </w:div>
    <w:div w:id="794518434">
      <w:marLeft w:val="0"/>
      <w:marRight w:val="0"/>
      <w:marTop w:val="0"/>
      <w:marBottom w:val="0"/>
      <w:divBdr>
        <w:top w:val="none" w:sz="0" w:space="0" w:color="auto"/>
        <w:left w:val="none" w:sz="0" w:space="0" w:color="auto"/>
        <w:bottom w:val="none" w:sz="0" w:space="0" w:color="auto"/>
        <w:right w:val="none" w:sz="0" w:space="0" w:color="auto"/>
      </w:divBdr>
      <w:divsChild>
        <w:div w:id="613438514">
          <w:marLeft w:val="0"/>
          <w:marRight w:val="0"/>
          <w:marTop w:val="0"/>
          <w:marBottom w:val="0"/>
          <w:divBdr>
            <w:top w:val="none" w:sz="0" w:space="0" w:color="auto"/>
            <w:left w:val="none" w:sz="0" w:space="0" w:color="auto"/>
            <w:bottom w:val="none" w:sz="0" w:space="0" w:color="auto"/>
            <w:right w:val="none" w:sz="0" w:space="0" w:color="auto"/>
          </w:divBdr>
        </w:div>
      </w:divsChild>
    </w:div>
    <w:div w:id="795568583">
      <w:marLeft w:val="0"/>
      <w:marRight w:val="0"/>
      <w:marTop w:val="0"/>
      <w:marBottom w:val="0"/>
      <w:divBdr>
        <w:top w:val="none" w:sz="0" w:space="0" w:color="auto"/>
        <w:left w:val="none" w:sz="0" w:space="0" w:color="auto"/>
        <w:bottom w:val="none" w:sz="0" w:space="0" w:color="auto"/>
        <w:right w:val="none" w:sz="0" w:space="0" w:color="auto"/>
      </w:divBdr>
      <w:divsChild>
        <w:div w:id="892421146">
          <w:marLeft w:val="0"/>
          <w:marRight w:val="0"/>
          <w:marTop w:val="0"/>
          <w:marBottom w:val="0"/>
          <w:divBdr>
            <w:top w:val="none" w:sz="0" w:space="0" w:color="auto"/>
            <w:left w:val="none" w:sz="0" w:space="0" w:color="auto"/>
            <w:bottom w:val="none" w:sz="0" w:space="0" w:color="auto"/>
            <w:right w:val="none" w:sz="0" w:space="0" w:color="auto"/>
          </w:divBdr>
        </w:div>
      </w:divsChild>
    </w:div>
    <w:div w:id="803157781">
      <w:marLeft w:val="0"/>
      <w:marRight w:val="0"/>
      <w:marTop w:val="0"/>
      <w:marBottom w:val="0"/>
      <w:divBdr>
        <w:top w:val="none" w:sz="0" w:space="0" w:color="auto"/>
        <w:left w:val="none" w:sz="0" w:space="0" w:color="auto"/>
        <w:bottom w:val="none" w:sz="0" w:space="0" w:color="auto"/>
        <w:right w:val="none" w:sz="0" w:space="0" w:color="auto"/>
      </w:divBdr>
    </w:div>
    <w:div w:id="809977701">
      <w:marLeft w:val="0"/>
      <w:marRight w:val="0"/>
      <w:marTop w:val="0"/>
      <w:marBottom w:val="0"/>
      <w:divBdr>
        <w:top w:val="none" w:sz="0" w:space="0" w:color="auto"/>
        <w:left w:val="none" w:sz="0" w:space="0" w:color="auto"/>
        <w:bottom w:val="none" w:sz="0" w:space="0" w:color="auto"/>
        <w:right w:val="none" w:sz="0" w:space="0" w:color="auto"/>
      </w:divBdr>
      <w:divsChild>
        <w:div w:id="378631786">
          <w:marLeft w:val="0"/>
          <w:marRight w:val="0"/>
          <w:marTop w:val="0"/>
          <w:marBottom w:val="0"/>
          <w:divBdr>
            <w:top w:val="none" w:sz="0" w:space="0" w:color="auto"/>
            <w:left w:val="none" w:sz="0" w:space="0" w:color="auto"/>
            <w:bottom w:val="none" w:sz="0" w:space="0" w:color="auto"/>
            <w:right w:val="none" w:sz="0" w:space="0" w:color="auto"/>
          </w:divBdr>
        </w:div>
      </w:divsChild>
    </w:div>
    <w:div w:id="816804276">
      <w:marLeft w:val="0"/>
      <w:marRight w:val="0"/>
      <w:marTop w:val="0"/>
      <w:marBottom w:val="0"/>
      <w:divBdr>
        <w:top w:val="none" w:sz="0" w:space="0" w:color="auto"/>
        <w:left w:val="none" w:sz="0" w:space="0" w:color="auto"/>
        <w:bottom w:val="none" w:sz="0" w:space="0" w:color="auto"/>
        <w:right w:val="none" w:sz="0" w:space="0" w:color="auto"/>
      </w:divBdr>
    </w:div>
    <w:div w:id="819928978">
      <w:marLeft w:val="0"/>
      <w:marRight w:val="0"/>
      <w:marTop w:val="0"/>
      <w:marBottom w:val="0"/>
      <w:divBdr>
        <w:top w:val="none" w:sz="0" w:space="0" w:color="auto"/>
        <w:left w:val="none" w:sz="0" w:space="0" w:color="auto"/>
        <w:bottom w:val="none" w:sz="0" w:space="0" w:color="auto"/>
        <w:right w:val="none" w:sz="0" w:space="0" w:color="auto"/>
      </w:divBdr>
      <w:divsChild>
        <w:div w:id="498738904">
          <w:marLeft w:val="0"/>
          <w:marRight w:val="0"/>
          <w:marTop w:val="0"/>
          <w:marBottom w:val="0"/>
          <w:divBdr>
            <w:top w:val="none" w:sz="0" w:space="0" w:color="auto"/>
            <w:left w:val="none" w:sz="0" w:space="0" w:color="auto"/>
            <w:bottom w:val="none" w:sz="0" w:space="0" w:color="auto"/>
            <w:right w:val="none" w:sz="0" w:space="0" w:color="auto"/>
          </w:divBdr>
        </w:div>
      </w:divsChild>
    </w:div>
    <w:div w:id="822963228">
      <w:marLeft w:val="0"/>
      <w:marRight w:val="0"/>
      <w:marTop w:val="0"/>
      <w:marBottom w:val="0"/>
      <w:divBdr>
        <w:top w:val="none" w:sz="0" w:space="0" w:color="auto"/>
        <w:left w:val="none" w:sz="0" w:space="0" w:color="auto"/>
        <w:bottom w:val="none" w:sz="0" w:space="0" w:color="auto"/>
        <w:right w:val="none" w:sz="0" w:space="0" w:color="auto"/>
      </w:divBdr>
      <w:divsChild>
        <w:div w:id="1221869670">
          <w:marLeft w:val="0"/>
          <w:marRight w:val="0"/>
          <w:marTop w:val="0"/>
          <w:marBottom w:val="0"/>
          <w:divBdr>
            <w:top w:val="none" w:sz="0" w:space="0" w:color="auto"/>
            <w:left w:val="none" w:sz="0" w:space="0" w:color="auto"/>
            <w:bottom w:val="none" w:sz="0" w:space="0" w:color="auto"/>
            <w:right w:val="none" w:sz="0" w:space="0" w:color="auto"/>
          </w:divBdr>
        </w:div>
      </w:divsChild>
    </w:div>
    <w:div w:id="835613913">
      <w:marLeft w:val="0"/>
      <w:marRight w:val="0"/>
      <w:marTop w:val="0"/>
      <w:marBottom w:val="60"/>
      <w:divBdr>
        <w:top w:val="none" w:sz="0" w:space="0" w:color="auto"/>
        <w:left w:val="none" w:sz="0" w:space="0" w:color="auto"/>
        <w:bottom w:val="none" w:sz="0" w:space="0" w:color="auto"/>
        <w:right w:val="none" w:sz="0" w:space="0" w:color="auto"/>
      </w:divBdr>
    </w:div>
    <w:div w:id="848713711">
      <w:marLeft w:val="0"/>
      <w:marRight w:val="0"/>
      <w:marTop w:val="0"/>
      <w:marBottom w:val="0"/>
      <w:divBdr>
        <w:top w:val="none" w:sz="0" w:space="0" w:color="auto"/>
        <w:left w:val="none" w:sz="0" w:space="0" w:color="auto"/>
        <w:bottom w:val="none" w:sz="0" w:space="0" w:color="auto"/>
        <w:right w:val="none" w:sz="0" w:space="0" w:color="auto"/>
      </w:divBdr>
    </w:div>
    <w:div w:id="850339595">
      <w:marLeft w:val="0"/>
      <w:marRight w:val="0"/>
      <w:marTop w:val="0"/>
      <w:marBottom w:val="0"/>
      <w:divBdr>
        <w:top w:val="none" w:sz="0" w:space="0" w:color="auto"/>
        <w:left w:val="none" w:sz="0" w:space="0" w:color="auto"/>
        <w:bottom w:val="none" w:sz="0" w:space="0" w:color="auto"/>
        <w:right w:val="none" w:sz="0" w:space="0" w:color="auto"/>
      </w:divBdr>
      <w:divsChild>
        <w:div w:id="1402291496">
          <w:marLeft w:val="0"/>
          <w:marRight w:val="0"/>
          <w:marTop w:val="160"/>
          <w:marBottom w:val="160"/>
          <w:divBdr>
            <w:top w:val="none" w:sz="0" w:space="0" w:color="auto"/>
            <w:left w:val="none" w:sz="0" w:space="0" w:color="auto"/>
            <w:bottom w:val="none" w:sz="0" w:space="0" w:color="auto"/>
            <w:right w:val="none" w:sz="0" w:space="0" w:color="auto"/>
          </w:divBdr>
        </w:div>
      </w:divsChild>
    </w:div>
    <w:div w:id="861942467">
      <w:marLeft w:val="0"/>
      <w:marRight w:val="0"/>
      <w:marTop w:val="100"/>
      <w:marBottom w:val="0"/>
      <w:divBdr>
        <w:top w:val="none" w:sz="0" w:space="0" w:color="auto"/>
        <w:left w:val="none" w:sz="0" w:space="0" w:color="auto"/>
        <w:bottom w:val="none" w:sz="0" w:space="0" w:color="auto"/>
        <w:right w:val="none" w:sz="0" w:space="0" w:color="auto"/>
      </w:divBdr>
    </w:div>
    <w:div w:id="864169413">
      <w:marLeft w:val="0"/>
      <w:marRight w:val="0"/>
      <w:marTop w:val="0"/>
      <w:marBottom w:val="0"/>
      <w:divBdr>
        <w:top w:val="none" w:sz="0" w:space="0" w:color="auto"/>
        <w:left w:val="none" w:sz="0" w:space="0" w:color="auto"/>
        <w:bottom w:val="none" w:sz="0" w:space="0" w:color="auto"/>
        <w:right w:val="none" w:sz="0" w:space="0" w:color="auto"/>
      </w:divBdr>
    </w:div>
    <w:div w:id="867181096">
      <w:marLeft w:val="0"/>
      <w:marRight w:val="0"/>
      <w:marTop w:val="0"/>
      <w:marBottom w:val="240"/>
      <w:divBdr>
        <w:top w:val="none" w:sz="0" w:space="0" w:color="auto"/>
        <w:left w:val="none" w:sz="0" w:space="0" w:color="auto"/>
        <w:bottom w:val="none" w:sz="0" w:space="0" w:color="auto"/>
        <w:right w:val="none" w:sz="0" w:space="0" w:color="auto"/>
      </w:divBdr>
    </w:div>
    <w:div w:id="869490467">
      <w:marLeft w:val="0"/>
      <w:marRight w:val="0"/>
      <w:marTop w:val="0"/>
      <w:marBottom w:val="60"/>
      <w:divBdr>
        <w:top w:val="none" w:sz="0" w:space="0" w:color="auto"/>
        <w:left w:val="none" w:sz="0" w:space="0" w:color="auto"/>
        <w:bottom w:val="none" w:sz="0" w:space="0" w:color="auto"/>
        <w:right w:val="none" w:sz="0" w:space="0" w:color="auto"/>
      </w:divBdr>
    </w:div>
    <w:div w:id="873231266">
      <w:marLeft w:val="0"/>
      <w:marRight w:val="0"/>
      <w:marTop w:val="0"/>
      <w:marBottom w:val="0"/>
      <w:divBdr>
        <w:top w:val="none" w:sz="0" w:space="0" w:color="auto"/>
        <w:left w:val="none" w:sz="0" w:space="0" w:color="auto"/>
        <w:bottom w:val="none" w:sz="0" w:space="0" w:color="auto"/>
        <w:right w:val="none" w:sz="0" w:space="0" w:color="auto"/>
      </w:divBdr>
    </w:div>
    <w:div w:id="895241276">
      <w:marLeft w:val="0"/>
      <w:marRight w:val="0"/>
      <w:marTop w:val="0"/>
      <w:marBottom w:val="60"/>
      <w:divBdr>
        <w:top w:val="none" w:sz="0" w:space="0" w:color="auto"/>
        <w:left w:val="none" w:sz="0" w:space="0" w:color="auto"/>
        <w:bottom w:val="none" w:sz="0" w:space="0" w:color="auto"/>
        <w:right w:val="none" w:sz="0" w:space="0" w:color="auto"/>
      </w:divBdr>
    </w:div>
    <w:div w:id="901670232">
      <w:marLeft w:val="0"/>
      <w:marRight w:val="0"/>
      <w:marTop w:val="0"/>
      <w:marBottom w:val="0"/>
      <w:divBdr>
        <w:top w:val="none" w:sz="0" w:space="0" w:color="auto"/>
        <w:left w:val="none" w:sz="0" w:space="0" w:color="auto"/>
        <w:bottom w:val="none" w:sz="0" w:space="0" w:color="auto"/>
        <w:right w:val="none" w:sz="0" w:space="0" w:color="auto"/>
      </w:divBdr>
    </w:div>
    <w:div w:id="902525367">
      <w:marLeft w:val="0"/>
      <w:marRight w:val="0"/>
      <w:marTop w:val="180"/>
      <w:marBottom w:val="0"/>
      <w:divBdr>
        <w:top w:val="none" w:sz="0" w:space="0" w:color="auto"/>
        <w:left w:val="none" w:sz="0" w:space="0" w:color="auto"/>
        <w:bottom w:val="none" w:sz="0" w:space="0" w:color="auto"/>
        <w:right w:val="none" w:sz="0" w:space="0" w:color="auto"/>
      </w:divBdr>
    </w:div>
    <w:div w:id="902832484">
      <w:marLeft w:val="0"/>
      <w:marRight w:val="0"/>
      <w:marTop w:val="0"/>
      <w:marBottom w:val="60"/>
      <w:divBdr>
        <w:top w:val="none" w:sz="0" w:space="0" w:color="auto"/>
        <w:left w:val="none" w:sz="0" w:space="0" w:color="auto"/>
        <w:bottom w:val="none" w:sz="0" w:space="0" w:color="auto"/>
        <w:right w:val="none" w:sz="0" w:space="0" w:color="auto"/>
      </w:divBdr>
    </w:div>
    <w:div w:id="904489172">
      <w:marLeft w:val="0"/>
      <w:marRight w:val="0"/>
      <w:marTop w:val="0"/>
      <w:marBottom w:val="0"/>
      <w:divBdr>
        <w:top w:val="none" w:sz="0" w:space="0" w:color="auto"/>
        <w:left w:val="none" w:sz="0" w:space="0" w:color="auto"/>
        <w:bottom w:val="none" w:sz="0" w:space="0" w:color="auto"/>
        <w:right w:val="none" w:sz="0" w:space="0" w:color="auto"/>
      </w:divBdr>
    </w:div>
    <w:div w:id="942112682">
      <w:marLeft w:val="0"/>
      <w:marRight w:val="0"/>
      <w:marTop w:val="0"/>
      <w:marBottom w:val="0"/>
      <w:divBdr>
        <w:top w:val="none" w:sz="0" w:space="0" w:color="auto"/>
        <w:left w:val="none" w:sz="0" w:space="0" w:color="auto"/>
        <w:bottom w:val="none" w:sz="0" w:space="0" w:color="auto"/>
        <w:right w:val="none" w:sz="0" w:space="0" w:color="auto"/>
      </w:divBdr>
    </w:div>
    <w:div w:id="950940590">
      <w:marLeft w:val="0"/>
      <w:marRight w:val="0"/>
      <w:marTop w:val="0"/>
      <w:marBottom w:val="60"/>
      <w:divBdr>
        <w:top w:val="none" w:sz="0" w:space="0" w:color="auto"/>
        <w:left w:val="none" w:sz="0" w:space="0" w:color="auto"/>
        <w:bottom w:val="none" w:sz="0" w:space="0" w:color="auto"/>
        <w:right w:val="none" w:sz="0" w:space="0" w:color="auto"/>
      </w:divBdr>
    </w:div>
    <w:div w:id="954336421">
      <w:marLeft w:val="0"/>
      <w:marRight w:val="0"/>
      <w:marTop w:val="0"/>
      <w:marBottom w:val="0"/>
      <w:divBdr>
        <w:top w:val="none" w:sz="0" w:space="0" w:color="auto"/>
        <w:left w:val="none" w:sz="0" w:space="0" w:color="auto"/>
        <w:bottom w:val="none" w:sz="0" w:space="0" w:color="auto"/>
        <w:right w:val="none" w:sz="0" w:space="0" w:color="auto"/>
      </w:divBdr>
    </w:div>
    <w:div w:id="965698430">
      <w:marLeft w:val="0"/>
      <w:marRight w:val="0"/>
      <w:marTop w:val="0"/>
      <w:marBottom w:val="160"/>
      <w:divBdr>
        <w:top w:val="none" w:sz="0" w:space="0" w:color="auto"/>
        <w:left w:val="none" w:sz="0" w:space="0" w:color="auto"/>
        <w:bottom w:val="none" w:sz="0" w:space="0" w:color="auto"/>
        <w:right w:val="none" w:sz="0" w:space="0" w:color="auto"/>
      </w:divBdr>
    </w:div>
    <w:div w:id="969283399">
      <w:marLeft w:val="0"/>
      <w:marRight w:val="0"/>
      <w:marTop w:val="0"/>
      <w:marBottom w:val="0"/>
      <w:divBdr>
        <w:top w:val="none" w:sz="0" w:space="0" w:color="auto"/>
        <w:left w:val="none" w:sz="0" w:space="0" w:color="auto"/>
        <w:bottom w:val="none" w:sz="0" w:space="0" w:color="auto"/>
        <w:right w:val="none" w:sz="0" w:space="0" w:color="auto"/>
      </w:divBdr>
    </w:div>
    <w:div w:id="972175987">
      <w:marLeft w:val="0"/>
      <w:marRight w:val="0"/>
      <w:marTop w:val="0"/>
      <w:marBottom w:val="0"/>
      <w:divBdr>
        <w:top w:val="none" w:sz="0" w:space="0" w:color="auto"/>
        <w:left w:val="none" w:sz="0" w:space="0" w:color="auto"/>
        <w:bottom w:val="none" w:sz="0" w:space="0" w:color="auto"/>
        <w:right w:val="none" w:sz="0" w:space="0" w:color="auto"/>
      </w:divBdr>
    </w:div>
    <w:div w:id="988511890">
      <w:marLeft w:val="0"/>
      <w:marRight w:val="0"/>
      <w:marTop w:val="0"/>
      <w:marBottom w:val="0"/>
      <w:divBdr>
        <w:top w:val="none" w:sz="0" w:space="0" w:color="auto"/>
        <w:left w:val="none" w:sz="0" w:space="0" w:color="auto"/>
        <w:bottom w:val="none" w:sz="0" w:space="0" w:color="auto"/>
        <w:right w:val="none" w:sz="0" w:space="0" w:color="auto"/>
      </w:divBdr>
    </w:div>
    <w:div w:id="990596740">
      <w:marLeft w:val="0"/>
      <w:marRight w:val="0"/>
      <w:marTop w:val="240"/>
      <w:marBottom w:val="240"/>
      <w:divBdr>
        <w:top w:val="none" w:sz="0" w:space="0" w:color="auto"/>
        <w:left w:val="none" w:sz="0" w:space="0" w:color="auto"/>
        <w:bottom w:val="none" w:sz="0" w:space="0" w:color="auto"/>
        <w:right w:val="none" w:sz="0" w:space="0" w:color="auto"/>
      </w:divBdr>
    </w:div>
    <w:div w:id="1001855072">
      <w:marLeft w:val="0"/>
      <w:marRight w:val="0"/>
      <w:marTop w:val="0"/>
      <w:marBottom w:val="0"/>
      <w:divBdr>
        <w:top w:val="none" w:sz="0" w:space="0" w:color="auto"/>
        <w:left w:val="none" w:sz="0" w:space="0" w:color="auto"/>
        <w:bottom w:val="none" w:sz="0" w:space="0" w:color="auto"/>
        <w:right w:val="none" w:sz="0" w:space="0" w:color="auto"/>
      </w:divBdr>
      <w:divsChild>
        <w:div w:id="68616947">
          <w:marLeft w:val="0"/>
          <w:marRight w:val="0"/>
          <w:marTop w:val="160"/>
          <w:marBottom w:val="160"/>
          <w:divBdr>
            <w:top w:val="none" w:sz="0" w:space="0" w:color="auto"/>
            <w:left w:val="none" w:sz="0" w:space="0" w:color="auto"/>
            <w:bottom w:val="none" w:sz="0" w:space="0" w:color="auto"/>
            <w:right w:val="none" w:sz="0" w:space="0" w:color="auto"/>
          </w:divBdr>
        </w:div>
      </w:divsChild>
    </w:div>
    <w:div w:id="1019769936">
      <w:marLeft w:val="0"/>
      <w:marRight w:val="0"/>
      <w:marTop w:val="0"/>
      <w:marBottom w:val="160"/>
      <w:divBdr>
        <w:top w:val="none" w:sz="0" w:space="0" w:color="auto"/>
        <w:left w:val="none" w:sz="0" w:space="0" w:color="auto"/>
        <w:bottom w:val="none" w:sz="0" w:space="0" w:color="auto"/>
        <w:right w:val="none" w:sz="0" w:space="0" w:color="auto"/>
      </w:divBdr>
    </w:div>
    <w:div w:id="1029647888">
      <w:marLeft w:val="0"/>
      <w:marRight w:val="0"/>
      <w:marTop w:val="0"/>
      <w:marBottom w:val="0"/>
      <w:divBdr>
        <w:top w:val="none" w:sz="0" w:space="0" w:color="auto"/>
        <w:left w:val="none" w:sz="0" w:space="0" w:color="auto"/>
        <w:bottom w:val="none" w:sz="0" w:space="0" w:color="auto"/>
        <w:right w:val="none" w:sz="0" w:space="0" w:color="auto"/>
      </w:divBdr>
      <w:divsChild>
        <w:div w:id="201094160">
          <w:marLeft w:val="0"/>
          <w:marRight w:val="0"/>
          <w:marTop w:val="160"/>
          <w:marBottom w:val="160"/>
          <w:divBdr>
            <w:top w:val="none" w:sz="0" w:space="0" w:color="auto"/>
            <w:left w:val="none" w:sz="0" w:space="0" w:color="auto"/>
            <w:bottom w:val="none" w:sz="0" w:space="0" w:color="auto"/>
            <w:right w:val="none" w:sz="0" w:space="0" w:color="auto"/>
          </w:divBdr>
        </w:div>
      </w:divsChild>
    </w:div>
    <w:div w:id="1032194141">
      <w:marLeft w:val="0"/>
      <w:marRight w:val="0"/>
      <w:marTop w:val="0"/>
      <w:marBottom w:val="60"/>
      <w:divBdr>
        <w:top w:val="none" w:sz="0" w:space="0" w:color="auto"/>
        <w:left w:val="none" w:sz="0" w:space="0" w:color="auto"/>
        <w:bottom w:val="none" w:sz="0" w:space="0" w:color="auto"/>
        <w:right w:val="none" w:sz="0" w:space="0" w:color="auto"/>
      </w:divBdr>
    </w:div>
    <w:div w:id="1032800092">
      <w:marLeft w:val="0"/>
      <w:marRight w:val="0"/>
      <w:marTop w:val="100"/>
      <w:marBottom w:val="0"/>
      <w:divBdr>
        <w:top w:val="none" w:sz="0" w:space="0" w:color="auto"/>
        <w:left w:val="none" w:sz="0" w:space="0" w:color="auto"/>
        <w:bottom w:val="none" w:sz="0" w:space="0" w:color="auto"/>
        <w:right w:val="none" w:sz="0" w:space="0" w:color="auto"/>
      </w:divBdr>
    </w:div>
    <w:div w:id="1034768023">
      <w:marLeft w:val="0"/>
      <w:marRight w:val="0"/>
      <w:marTop w:val="0"/>
      <w:marBottom w:val="0"/>
      <w:divBdr>
        <w:top w:val="none" w:sz="0" w:space="0" w:color="auto"/>
        <w:left w:val="none" w:sz="0" w:space="0" w:color="auto"/>
        <w:bottom w:val="none" w:sz="0" w:space="0" w:color="auto"/>
        <w:right w:val="none" w:sz="0" w:space="0" w:color="auto"/>
      </w:divBdr>
    </w:div>
    <w:div w:id="1040325731">
      <w:marLeft w:val="0"/>
      <w:marRight w:val="0"/>
      <w:marTop w:val="0"/>
      <w:marBottom w:val="0"/>
      <w:divBdr>
        <w:top w:val="none" w:sz="0" w:space="0" w:color="auto"/>
        <w:left w:val="none" w:sz="0" w:space="0" w:color="auto"/>
        <w:bottom w:val="none" w:sz="0" w:space="0" w:color="auto"/>
        <w:right w:val="none" w:sz="0" w:space="0" w:color="auto"/>
      </w:divBdr>
    </w:div>
    <w:div w:id="1042483424">
      <w:marLeft w:val="0"/>
      <w:marRight w:val="0"/>
      <w:marTop w:val="100"/>
      <w:marBottom w:val="0"/>
      <w:divBdr>
        <w:top w:val="none" w:sz="0" w:space="0" w:color="auto"/>
        <w:left w:val="none" w:sz="0" w:space="0" w:color="auto"/>
        <w:bottom w:val="none" w:sz="0" w:space="0" w:color="auto"/>
        <w:right w:val="none" w:sz="0" w:space="0" w:color="auto"/>
      </w:divBdr>
    </w:div>
    <w:div w:id="1066877136">
      <w:marLeft w:val="0"/>
      <w:marRight w:val="0"/>
      <w:marTop w:val="0"/>
      <w:marBottom w:val="0"/>
      <w:divBdr>
        <w:top w:val="none" w:sz="0" w:space="0" w:color="auto"/>
        <w:left w:val="none" w:sz="0" w:space="0" w:color="auto"/>
        <w:bottom w:val="none" w:sz="0" w:space="0" w:color="auto"/>
        <w:right w:val="none" w:sz="0" w:space="0" w:color="auto"/>
      </w:divBdr>
      <w:divsChild>
        <w:div w:id="294020628">
          <w:marLeft w:val="0"/>
          <w:marRight w:val="0"/>
          <w:marTop w:val="0"/>
          <w:marBottom w:val="0"/>
          <w:divBdr>
            <w:top w:val="none" w:sz="0" w:space="0" w:color="auto"/>
            <w:left w:val="none" w:sz="0" w:space="0" w:color="auto"/>
            <w:bottom w:val="none" w:sz="0" w:space="0" w:color="auto"/>
            <w:right w:val="none" w:sz="0" w:space="0" w:color="auto"/>
          </w:divBdr>
        </w:div>
      </w:divsChild>
    </w:div>
    <w:div w:id="1074669561">
      <w:marLeft w:val="0"/>
      <w:marRight w:val="0"/>
      <w:marTop w:val="0"/>
      <w:marBottom w:val="160"/>
      <w:divBdr>
        <w:top w:val="none" w:sz="0" w:space="0" w:color="auto"/>
        <w:left w:val="none" w:sz="0" w:space="0" w:color="auto"/>
        <w:bottom w:val="none" w:sz="0" w:space="0" w:color="auto"/>
        <w:right w:val="none" w:sz="0" w:space="0" w:color="auto"/>
      </w:divBdr>
    </w:div>
    <w:div w:id="1079644332">
      <w:marLeft w:val="0"/>
      <w:marRight w:val="0"/>
      <w:marTop w:val="0"/>
      <w:marBottom w:val="0"/>
      <w:divBdr>
        <w:top w:val="none" w:sz="0" w:space="0" w:color="auto"/>
        <w:left w:val="none" w:sz="0" w:space="0" w:color="auto"/>
        <w:bottom w:val="none" w:sz="0" w:space="0" w:color="auto"/>
        <w:right w:val="none" w:sz="0" w:space="0" w:color="auto"/>
      </w:divBdr>
    </w:div>
    <w:div w:id="1087264352">
      <w:marLeft w:val="0"/>
      <w:marRight w:val="0"/>
      <w:marTop w:val="120"/>
      <w:marBottom w:val="0"/>
      <w:divBdr>
        <w:top w:val="none" w:sz="0" w:space="0" w:color="auto"/>
        <w:left w:val="none" w:sz="0" w:space="0" w:color="auto"/>
        <w:bottom w:val="none" w:sz="0" w:space="0" w:color="auto"/>
        <w:right w:val="none" w:sz="0" w:space="0" w:color="auto"/>
      </w:divBdr>
    </w:div>
    <w:div w:id="1091313767">
      <w:marLeft w:val="0"/>
      <w:marRight w:val="0"/>
      <w:marTop w:val="0"/>
      <w:marBottom w:val="0"/>
      <w:divBdr>
        <w:top w:val="none" w:sz="0" w:space="0" w:color="auto"/>
        <w:left w:val="none" w:sz="0" w:space="0" w:color="auto"/>
        <w:bottom w:val="none" w:sz="0" w:space="0" w:color="auto"/>
        <w:right w:val="none" w:sz="0" w:space="0" w:color="auto"/>
      </w:divBdr>
    </w:div>
    <w:div w:id="1094788707">
      <w:marLeft w:val="0"/>
      <w:marRight w:val="0"/>
      <w:marTop w:val="240"/>
      <w:marBottom w:val="0"/>
      <w:divBdr>
        <w:top w:val="none" w:sz="0" w:space="0" w:color="auto"/>
        <w:left w:val="none" w:sz="0" w:space="0" w:color="auto"/>
        <w:bottom w:val="none" w:sz="0" w:space="0" w:color="auto"/>
        <w:right w:val="none" w:sz="0" w:space="0" w:color="auto"/>
      </w:divBdr>
    </w:div>
    <w:div w:id="1095637356">
      <w:marLeft w:val="0"/>
      <w:marRight w:val="0"/>
      <w:marTop w:val="0"/>
      <w:marBottom w:val="0"/>
      <w:divBdr>
        <w:top w:val="none" w:sz="0" w:space="0" w:color="auto"/>
        <w:left w:val="none" w:sz="0" w:space="0" w:color="auto"/>
        <w:bottom w:val="none" w:sz="0" w:space="0" w:color="auto"/>
        <w:right w:val="none" w:sz="0" w:space="0" w:color="auto"/>
      </w:divBdr>
      <w:divsChild>
        <w:div w:id="320813195">
          <w:marLeft w:val="0"/>
          <w:marRight w:val="0"/>
          <w:marTop w:val="160"/>
          <w:marBottom w:val="160"/>
          <w:divBdr>
            <w:top w:val="none" w:sz="0" w:space="0" w:color="auto"/>
            <w:left w:val="none" w:sz="0" w:space="0" w:color="auto"/>
            <w:bottom w:val="none" w:sz="0" w:space="0" w:color="auto"/>
            <w:right w:val="none" w:sz="0" w:space="0" w:color="auto"/>
          </w:divBdr>
        </w:div>
      </w:divsChild>
    </w:div>
    <w:div w:id="1108088341">
      <w:marLeft w:val="0"/>
      <w:marRight w:val="0"/>
      <w:marTop w:val="0"/>
      <w:marBottom w:val="0"/>
      <w:divBdr>
        <w:top w:val="none" w:sz="0" w:space="0" w:color="auto"/>
        <w:left w:val="none" w:sz="0" w:space="0" w:color="auto"/>
        <w:bottom w:val="none" w:sz="0" w:space="0" w:color="auto"/>
        <w:right w:val="none" w:sz="0" w:space="0" w:color="auto"/>
      </w:divBdr>
    </w:div>
    <w:div w:id="1116367592">
      <w:marLeft w:val="0"/>
      <w:marRight w:val="0"/>
      <w:marTop w:val="0"/>
      <w:marBottom w:val="0"/>
      <w:divBdr>
        <w:top w:val="none" w:sz="0" w:space="0" w:color="auto"/>
        <w:left w:val="none" w:sz="0" w:space="0" w:color="auto"/>
        <w:bottom w:val="none" w:sz="0" w:space="0" w:color="auto"/>
        <w:right w:val="none" w:sz="0" w:space="0" w:color="auto"/>
      </w:divBdr>
    </w:div>
    <w:div w:id="1118840881">
      <w:marLeft w:val="0"/>
      <w:marRight w:val="0"/>
      <w:marTop w:val="0"/>
      <w:marBottom w:val="0"/>
      <w:divBdr>
        <w:top w:val="none" w:sz="0" w:space="0" w:color="auto"/>
        <w:left w:val="none" w:sz="0" w:space="0" w:color="auto"/>
        <w:bottom w:val="none" w:sz="0" w:space="0" w:color="auto"/>
        <w:right w:val="none" w:sz="0" w:space="0" w:color="auto"/>
      </w:divBdr>
      <w:divsChild>
        <w:div w:id="1156646691">
          <w:marLeft w:val="0"/>
          <w:marRight w:val="0"/>
          <w:marTop w:val="0"/>
          <w:marBottom w:val="0"/>
          <w:divBdr>
            <w:top w:val="none" w:sz="0" w:space="0" w:color="auto"/>
            <w:left w:val="none" w:sz="0" w:space="0" w:color="auto"/>
            <w:bottom w:val="none" w:sz="0" w:space="0" w:color="auto"/>
            <w:right w:val="none" w:sz="0" w:space="0" w:color="auto"/>
          </w:divBdr>
        </w:div>
      </w:divsChild>
    </w:div>
    <w:div w:id="1123621260">
      <w:marLeft w:val="0"/>
      <w:marRight w:val="0"/>
      <w:marTop w:val="0"/>
      <w:marBottom w:val="0"/>
      <w:divBdr>
        <w:top w:val="none" w:sz="0" w:space="0" w:color="auto"/>
        <w:left w:val="none" w:sz="0" w:space="0" w:color="auto"/>
        <w:bottom w:val="none" w:sz="0" w:space="0" w:color="auto"/>
        <w:right w:val="none" w:sz="0" w:space="0" w:color="auto"/>
      </w:divBdr>
    </w:div>
    <w:div w:id="1129473582">
      <w:marLeft w:val="0"/>
      <w:marRight w:val="0"/>
      <w:marTop w:val="240"/>
      <w:marBottom w:val="0"/>
      <w:divBdr>
        <w:top w:val="none" w:sz="0" w:space="0" w:color="auto"/>
        <w:left w:val="none" w:sz="0" w:space="0" w:color="auto"/>
        <w:bottom w:val="none" w:sz="0" w:space="0" w:color="auto"/>
        <w:right w:val="none" w:sz="0" w:space="0" w:color="auto"/>
      </w:divBdr>
    </w:div>
    <w:div w:id="1142842609">
      <w:marLeft w:val="0"/>
      <w:marRight w:val="0"/>
      <w:marTop w:val="240"/>
      <w:marBottom w:val="0"/>
      <w:divBdr>
        <w:top w:val="none" w:sz="0" w:space="0" w:color="auto"/>
        <w:left w:val="none" w:sz="0" w:space="0" w:color="auto"/>
        <w:bottom w:val="none" w:sz="0" w:space="0" w:color="auto"/>
        <w:right w:val="none" w:sz="0" w:space="0" w:color="auto"/>
      </w:divBdr>
    </w:div>
    <w:div w:id="1154300253">
      <w:marLeft w:val="0"/>
      <w:marRight w:val="0"/>
      <w:marTop w:val="240"/>
      <w:marBottom w:val="160"/>
      <w:divBdr>
        <w:top w:val="none" w:sz="0" w:space="0" w:color="auto"/>
        <w:left w:val="none" w:sz="0" w:space="0" w:color="auto"/>
        <w:bottom w:val="none" w:sz="0" w:space="0" w:color="auto"/>
        <w:right w:val="none" w:sz="0" w:space="0" w:color="auto"/>
      </w:divBdr>
    </w:div>
    <w:div w:id="1163814901">
      <w:marLeft w:val="0"/>
      <w:marRight w:val="0"/>
      <w:marTop w:val="0"/>
      <w:marBottom w:val="0"/>
      <w:divBdr>
        <w:top w:val="none" w:sz="0" w:space="0" w:color="auto"/>
        <w:left w:val="none" w:sz="0" w:space="0" w:color="auto"/>
        <w:bottom w:val="none" w:sz="0" w:space="0" w:color="auto"/>
        <w:right w:val="none" w:sz="0" w:space="0" w:color="auto"/>
      </w:divBdr>
    </w:div>
    <w:div w:id="1171484492">
      <w:marLeft w:val="0"/>
      <w:marRight w:val="0"/>
      <w:marTop w:val="0"/>
      <w:marBottom w:val="0"/>
      <w:divBdr>
        <w:top w:val="none" w:sz="0" w:space="0" w:color="auto"/>
        <w:left w:val="none" w:sz="0" w:space="0" w:color="auto"/>
        <w:bottom w:val="none" w:sz="0" w:space="0" w:color="auto"/>
        <w:right w:val="none" w:sz="0" w:space="0" w:color="auto"/>
      </w:divBdr>
    </w:div>
    <w:div w:id="1184713392">
      <w:marLeft w:val="0"/>
      <w:marRight w:val="0"/>
      <w:marTop w:val="0"/>
      <w:marBottom w:val="0"/>
      <w:divBdr>
        <w:top w:val="none" w:sz="0" w:space="0" w:color="auto"/>
        <w:left w:val="none" w:sz="0" w:space="0" w:color="auto"/>
        <w:bottom w:val="none" w:sz="0" w:space="0" w:color="auto"/>
        <w:right w:val="none" w:sz="0" w:space="0" w:color="auto"/>
      </w:divBdr>
    </w:div>
    <w:div w:id="1188715116">
      <w:marLeft w:val="0"/>
      <w:marRight w:val="0"/>
      <w:marTop w:val="0"/>
      <w:marBottom w:val="0"/>
      <w:divBdr>
        <w:top w:val="none" w:sz="0" w:space="0" w:color="auto"/>
        <w:left w:val="none" w:sz="0" w:space="0" w:color="auto"/>
        <w:bottom w:val="none" w:sz="0" w:space="0" w:color="auto"/>
        <w:right w:val="none" w:sz="0" w:space="0" w:color="auto"/>
      </w:divBdr>
    </w:div>
    <w:div w:id="1204753454">
      <w:marLeft w:val="0"/>
      <w:marRight w:val="0"/>
      <w:marTop w:val="0"/>
      <w:marBottom w:val="0"/>
      <w:divBdr>
        <w:top w:val="none" w:sz="0" w:space="0" w:color="auto"/>
        <w:left w:val="none" w:sz="0" w:space="0" w:color="auto"/>
        <w:bottom w:val="none" w:sz="0" w:space="0" w:color="auto"/>
        <w:right w:val="none" w:sz="0" w:space="0" w:color="auto"/>
      </w:divBdr>
    </w:div>
    <w:div w:id="1208252149">
      <w:marLeft w:val="0"/>
      <w:marRight w:val="0"/>
      <w:marTop w:val="0"/>
      <w:marBottom w:val="0"/>
      <w:divBdr>
        <w:top w:val="none" w:sz="0" w:space="0" w:color="auto"/>
        <w:left w:val="none" w:sz="0" w:space="0" w:color="auto"/>
        <w:bottom w:val="none" w:sz="0" w:space="0" w:color="auto"/>
        <w:right w:val="none" w:sz="0" w:space="0" w:color="auto"/>
      </w:divBdr>
    </w:div>
    <w:div w:id="1210652490">
      <w:marLeft w:val="0"/>
      <w:marRight w:val="0"/>
      <w:marTop w:val="0"/>
      <w:marBottom w:val="0"/>
      <w:divBdr>
        <w:top w:val="none" w:sz="0" w:space="0" w:color="auto"/>
        <w:left w:val="none" w:sz="0" w:space="0" w:color="auto"/>
        <w:bottom w:val="none" w:sz="0" w:space="0" w:color="auto"/>
        <w:right w:val="none" w:sz="0" w:space="0" w:color="auto"/>
      </w:divBdr>
    </w:div>
    <w:div w:id="1216501976">
      <w:marLeft w:val="0"/>
      <w:marRight w:val="0"/>
      <w:marTop w:val="0"/>
      <w:marBottom w:val="0"/>
      <w:divBdr>
        <w:top w:val="none" w:sz="0" w:space="0" w:color="auto"/>
        <w:left w:val="none" w:sz="0" w:space="0" w:color="auto"/>
        <w:bottom w:val="none" w:sz="0" w:space="0" w:color="auto"/>
        <w:right w:val="none" w:sz="0" w:space="0" w:color="auto"/>
      </w:divBdr>
    </w:div>
    <w:div w:id="1232930354">
      <w:marLeft w:val="0"/>
      <w:marRight w:val="0"/>
      <w:marTop w:val="0"/>
      <w:marBottom w:val="0"/>
      <w:divBdr>
        <w:top w:val="none" w:sz="0" w:space="0" w:color="auto"/>
        <w:left w:val="none" w:sz="0" w:space="0" w:color="auto"/>
        <w:bottom w:val="none" w:sz="0" w:space="0" w:color="auto"/>
        <w:right w:val="none" w:sz="0" w:space="0" w:color="auto"/>
      </w:divBdr>
    </w:div>
    <w:div w:id="1251502149">
      <w:marLeft w:val="0"/>
      <w:marRight w:val="0"/>
      <w:marTop w:val="0"/>
      <w:marBottom w:val="0"/>
      <w:divBdr>
        <w:top w:val="none" w:sz="0" w:space="0" w:color="auto"/>
        <w:left w:val="none" w:sz="0" w:space="0" w:color="auto"/>
        <w:bottom w:val="none" w:sz="0" w:space="0" w:color="auto"/>
        <w:right w:val="none" w:sz="0" w:space="0" w:color="auto"/>
      </w:divBdr>
    </w:div>
    <w:div w:id="1255940703">
      <w:marLeft w:val="0"/>
      <w:marRight w:val="0"/>
      <w:marTop w:val="0"/>
      <w:marBottom w:val="0"/>
      <w:divBdr>
        <w:top w:val="none" w:sz="0" w:space="0" w:color="auto"/>
        <w:left w:val="none" w:sz="0" w:space="0" w:color="auto"/>
        <w:bottom w:val="none" w:sz="0" w:space="0" w:color="auto"/>
        <w:right w:val="none" w:sz="0" w:space="0" w:color="auto"/>
      </w:divBdr>
      <w:divsChild>
        <w:div w:id="340860558">
          <w:marLeft w:val="0"/>
          <w:marRight w:val="0"/>
          <w:marTop w:val="160"/>
          <w:marBottom w:val="160"/>
          <w:divBdr>
            <w:top w:val="none" w:sz="0" w:space="0" w:color="auto"/>
            <w:left w:val="none" w:sz="0" w:space="0" w:color="auto"/>
            <w:bottom w:val="none" w:sz="0" w:space="0" w:color="auto"/>
            <w:right w:val="none" w:sz="0" w:space="0" w:color="auto"/>
          </w:divBdr>
        </w:div>
      </w:divsChild>
    </w:div>
    <w:div w:id="1256667353">
      <w:marLeft w:val="0"/>
      <w:marRight w:val="0"/>
      <w:marTop w:val="0"/>
      <w:marBottom w:val="0"/>
      <w:divBdr>
        <w:top w:val="none" w:sz="0" w:space="0" w:color="auto"/>
        <w:left w:val="none" w:sz="0" w:space="0" w:color="auto"/>
        <w:bottom w:val="none" w:sz="0" w:space="0" w:color="auto"/>
        <w:right w:val="none" w:sz="0" w:space="0" w:color="auto"/>
      </w:divBdr>
    </w:div>
    <w:div w:id="1257179744">
      <w:marLeft w:val="0"/>
      <w:marRight w:val="0"/>
      <w:marTop w:val="0"/>
      <w:marBottom w:val="0"/>
      <w:divBdr>
        <w:top w:val="none" w:sz="0" w:space="0" w:color="auto"/>
        <w:left w:val="none" w:sz="0" w:space="0" w:color="auto"/>
        <w:bottom w:val="none" w:sz="0" w:space="0" w:color="auto"/>
        <w:right w:val="none" w:sz="0" w:space="0" w:color="auto"/>
      </w:divBdr>
    </w:div>
    <w:div w:id="1271156951">
      <w:marLeft w:val="0"/>
      <w:marRight w:val="0"/>
      <w:marTop w:val="0"/>
      <w:marBottom w:val="0"/>
      <w:divBdr>
        <w:top w:val="none" w:sz="0" w:space="0" w:color="auto"/>
        <w:left w:val="none" w:sz="0" w:space="0" w:color="auto"/>
        <w:bottom w:val="none" w:sz="0" w:space="0" w:color="auto"/>
        <w:right w:val="none" w:sz="0" w:space="0" w:color="auto"/>
      </w:divBdr>
    </w:div>
    <w:div w:id="1273593777">
      <w:marLeft w:val="0"/>
      <w:marRight w:val="0"/>
      <w:marTop w:val="100"/>
      <w:marBottom w:val="0"/>
      <w:divBdr>
        <w:top w:val="none" w:sz="0" w:space="0" w:color="auto"/>
        <w:left w:val="none" w:sz="0" w:space="0" w:color="auto"/>
        <w:bottom w:val="none" w:sz="0" w:space="0" w:color="auto"/>
        <w:right w:val="none" w:sz="0" w:space="0" w:color="auto"/>
      </w:divBdr>
      <w:divsChild>
        <w:div w:id="1939487878">
          <w:marLeft w:val="0"/>
          <w:marRight w:val="0"/>
          <w:marTop w:val="0"/>
          <w:marBottom w:val="0"/>
          <w:divBdr>
            <w:top w:val="none" w:sz="0" w:space="0" w:color="auto"/>
            <w:left w:val="none" w:sz="0" w:space="0" w:color="auto"/>
            <w:bottom w:val="none" w:sz="0" w:space="0" w:color="auto"/>
            <w:right w:val="none" w:sz="0" w:space="0" w:color="auto"/>
          </w:divBdr>
        </w:div>
        <w:div w:id="130944384">
          <w:marLeft w:val="0"/>
          <w:marRight w:val="0"/>
          <w:marTop w:val="0"/>
          <w:marBottom w:val="0"/>
          <w:divBdr>
            <w:top w:val="none" w:sz="0" w:space="0" w:color="auto"/>
            <w:left w:val="none" w:sz="0" w:space="0" w:color="auto"/>
            <w:bottom w:val="none" w:sz="0" w:space="0" w:color="auto"/>
            <w:right w:val="none" w:sz="0" w:space="0" w:color="auto"/>
          </w:divBdr>
        </w:div>
      </w:divsChild>
    </w:div>
    <w:div w:id="1280649848">
      <w:marLeft w:val="0"/>
      <w:marRight w:val="0"/>
      <w:marTop w:val="0"/>
      <w:marBottom w:val="60"/>
      <w:divBdr>
        <w:top w:val="none" w:sz="0" w:space="0" w:color="auto"/>
        <w:left w:val="none" w:sz="0" w:space="0" w:color="auto"/>
        <w:bottom w:val="none" w:sz="0" w:space="0" w:color="auto"/>
        <w:right w:val="none" w:sz="0" w:space="0" w:color="auto"/>
      </w:divBdr>
    </w:div>
    <w:div w:id="1288849070">
      <w:marLeft w:val="0"/>
      <w:marRight w:val="0"/>
      <w:marTop w:val="100"/>
      <w:marBottom w:val="0"/>
      <w:divBdr>
        <w:top w:val="none" w:sz="0" w:space="0" w:color="auto"/>
        <w:left w:val="none" w:sz="0" w:space="0" w:color="auto"/>
        <w:bottom w:val="none" w:sz="0" w:space="0" w:color="auto"/>
        <w:right w:val="none" w:sz="0" w:space="0" w:color="auto"/>
      </w:divBdr>
    </w:div>
    <w:div w:id="1294215203">
      <w:marLeft w:val="0"/>
      <w:marRight w:val="0"/>
      <w:marTop w:val="0"/>
      <w:marBottom w:val="0"/>
      <w:divBdr>
        <w:top w:val="none" w:sz="0" w:space="0" w:color="auto"/>
        <w:left w:val="none" w:sz="0" w:space="0" w:color="auto"/>
        <w:bottom w:val="none" w:sz="0" w:space="0" w:color="auto"/>
        <w:right w:val="none" w:sz="0" w:space="0" w:color="auto"/>
      </w:divBdr>
    </w:div>
    <w:div w:id="1312521502">
      <w:marLeft w:val="0"/>
      <w:marRight w:val="0"/>
      <w:marTop w:val="0"/>
      <w:marBottom w:val="60"/>
      <w:divBdr>
        <w:top w:val="none" w:sz="0" w:space="0" w:color="auto"/>
        <w:left w:val="none" w:sz="0" w:space="0" w:color="auto"/>
        <w:bottom w:val="none" w:sz="0" w:space="0" w:color="auto"/>
        <w:right w:val="none" w:sz="0" w:space="0" w:color="auto"/>
      </w:divBdr>
    </w:div>
    <w:div w:id="1318458846">
      <w:marLeft w:val="0"/>
      <w:marRight w:val="0"/>
      <w:marTop w:val="0"/>
      <w:marBottom w:val="0"/>
      <w:divBdr>
        <w:top w:val="none" w:sz="0" w:space="0" w:color="auto"/>
        <w:left w:val="none" w:sz="0" w:space="0" w:color="auto"/>
        <w:bottom w:val="none" w:sz="0" w:space="0" w:color="auto"/>
        <w:right w:val="none" w:sz="0" w:space="0" w:color="auto"/>
      </w:divBdr>
    </w:div>
    <w:div w:id="1356888421">
      <w:marLeft w:val="0"/>
      <w:marRight w:val="0"/>
      <w:marTop w:val="0"/>
      <w:marBottom w:val="0"/>
      <w:divBdr>
        <w:top w:val="none" w:sz="0" w:space="0" w:color="auto"/>
        <w:left w:val="none" w:sz="0" w:space="0" w:color="auto"/>
        <w:bottom w:val="none" w:sz="0" w:space="0" w:color="auto"/>
        <w:right w:val="none" w:sz="0" w:space="0" w:color="auto"/>
      </w:divBdr>
    </w:div>
    <w:div w:id="1362826838">
      <w:marLeft w:val="0"/>
      <w:marRight w:val="0"/>
      <w:marTop w:val="0"/>
      <w:marBottom w:val="0"/>
      <w:divBdr>
        <w:top w:val="none" w:sz="0" w:space="0" w:color="auto"/>
        <w:left w:val="none" w:sz="0" w:space="0" w:color="auto"/>
        <w:bottom w:val="none" w:sz="0" w:space="0" w:color="auto"/>
        <w:right w:val="none" w:sz="0" w:space="0" w:color="auto"/>
      </w:divBdr>
    </w:div>
    <w:div w:id="1368413314">
      <w:marLeft w:val="0"/>
      <w:marRight w:val="0"/>
      <w:marTop w:val="0"/>
      <w:marBottom w:val="0"/>
      <w:divBdr>
        <w:top w:val="none" w:sz="0" w:space="0" w:color="auto"/>
        <w:left w:val="none" w:sz="0" w:space="0" w:color="auto"/>
        <w:bottom w:val="none" w:sz="0" w:space="0" w:color="auto"/>
        <w:right w:val="none" w:sz="0" w:space="0" w:color="auto"/>
      </w:divBdr>
    </w:div>
    <w:div w:id="1371610129">
      <w:marLeft w:val="0"/>
      <w:marRight w:val="0"/>
      <w:marTop w:val="0"/>
      <w:marBottom w:val="0"/>
      <w:divBdr>
        <w:top w:val="none" w:sz="0" w:space="0" w:color="auto"/>
        <w:left w:val="none" w:sz="0" w:space="0" w:color="auto"/>
        <w:bottom w:val="none" w:sz="0" w:space="0" w:color="auto"/>
        <w:right w:val="none" w:sz="0" w:space="0" w:color="auto"/>
      </w:divBdr>
    </w:div>
    <w:div w:id="1394698751">
      <w:marLeft w:val="0"/>
      <w:marRight w:val="0"/>
      <w:marTop w:val="0"/>
      <w:marBottom w:val="0"/>
      <w:divBdr>
        <w:top w:val="none" w:sz="0" w:space="0" w:color="auto"/>
        <w:left w:val="none" w:sz="0" w:space="0" w:color="auto"/>
        <w:bottom w:val="none" w:sz="0" w:space="0" w:color="auto"/>
        <w:right w:val="none" w:sz="0" w:space="0" w:color="auto"/>
      </w:divBdr>
    </w:div>
    <w:div w:id="1397705264">
      <w:marLeft w:val="0"/>
      <w:marRight w:val="0"/>
      <w:marTop w:val="240"/>
      <w:marBottom w:val="0"/>
      <w:divBdr>
        <w:top w:val="none" w:sz="0" w:space="0" w:color="auto"/>
        <w:left w:val="none" w:sz="0" w:space="0" w:color="auto"/>
        <w:bottom w:val="none" w:sz="0" w:space="0" w:color="auto"/>
        <w:right w:val="none" w:sz="0" w:space="0" w:color="auto"/>
      </w:divBdr>
    </w:div>
    <w:div w:id="1410038542">
      <w:marLeft w:val="0"/>
      <w:marRight w:val="0"/>
      <w:marTop w:val="0"/>
      <w:marBottom w:val="0"/>
      <w:divBdr>
        <w:top w:val="none" w:sz="0" w:space="0" w:color="auto"/>
        <w:left w:val="none" w:sz="0" w:space="0" w:color="auto"/>
        <w:bottom w:val="none" w:sz="0" w:space="0" w:color="auto"/>
        <w:right w:val="none" w:sz="0" w:space="0" w:color="auto"/>
      </w:divBdr>
    </w:div>
    <w:div w:id="1413771282">
      <w:marLeft w:val="0"/>
      <w:marRight w:val="0"/>
      <w:marTop w:val="0"/>
      <w:marBottom w:val="0"/>
      <w:divBdr>
        <w:top w:val="none" w:sz="0" w:space="0" w:color="auto"/>
        <w:left w:val="none" w:sz="0" w:space="0" w:color="auto"/>
        <w:bottom w:val="none" w:sz="0" w:space="0" w:color="auto"/>
        <w:right w:val="none" w:sz="0" w:space="0" w:color="auto"/>
      </w:divBdr>
    </w:div>
    <w:div w:id="1414358402">
      <w:marLeft w:val="0"/>
      <w:marRight w:val="0"/>
      <w:marTop w:val="0"/>
      <w:marBottom w:val="160"/>
      <w:divBdr>
        <w:top w:val="none" w:sz="0" w:space="0" w:color="auto"/>
        <w:left w:val="none" w:sz="0" w:space="0" w:color="auto"/>
        <w:bottom w:val="none" w:sz="0" w:space="0" w:color="auto"/>
        <w:right w:val="none" w:sz="0" w:space="0" w:color="auto"/>
      </w:divBdr>
    </w:div>
    <w:div w:id="1418480556">
      <w:marLeft w:val="0"/>
      <w:marRight w:val="0"/>
      <w:marTop w:val="0"/>
      <w:marBottom w:val="0"/>
      <w:divBdr>
        <w:top w:val="none" w:sz="0" w:space="0" w:color="auto"/>
        <w:left w:val="none" w:sz="0" w:space="0" w:color="auto"/>
        <w:bottom w:val="none" w:sz="0" w:space="0" w:color="auto"/>
        <w:right w:val="none" w:sz="0" w:space="0" w:color="auto"/>
      </w:divBdr>
    </w:div>
    <w:div w:id="1422293197">
      <w:marLeft w:val="0"/>
      <w:marRight w:val="0"/>
      <w:marTop w:val="0"/>
      <w:marBottom w:val="0"/>
      <w:divBdr>
        <w:top w:val="none" w:sz="0" w:space="0" w:color="auto"/>
        <w:left w:val="none" w:sz="0" w:space="0" w:color="auto"/>
        <w:bottom w:val="none" w:sz="0" w:space="0" w:color="auto"/>
        <w:right w:val="none" w:sz="0" w:space="0" w:color="auto"/>
      </w:divBdr>
    </w:div>
    <w:div w:id="1439063029">
      <w:marLeft w:val="0"/>
      <w:marRight w:val="0"/>
      <w:marTop w:val="160"/>
      <w:marBottom w:val="160"/>
      <w:divBdr>
        <w:top w:val="none" w:sz="0" w:space="0" w:color="auto"/>
        <w:left w:val="none" w:sz="0" w:space="0" w:color="auto"/>
        <w:bottom w:val="none" w:sz="0" w:space="0" w:color="auto"/>
        <w:right w:val="none" w:sz="0" w:space="0" w:color="auto"/>
      </w:divBdr>
    </w:div>
    <w:div w:id="1441026546">
      <w:marLeft w:val="0"/>
      <w:marRight w:val="0"/>
      <w:marTop w:val="0"/>
      <w:marBottom w:val="0"/>
      <w:divBdr>
        <w:top w:val="none" w:sz="0" w:space="0" w:color="auto"/>
        <w:left w:val="none" w:sz="0" w:space="0" w:color="auto"/>
        <w:bottom w:val="none" w:sz="0" w:space="0" w:color="auto"/>
        <w:right w:val="none" w:sz="0" w:space="0" w:color="auto"/>
      </w:divBdr>
      <w:divsChild>
        <w:div w:id="1638677534">
          <w:marLeft w:val="0"/>
          <w:marRight w:val="0"/>
          <w:marTop w:val="0"/>
          <w:marBottom w:val="0"/>
          <w:divBdr>
            <w:top w:val="none" w:sz="0" w:space="0" w:color="auto"/>
            <w:left w:val="none" w:sz="0" w:space="0" w:color="auto"/>
            <w:bottom w:val="none" w:sz="0" w:space="0" w:color="auto"/>
            <w:right w:val="none" w:sz="0" w:space="0" w:color="auto"/>
          </w:divBdr>
        </w:div>
      </w:divsChild>
    </w:div>
    <w:div w:id="1443305228">
      <w:marLeft w:val="0"/>
      <w:marRight w:val="0"/>
      <w:marTop w:val="0"/>
      <w:marBottom w:val="60"/>
      <w:divBdr>
        <w:top w:val="none" w:sz="0" w:space="0" w:color="auto"/>
        <w:left w:val="none" w:sz="0" w:space="0" w:color="auto"/>
        <w:bottom w:val="none" w:sz="0" w:space="0" w:color="auto"/>
        <w:right w:val="none" w:sz="0" w:space="0" w:color="auto"/>
      </w:divBdr>
    </w:div>
    <w:div w:id="1466312053">
      <w:marLeft w:val="0"/>
      <w:marRight w:val="0"/>
      <w:marTop w:val="0"/>
      <w:marBottom w:val="60"/>
      <w:divBdr>
        <w:top w:val="none" w:sz="0" w:space="0" w:color="auto"/>
        <w:left w:val="none" w:sz="0" w:space="0" w:color="auto"/>
        <w:bottom w:val="none" w:sz="0" w:space="0" w:color="auto"/>
        <w:right w:val="none" w:sz="0" w:space="0" w:color="auto"/>
      </w:divBdr>
    </w:div>
    <w:div w:id="1478498223">
      <w:marLeft w:val="0"/>
      <w:marRight w:val="0"/>
      <w:marTop w:val="0"/>
      <w:marBottom w:val="0"/>
      <w:divBdr>
        <w:top w:val="none" w:sz="0" w:space="0" w:color="auto"/>
        <w:left w:val="none" w:sz="0" w:space="0" w:color="auto"/>
        <w:bottom w:val="none" w:sz="0" w:space="0" w:color="auto"/>
        <w:right w:val="none" w:sz="0" w:space="0" w:color="auto"/>
      </w:divBdr>
    </w:div>
    <w:div w:id="1491828434">
      <w:marLeft w:val="0"/>
      <w:marRight w:val="0"/>
      <w:marTop w:val="240"/>
      <w:marBottom w:val="0"/>
      <w:divBdr>
        <w:top w:val="none" w:sz="0" w:space="0" w:color="auto"/>
        <w:left w:val="none" w:sz="0" w:space="0" w:color="auto"/>
        <w:bottom w:val="none" w:sz="0" w:space="0" w:color="auto"/>
        <w:right w:val="none" w:sz="0" w:space="0" w:color="auto"/>
      </w:divBdr>
    </w:div>
    <w:div w:id="1495532129">
      <w:marLeft w:val="0"/>
      <w:marRight w:val="0"/>
      <w:marTop w:val="0"/>
      <w:marBottom w:val="0"/>
      <w:divBdr>
        <w:top w:val="none" w:sz="0" w:space="0" w:color="auto"/>
        <w:left w:val="none" w:sz="0" w:space="0" w:color="auto"/>
        <w:bottom w:val="none" w:sz="0" w:space="0" w:color="auto"/>
        <w:right w:val="none" w:sz="0" w:space="0" w:color="auto"/>
      </w:divBdr>
    </w:div>
    <w:div w:id="1521163032">
      <w:marLeft w:val="0"/>
      <w:marRight w:val="0"/>
      <w:marTop w:val="0"/>
      <w:marBottom w:val="0"/>
      <w:divBdr>
        <w:top w:val="none" w:sz="0" w:space="0" w:color="auto"/>
        <w:left w:val="none" w:sz="0" w:space="0" w:color="auto"/>
        <w:bottom w:val="none" w:sz="0" w:space="0" w:color="auto"/>
        <w:right w:val="none" w:sz="0" w:space="0" w:color="auto"/>
      </w:divBdr>
    </w:div>
    <w:div w:id="1531071248">
      <w:marLeft w:val="0"/>
      <w:marRight w:val="0"/>
      <w:marTop w:val="0"/>
      <w:marBottom w:val="0"/>
      <w:divBdr>
        <w:top w:val="none" w:sz="0" w:space="0" w:color="auto"/>
        <w:left w:val="none" w:sz="0" w:space="0" w:color="auto"/>
        <w:bottom w:val="none" w:sz="0" w:space="0" w:color="auto"/>
        <w:right w:val="none" w:sz="0" w:space="0" w:color="auto"/>
      </w:divBdr>
      <w:divsChild>
        <w:div w:id="1912540907">
          <w:marLeft w:val="0"/>
          <w:marRight w:val="0"/>
          <w:marTop w:val="0"/>
          <w:marBottom w:val="0"/>
          <w:divBdr>
            <w:top w:val="none" w:sz="0" w:space="0" w:color="auto"/>
            <w:left w:val="none" w:sz="0" w:space="0" w:color="auto"/>
            <w:bottom w:val="none" w:sz="0" w:space="0" w:color="auto"/>
            <w:right w:val="none" w:sz="0" w:space="0" w:color="auto"/>
          </w:divBdr>
        </w:div>
      </w:divsChild>
    </w:div>
    <w:div w:id="1542471793">
      <w:marLeft w:val="0"/>
      <w:marRight w:val="0"/>
      <w:marTop w:val="0"/>
      <w:marBottom w:val="0"/>
      <w:divBdr>
        <w:top w:val="none" w:sz="0" w:space="0" w:color="auto"/>
        <w:left w:val="none" w:sz="0" w:space="0" w:color="auto"/>
        <w:bottom w:val="none" w:sz="0" w:space="0" w:color="auto"/>
        <w:right w:val="none" w:sz="0" w:space="0" w:color="auto"/>
      </w:divBdr>
    </w:div>
    <w:div w:id="1548562632">
      <w:marLeft w:val="0"/>
      <w:marRight w:val="0"/>
      <w:marTop w:val="0"/>
      <w:marBottom w:val="0"/>
      <w:divBdr>
        <w:top w:val="none" w:sz="0" w:space="0" w:color="auto"/>
        <w:left w:val="none" w:sz="0" w:space="0" w:color="auto"/>
        <w:bottom w:val="none" w:sz="0" w:space="0" w:color="auto"/>
        <w:right w:val="none" w:sz="0" w:space="0" w:color="auto"/>
      </w:divBdr>
    </w:div>
    <w:div w:id="1556231652">
      <w:marLeft w:val="0"/>
      <w:marRight w:val="0"/>
      <w:marTop w:val="0"/>
      <w:marBottom w:val="0"/>
      <w:divBdr>
        <w:top w:val="none" w:sz="0" w:space="0" w:color="auto"/>
        <w:left w:val="none" w:sz="0" w:space="0" w:color="auto"/>
        <w:bottom w:val="none" w:sz="0" w:space="0" w:color="auto"/>
        <w:right w:val="none" w:sz="0" w:space="0" w:color="auto"/>
      </w:divBdr>
    </w:div>
    <w:div w:id="1556964700">
      <w:marLeft w:val="0"/>
      <w:marRight w:val="0"/>
      <w:marTop w:val="0"/>
      <w:marBottom w:val="0"/>
      <w:divBdr>
        <w:top w:val="none" w:sz="0" w:space="0" w:color="auto"/>
        <w:left w:val="none" w:sz="0" w:space="0" w:color="auto"/>
        <w:bottom w:val="none" w:sz="0" w:space="0" w:color="auto"/>
        <w:right w:val="none" w:sz="0" w:space="0" w:color="auto"/>
      </w:divBdr>
      <w:divsChild>
        <w:div w:id="591016028">
          <w:marLeft w:val="0"/>
          <w:marRight w:val="0"/>
          <w:marTop w:val="0"/>
          <w:marBottom w:val="0"/>
          <w:divBdr>
            <w:top w:val="none" w:sz="0" w:space="0" w:color="auto"/>
            <w:left w:val="none" w:sz="0" w:space="0" w:color="auto"/>
            <w:bottom w:val="none" w:sz="0" w:space="0" w:color="auto"/>
            <w:right w:val="none" w:sz="0" w:space="0" w:color="auto"/>
          </w:divBdr>
        </w:div>
      </w:divsChild>
    </w:div>
    <w:div w:id="1572080554">
      <w:marLeft w:val="0"/>
      <w:marRight w:val="0"/>
      <w:marTop w:val="0"/>
      <w:marBottom w:val="0"/>
      <w:divBdr>
        <w:top w:val="none" w:sz="0" w:space="0" w:color="auto"/>
        <w:left w:val="none" w:sz="0" w:space="0" w:color="auto"/>
        <w:bottom w:val="none" w:sz="0" w:space="0" w:color="auto"/>
        <w:right w:val="none" w:sz="0" w:space="0" w:color="auto"/>
      </w:divBdr>
      <w:divsChild>
        <w:div w:id="522060649">
          <w:marLeft w:val="0"/>
          <w:marRight w:val="0"/>
          <w:marTop w:val="160"/>
          <w:marBottom w:val="160"/>
          <w:divBdr>
            <w:top w:val="none" w:sz="0" w:space="0" w:color="auto"/>
            <w:left w:val="none" w:sz="0" w:space="0" w:color="auto"/>
            <w:bottom w:val="none" w:sz="0" w:space="0" w:color="auto"/>
            <w:right w:val="none" w:sz="0" w:space="0" w:color="auto"/>
          </w:divBdr>
        </w:div>
      </w:divsChild>
    </w:div>
    <w:div w:id="1580216402">
      <w:marLeft w:val="0"/>
      <w:marRight w:val="0"/>
      <w:marTop w:val="0"/>
      <w:marBottom w:val="0"/>
      <w:divBdr>
        <w:top w:val="none" w:sz="0" w:space="0" w:color="auto"/>
        <w:left w:val="none" w:sz="0" w:space="0" w:color="auto"/>
        <w:bottom w:val="none" w:sz="0" w:space="0" w:color="auto"/>
        <w:right w:val="none" w:sz="0" w:space="0" w:color="auto"/>
      </w:divBdr>
      <w:divsChild>
        <w:div w:id="1594977420">
          <w:marLeft w:val="0"/>
          <w:marRight w:val="0"/>
          <w:marTop w:val="0"/>
          <w:marBottom w:val="0"/>
          <w:divBdr>
            <w:top w:val="none" w:sz="0" w:space="0" w:color="auto"/>
            <w:left w:val="none" w:sz="0" w:space="0" w:color="auto"/>
            <w:bottom w:val="none" w:sz="0" w:space="0" w:color="auto"/>
            <w:right w:val="none" w:sz="0" w:space="0" w:color="auto"/>
          </w:divBdr>
        </w:div>
      </w:divsChild>
    </w:div>
    <w:div w:id="1595938598">
      <w:marLeft w:val="0"/>
      <w:marRight w:val="0"/>
      <w:marTop w:val="0"/>
      <w:marBottom w:val="0"/>
      <w:divBdr>
        <w:top w:val="none" w:sz="0" w:space="0" w:color="auto"/>
        <w:left w:val="none" w:sz="0" w:space="0" w:color="auto"/>
        <w:bottom w:val="none" w:sz="0" w:space="0" w:color="auto"/>
        <w:right w:val="none" w:sz="0" w:space="0" w:color="auto"/>
      </w:divBdr>
    </w:div>
    <w:div w:id="1609311492">
      <w:marLeft w:val="0"/>
      <w:marRight w:val="0"/>
      <w:marTop w:val="0"/>
      <w:marBottom w:val="0"/>
      <w:divBdr>
        <w:top w:val="none" w:sz="0" w:space="0" w:color="auto"/>
        <w:left w:val="none" w:sz="0" w:space="0" w:color="auto"/>
        <w:bottom w:val="none" w:sz="0" w:space="0" w:color="auto"/>
        <w:right w:val="none" w:sz="0" w:space="0" w:color="auto"/>
      </w:divBdr>
    </w:div>
    <w:div w:id="1639263884">
      <w:marLeft w:val="0"/>
      <w:marRight w:val="0"/>
      <w:marTop w:val="0"/>
      <w:marBottom w:val="0"/>
      <w:divBdr>
        <w:top w:val="none" w:sz="0" w:space="0" w:color="auto"/>
        <w:left w:val="none" w:sz="0" w:space="0" w:color="auto"/>
        <w:bottom w:val="none" w:sz="0" w:space="0" w:color="auto"/>
        <w:right w:val="none" w:sz="0" w:space="0" w:color="auto"/>
      </w:divBdr>
    </w:div>
    <w:div w:id="1643389341">
      <w:marLeft w:val="0"/>
      <w:marRight w:val="0"/>
      <w:marTop w:val="0"/>
      <w:marBottom w:val="0"/>
      <w:divBdr>
        <w:top w:val="none" w:sz="0" w:space="0" w:color="auto"/>
        <w:left w:val="none" w:sz="0" w:space="0" w:color="auto"/>
        <w:bottom w:val="none" w:sz="0" w:space="0" w:color="auto"/>
        <w:right w:val="none" w:sz="0" w:space="0" w:color="auto"/>
      </w:divBdr>
      <w:divsChild>
        <w:div w:id="497692961">
          <w:marLeft w:val="0"/>
          <w:marRight w:val="0"/>
          <w:marTop w:val="160"/>
          <w:marBottom w:val="160"/>
          <w:divBdr>
            <w:top w:val="none" w:sz="0" w:space="0" w:color="auto"/>
            <w:left w:val="none" w:sz="0" w:space="0" w:color="auto"/>
            <w:bottom w:val="none" w:sz="0" w:space="0" w:color="auto"/>
            <w:right w:val="none" w:sz="0" w:space="0" w:color="auto"/>
          </w:divBdr>
        </w:div>
      </w:divsChild>
    </w:div>
    <w:div w:id="1644503069">
      <w:marLeft w:val="0"/>
      <w:marRight w:val="0"/>
      <w:marTop w:val="0"/>
      <w:marBottom w:val="0"/>
      <w:divBdr>
        <w:top w:val="none" w:sz="0" w:space="0" w:color="auto"/>
        <w:left w:val="none" w:sz="0" w:space="0" w:color="auto"/>
        <w:bottom w:val="none" w:sz="0" w:space="0" w:color="auto"/>
        <w:right w:val="none" w:sz="0" w:space="0" w:color="auto"/>
      </w:divBdr>
      <w:divsChild>
        <w:div w:id="1888952835">
          <w:marLeft w:val="0"/>
          <w:marRight w:val="0"/>
          <w:marTop w:val="0"/>
          <w:marBottom w:val="0"/>
          <w:divBdr>
            <w:top w:val="none" w:sz="0" w:space="0" w:color="auto"/>
            <w:left w:val="none" w:sz="0" w:space="0" w:color="auto"/>
            <w:bottom w:val="none" w:sz="0" w:space="0" w:color="auto"/>
            <w:right w:val="none" w:sz="0" w:space="0" w:color="auto"/>
          </w:divBdr>
        </w:div>
      </w:divsChild>
    </w:div>
    <w:div w:id="1648121545">
      <w:marLeft w:val="0"/>
      <w:marRight w:val="0"/>
      <w:marTop w:val="0"/>
      <w:marBottom w:val="0"/>
      <w:divBdr>
        <w:top w:val="none" w:sz="0" w:space="0" w:color="auto"/>
        <w:left w:val="none" w:sz="0" w:space="0" w:color="auto"/>
        <w:bottom w:val="none" w:sz="0" w:space="0" w:color="auto"/>
        <w:right w:val="none" w:sz="0" w:space="0" w:color="auto"/>
      </w:divBdr>
      <w:divsChild>
        <w:div w:id="1325550249">
          <w:marLeft w:val="0"/>
          <w:marRight w:val="0"/>
          <w:marTop w:val="0"/>
          <w:marBottom w:val="0"/>
          <w:divBdr>
            <w:top w:val="none" w:sz="0" w:space="0" w:color="auto"/>
            <w:left w:val="none" w:sz="0" w:space="0" w:color="auto"/>
            <w:bottom w:val="none" w:sz="0" w:space="0" w:color="auto"/>
            <w:right w:val="none" w:sz="0" w:space="0" w:color="auto"/>
          </w:divBdr>
        </w:div>
      </w:divsChild>
    </w:div>
    <w:div w:id="1648584921">
      <w:marLeft w:val="0"/>
      <w:marRight w:val="0"/>
      <w:marTop w:val="0"/>
      <w:marBottom w:val="0"/>
      <w:divBdr>
        <w:top w:val="none" w:sz="0" w:space="0" w:color="auto"/>
        <w:left w:val="none" w:sz="0" w:space="0" w:color="auto"/>
        <w:bottom w:val="none" w:sz="0" w:space="0" w:color="auto"/>
        <w:right w:val="none" w:sz="0" w:space="0" w:color="auto"/>
      </w:divBdr>
      <w:divsChild>
        <w:div w:id="955218101">
          <w:marLeft w:val="0"/>
          <w:marRight w:val="0"/>
          <w:marTop w:val="160"/>
          <w:marBottom w:val="160"/>
          <w:divBdr>
            <w:top w:val="none" w:sz="0" w:space="0" w:color="auto"/>
            <w:left w:val="none" w:sz="0" w:space="0" w:color="auto"/>
            <w:bottom w:val="none" w:sz="0" w:space="0" w:color="auto"/>
            <w:right w:val="none" w:sz="0" w:space="0" w:color="auto"/>
          </w:divBdr>
        </w:div>
      </w:divsChild>
    </w:div>
    <w:div w:id="1652245764">
      <w:marLeft w:val="0"/>
      <w:marRight w:val="0"/>
      <w:marTop w:val="0"/>
      <w:marBottom w:val="60"/>
      <w:divBdr>
        <w:top w:val="none" w:sz="0" w:space="0" w:color="auto"/>
        <w:left w:val="none" w:sz="0" w:space="0" w:color="auto"/>
        <w:bottom w:val="none" w:sz="0" w:space="0" w:color="auto"/>
        <w:right w:val="none" w:sz="0" w:space="0" w:color="auto"/>
      </w:divBdr>
    </w:div>
    <w:div w:id="1654947427">
      <w:marLeft w:val="0"/>
      <w:marRight w:val="0"/>
      <w:marTop w:val="0"/>
      <w:marBottom w:val="0"/>
      <w:divBdr>
        <w:top w:val="none" w:sz="0" w:space="0" w:color="auto"/>
        <w:left w:val="none" w:sz="0" w:space="0" w:color="auto"/>
        <w:bottom w:val="none" w:sz="0" w:space="0" w:color="auto"/>
        <w:right w:val="none" w:sz="0" w:space="0" w:color="auto"/>
      </w:divBdr>
    </w:div>
    <w:div w:id="1657487669">
      <w:marLeft w:val="0"/>
      <w:marRight w:val="0"/>
      <w:marTop w:val="80"/>
      <w:marBottom w:val="0"/>
      <w:divBdr>
        <w:top w:val="none" w:sz="0" w:space="0" w:color="auto"/>
        <w:left w:val="none" w:sz="0" w:space="0" w:color="auto"/>
        <w:bottom w:val="none" w:sz="0" w:space="0" w:color="auto"/>
        <w:right w:val="none" w:sz="0" w:space="0" w:color="auto"/>
      </w:divBdr>
    </w:div>
    <w:div w:id="1700086587">
      <w:marLeft w:val="0"/>
      <w:marRight w:val="0"/>
      <w:marTop w:val="0"/>
      <w:marBottom w:val="0"/>
      <w:divBdr>
        <w:top w:val="none" w:sz="0" w:space="0" w:color="auto"/>
        <w:left w:val="none" w:sz="0" w:space="0" w:color="auto"/>
        <w:bottom w:val="none" w:sz="0" w:space="0" w:color="auto"/>
        <w:right w:val="none" w:sz="0" w:space="0" w:color="auto"/>
      </w:divBdr>
      <w:divsChild>
        <w:div w:id="581111958">
          <w:marLeft w:val="0"/>
          <w:marRight w:val="0"/>
          <w:marTop w:val="0"/>
          <w:marBottom w:val="0"/>
          <w:divBdr>
            <w:top w:val="none" w:sz="0" w:space="0" w:color="auto"/>
            <w:left w:val="none" w:sz="0" w:space="0" w:color="auto"/>
            <w:bottom w:val="none" w:sz="0" w:space="0" w:color="auto"/>
            <w:right w:val="none" w:sz="0" w:space="0" w:color="auto"/>
          </w:divBdr>
        </w:div>
      </w:divsChild>
    </w:div>
    <w:div w:id="1703361814">
      <w:marLeft w:val="0"/>
      <w:marRight w:val="0"/>
      <w:marTop w:val="0"/>
      <w:marBottom w:val="0"/>
      <w:divBdr>
        <w:top w:val="none" w:sz="0" w:space="0" w:color="auto"/>
        <w:left w:val="none" w:sz="0" w:space="0" w:color="auto"/>
        <w:bottom w:val="none" w:sz="0" w:space="0" w:color="auto"/>
        <w:right w:val="none" w:sz="0" w:space="0" w:color="auto"/>
      </w:divBdr>
    </w:div>
    <w:div w:id="1706711704">
      <w:marLeft w:val="0"/>
      <w:marRight w:val="0"/>
      <w:marTop w:val="120"/>
      <w:marBottom w:val="0"/>
      <w:divBdr>
        <w:top w:val="none" w:sz="0" w:space="0" w:color="auto"/>
        <w:left w:val="none" w:sz="0" w:space="0" w:color="auto"/>
        <w:bottom w:val="none" w:sz="0" w:space="0" w:color="auto"/>
        <w:right w:val="none" w:sz="0" w:space="0" w:color="auto"/>
      </w:divBdr>
    </w:div>
    <w:div w:id="1729524102">
      <w:marLeft w:val="0"/>
      <w:marRight w:val="0"/>
      <w:marTop w:val="0"/>
      <w:marBottom w:val="0"/>
      <w:divBdr>
        <w:top w:val="none" w:sz="0" w:space="0" w:color="auto"/>
        <w:left w:val="none" w:sz="0" w:space="0" w:color="auto"/>
        <w:bottom w:val="none" w:sz="0" w:space="0" w:color="auto"/>
        <w:right w:val="none" w:sz="0" w:space="0" w:color="auto"/>
      </w:divBdr>
    </w:div>
    <w:div w:id="1730030988">
      <w:marLeft w:val="0"/>
      <w:marRight w:val="0"/>
      <w:marTop w:val="100"/>
      <w:marBottom w:val="0"/>
      <w:divBdr>
        <w:top w:val="none" w:sz="0" w:space="0" w:color="auto"/>
        <w:left w:val="none" w:sz="0" w:space="0" w:color="auto"/>
        <w:bottom w:val="none" w:sz="0" w:space="0" w:color="auto"/>
        <w:right w:val="none" w:sz="0" w:space="0" w:color="auto"/>
      </w:divBdr>
    </w:div>
    <w:div w:id="1743091744">
      <w:marLeft w:val="0"/>
      <w:marRight w:val="0"/>
      <w:marTop w:val="0"/>
      <w:marBottom w:val="0"/>
      <w:divBdr>
        <w:top w:val="none" w:sz="0" w:space="0" w:color="auto"/>
        <w:left w:val="none" w:sz="0" w:space="0" w:color="auto"/>
        <w:bottom w:val="none" w:sz="0" w:space="0" w:color="auto"/>
        <w:right w:val="none" w:sz="0" w:space="0" w:color="auto"/>
      </w:divBdr>
      <w:divsChild>
        <w:div w:id="1422144021">
          <w:marLeft w:val="0"/>
          <w:marRight w:val="0"/>
          <w:marTop w:val="160"/>
          <w:marBottom w:val="160"/>
          <w:divBdr>
            <w:top w:val="none" w:sz="0" w:space="0" w:color="auto"/>
            <w:left w:val="none" w:sz="0" w:space="0" w:color="auto"/>
            <w:bottom w:val="none" w:sz="0" w:space="0" w:color="auto"/>
            <w:right w:val="none" w:sz="0" w:space="0" w:color="auto"/>
          </w:divBdr>
        </w:div>
      </w:divsChild>
    </w:div>
    <w:div w:id="1746486971">
      <w:marLeft w:val="0"/>
      <w:marRight w:val="0"/>
      <w:marTop w:val="0"/>
      <w:marBottom w:val="0"/>
      <w:divBdr>
        <w:top w:val="none" w:sz="0" w:space="0" w:color="auto"/>
        <w:left w:val="none" w:sz="0" w:space="0" w:color="auto"/>
        <w:bottom w:val="none" w:sz="0" w:space="0" w:color="auto"/>
        <w:right w:val="none" w:sz="0" w:space="0" w:color="auto"/>
      </w:divBdr>
    </w:div>
    <w:div w:id="1751265800">
      <w:marLeft w:val="0"/>
      <w:marRight w:val="0"/>
      <w:marTop w:val="0"/>
      <w:marBottom w:val="0"/>
      <w:divBdr>
        <w:top w:val="none" w:sz="0" w:space="0" w:color="auto"/>
        <w:left w:val="none" w:sz="0" w:space="0" w:color="auto"/>
        <w:bottom w:val="none" w:sz="0" w:space="0" w:color="auto"/>
        <w:right w:val="none" w:sz="0" w:space="0" w:color="auto"/>
      </w:divBdr>
    </w:div>
    <w:div w:id="1756972553">
      <w:marLeft w:val="0"/>
      <w:marRight w:val="0"/>
      <w:marTop w:val="0"/>
      <w:marBottom w:val="0"/>
      <w:divBdr>
        <w:top w:val="none" w:sz="0" w:space="0" w:color="auto"/>
        <w:left w:val="none" w:sz="0" w:space="0" w:color="auto"/>
        <w:bottom w:val="none" w:sz="0" w:space="0" w:color="auto"/>
        <w:right w:val="none" w:sz="0" w:space="0" w:color="auto"/>
      </w:divBdr>
      <w:divsChild>
        <w:div w:id="935673663">
          <w:marLeft w:val="0"/>
          <w:marRight w:val="0"/>
          <w:marTop w:val="160"/>
          <w:marBottom w:val="160"/>
          <w:divBdr>
            <w:top w:val="none" w:sz="0" w:space="0" w:color="auto"/>
            <w:left w:val="none" w:sz="0" w:space="0" w:color="auto"/>
            <w:bottom w:val="none" w:sz="0" w:space="0" w:color="auto"/>
            <w:right w:val="none" w:sz="0" w:space="0" w:color="auto"/>
          </w:divBdr>
        </w:div>
      </w:divsChild>
    </w:div>
    <w:div w:id="1773159738">
      <w:marLeft w:val="0"/>
      <w:marRight w:val="0"/>
      <w:marTop w:val="240"/>
      <w:marBottom w:val="0"/>
      <w:divBdr>
        <w:top w:val="none" w:sz="0" w:space="0" w:color="auto"/>
        <w:left w:val="none" w:sz="0" w:space="0" w:color="auto"/>
        <w:bottom w:val="none" w:sz="0" w:space="0" w:color="auto"/>
        <w:right w:val="none" w:sz="0" w:space="0" w:color="auto"/>
      </w:divBdr>
    </w:div>
    <w:div w:id="1773816674">
      <w:marLeft w:val="0"/>
      <w:marRight w:val="0"/>
      <w:marTop w:val="0"/>
      <w:marBottom w:val="0"/>
      <w:divBdr>
        <w:top w:val="none" w:sz="0" w:space="0" w:color="auto"/>
        <w:left w:val="none" w:sz="0" w:space="0" w:color="auto"/>
        <w:bottom w:val="none" w:sz="0" w:space="0" w:color="auto"/>
        <w:right w:val="none" w:sz="0" w:space="0" w:color="auto"/>
      </w:divBdr>
    </w:div>
    <w:div w:id="1776247978">
      <w:marLeft w:val="0"/>
      <w:marRight w:val="0"/>
      <w:marTop w:val="0"/>
      <w:marBottom w:val="0"/>
      <w:divBdr>
        <w:top w:val="none" w:sz="0" w:space="0" w:color="auto"/>
        <w:left w:val="none" w:sz="0" w:space="0" w:color="auto"/>
        <w:bottom w:val="none" w:sz="0" w:space="0" w:color="auto"/>
        <w:right w:val="none" w:sz="0" w:space="0" w:color="auto"/>
      </w:divBdr>
      <w:divsChild>
        <w:div w:id="1470856360">
          <w:marLeft w:val="0"/>
          <w:marRight w:val="0"/>
          <w:marTop w:val="160"/>
          <w:marBottom w:val="160"/>
          <w:divBdr>
            <w:top w:val="none" w:sz="0" w:space="0" w:color="auto"/>
            <w:left w:val="none" w:sz="0" w:space="0" w:color="auto"/>
            <w:bottom w:val="none" w:sz="0" w:space="0" w:color="auto"/>
            <w:right w:val="none" w:sz="0" w:space="0" w:color="auto"/>
          </w:divBdr>
        </w:div>
      </w:divsChild>
    </w:div>
    <w:div w:id="1786849620">
      <w:marLeft w:val="0"/>
      <w:marRight w:val="0"/>
      <w:marTop w:val="240"/>
      <w:marBottom w:val="100"/>
      <w:divBdr>
        <w:top w:val="none" w:sz="0" w:space="0" w:color="auto"/>
        <w:left w:val="none" w:sz="0" w:space="0" w:color="auto"/>
        <w:bottom w:val="none" w:sz="0" w:space="0" w:color="auto"/>
        <w:right w:val="none" w:sz="0" w:space="0" w:color="auto"/>
      </w:divBdr>
    </w:div>
    <w:div w:id="1787233236">
      <w:marLeft w:val="0"/>
      <w:marRight w:val="0"/>
      <w:marTop w:val="0"/>
      <w:marBottom w:val="0"/>
      <w:divBdr>
        <w:top w:val="none" w:sz="0" w:space="0" w:color="auto"/>
        <w:left w:val="none" w:sz="0" w:space="0" w:color="auto"/>
        <w:bottom w:val="none" w:sz="0" w:space="0" w:color="auto"/>
        <w:right w:val="none" w:sz="0" w:space="0" w:color="auto"/>
      </w:divBdr>
    </w:div>
    <w:div w:id="1792481383">
      <w:marLeft w:val="0"/>
      <w:marRight w:val="0"/>
      <w:marTop w:val="100"/>
      <w:marBottom w:val="0"/>
      <w:divBdr>
        <w:top w:val="none" w:sz="0" w:space="0" w:color="auto"/>
        <w:left w:val="none" w:sz="0" w:space="0" w:color="auto"/>
        <w:bottom w:val="none" w:sz="0" w:space="0" w:color="auto"/>
        <w:right w:val="none" w:sz="0" w:space="0" w:color="auto"/>
      </w:divBdr>
    </w:div>
    <w:div w:id="1800372144">
      <w:marLeft w:val="0"/>
      <w:marRight w:val="0"/>
      <w:marTop w:val="0"/>
      <w:marBottom w:val="0"/>
      <w:divBdr>
        <w:top w:val="none" w:sz="0" w:space="0" w:color="auto"/>
        <w:left w:val="none" w:sz="0" w:space="0" w:color="auto"/>
        <w:bottom w:val="none" w:sz="0" w:space="0" w:color="auto"/>
        <w:right w:val="none" w:sz="0" w:space="0" w:color="auto"/>
      </w:divBdr>
      <w:divsChild>
        <w:div w:id="686715731">
          <w:marLeft w:val="0"/>
          <w:marRight w:val="0"/>
          <w:marTop w:val="0"/>
          <w:marBottom w:val="0"/>
          <w:divBdr>
            <w:top w:val="none" w:sz="0" w:space="0" w:color="auto"/>
            <w:left w:val="none" w:sz="0" w:space="0" w:color="auto"/>
            <w:bottom w:val="none" w:sz="0" w:space="0" w:color="auto"/>
            <w:right w:val="none" w:sz="0" w:space="0" w:color="auto"/>
          </w:divBdr>
        </w:div>
      </w:divsChild>
    </w:div>
    <w:div w:id="1811094459">
      <w:marLeft w:val="0"/>
      <w:marRight w:val="0"/>
      <w:marTop w:val="0"/>
      <w:marBottom w:val="0"/>
      <w:divBdr>
        <w:top w:val="none" w:sz="0" w:space="0" w:color="auto"/>
        <w:left w:val="none" w:sz="0" w:space="0" w:color="auto"/>
        <w:bottom w:val="none" w:sz="0" w:space="0" w:color="auto"/>
        <w:right w:val="none" w:sz="0" w:space="0" w:color="auto"/>
      </w:divBdr>
      <w:divsChild>
        <w:div w:id="524177656">
          <w:marLeft w:val="0"/>
          <w:marRight w:val="0"/>
          <w:marTop w:val="0"/>
          <w:marBottom w:val="0"/>
          <w:divBdr>
            <w:top w:val="none" w:sz="0" w:space="0" w:color="auto"/>
            <w:left w:val="none" w:sz="0" w:space="0" w:color="auto"/>
            <w:bottom w:val="none" w:sz="0" w:space="0" w:color="auto"/>
            <w:right w:val="none" w:sz="0" w:space="0" w:color="auto"/>
          </w:divBdr>
        </w:div>
      </w:divsChild>
    </w:div>
    <w:div w:id="1823502838">
      <w:marLeft w:val="0"/>
      <w:marRight w:val="0"/>
      <w:marTop w:val="20"/>
      <w:marBottom w:val="0"/>
      <w:divBdr>
        <w:top w:val="none" w:sz="0" w:space="0" w:color="auto"/>
        <w:left w:val="none" w:sz="0" w:space="0" w:color="auto"/>
        <w:bottom w:val="none" w:sz="0" w:space="0" w:color="auto"/>
        <w:right w:val="none" w:sz="0" w:space="0" w:color="auto"/>
      </w:divBdr>
    </w:div>
    <w:div w:id="1832329429">
      <w:marLeft w:val="0"/>
      <w:marRight w:val="0"/>
      <w:marTop w:val="0"/>
      <w:marBottom w:val="0"/>
      <w:divBdr>
        <w:top w:val="none" w:sz="0" w:space="0" w:color="auto"/>
        <w:left w:val="none" w:sz="0" w:space="0" w:color="auto"/>
        <w:bottom w:val="none" w:sz="0" w:space="0" w:color="auto"/>
        <w:right w:val="none" w:sz="0" w:space="0" w:color="auto"/>
      </w:divBdr>
    </w:div>
    <w:div w:id="1835027029">
      <w:marLeft w:val="0"/>
      <w:marRight w:val="0"/>
      <w:marTop w:val="0"/>
      <w:marBottom w:val="0"/>
      <w:divBdr>
        <w:top w:val="none" w:sz="0" w:space="0" w:color="auto"/>
        <w:left w:val="none" w:sz="0" w:space="0" w:color="auto"/>
        <w:bottom w:val="none" w:sz="0" w:space="0" w:color="auto"/>
        <w:right w:val="none" w:sz="0" w:space="0" w:color="auto"/>
      </w:divBdr>
      <w:divsChild>
        <w:div w:id="1602489751">
          <w:marLeft w:val="0"/>
          <w:marRight w:val="0"/>
          <w:marTop w:val="0"/>
          <w:marBottom w:val="0"/>
          <w:divBdr>
            <w:top w:val="none" w:sz="0" w:space="0" w:color="auto"/>
            <w:left w:val="none" w:sz="0" w:space="0" w:color="auto"/>
            <w:bottom w:val="none" w:sz="0" w:space="0" w:color="auto"/>
            <w:right w:val="none" w:sz="0" w:space="0" w:color="auto"/>
          </w:divBdr>
        </w:div>
      </w:divsChild>
    </w:div>
    <w:div w:id="1840151034">
      <w:marLeft w:val="0"/>
      <w:marRight w:val="0"/>
      <w:marTop w:val="0"/>
      <w:marBottom w:val="0"/>
      <w:divBdr>
        <w:top w:val="none" w:sz="0" w:space="0" w:color="auto"/>
        <w:left w:val="none" w:sz="0" w:space="0" w:color="auto"/>
        <w:bottom w:val="none" w:sz="0" w:space="0" w:color="auto"/>
        <w:right w:val="none" w:sz="0" w:space="0" w:color="auto"/>
      </w:divBdr>
    </w:div>
    <w:div w:id="1843466066">
      <w:marLeft w:val="0"/>
      <w:marRight w:val="0"/>
      <w:marTop w:val="0"/>
      <w:marBottom w:val="0"/>
      <w:divBdr>
        <w:top w:val="none" w:sz="0" w:space="0" w:color="auto"/>
        <w:left w:val="none" w:sz="0" w:space="0" w:color="auto"/>
        <w:bottom w:val="none" w:sz="0" w:space="0" w:color="auto"/>
        <w:right w:val="none" w:sz="0" w:space="0" w:color="auto"/>
      </w:divBdr>
      <w:divsChild>
        <w:div w:id="1821657369">
          <w:marLeft w:val="0"/>
          <w:marRight w:val="0"/>
          <w:marTop w:val="160"/>
          <w:marBottom w:val="160"/>
          <w:divBdr>
            <w:top w:val="none" w:sz="0" w:space="0" w:color="auto"/>
            <w:left w:val="none" w:sz="0" w:space="0" w:color="auto"/>
            <w:bottom w:val="none" w:sz="0" w:space="0" w:color="auto"/>
            <w:right w:val="none" w:sz="0" w:space="0" w:color="auto"/>
          </w:divBdr>
        </w:div>
      </w:divsChild>
    </w:div>
    <w:div w:id="1847478455">
      <w:marLeft w:val="0"/>
      <w:marRight w:val="0"/>
      <w:marTop w:val="0"/>
      <w:marBottom w:val="240"/>
      <w:divBdr>
        <w:top w:val="none" w:sz="0" w:space="0" w:color="auto"/>
        <w:left w:val="none" w:sz="0" w:space="0" w:color="auto"/>
        <w:bottom w:val="none" w:sz="0" w:space="0" w:color="auto"/>
        <w:right w:val="none" w:sz="0" w:space="0" w:color="auto"/>
      </w:divBdr>
    </w:div>
    <w:div w:id="1849368591">
      <w:marLeft w:val="0"/>
      <w:marRight w:val="0"/>
      <w:marTop w:val="0"/>
      <w:marBottom w:val="0"/>
      <w:divBdr>
        <w:top w:val="none" w:sz="0" w:space="0" w:color="auto"/>
        <w:left w:val="none" w:sz="0" w:space="0" w:color="auto"/>
        <w:bottom w:val="none" w:sz="0" w:space="0" w:color="auto"/>
        <w:right w:val="none" w:sz="0" w:space="0" w:color="auto"/>
      </w:divBdr>
    </w:div>
    <w:div w:id="1854760019">
      <w:marLeft w:val="0"/>
      <w:marRight w:val="0"/>
      <w:marTop w:val="0"/>
      <w:marBottom w:val="0"/>
      <w:divBdr>
        <w:top w:val="none" w:sz="0" w:space="0" w:color="auto"/>
        <w:left w:val="none" w:sz="0" w:space="0" w:color="auto"/>
        <w:bottom w:val="none" w:sz="0" w:space="0" w:color="auto"/>
        <w:right w:val="none" w:sz="0" w:space="0" w:color="auto"/>
      </w:divBdr>
    </w:div>
    <w:div w:id="1856993226">
      <w:marLeft w:val="0"/>
      <w:marRight w:val="0"/>
      <w:marTop w:val="0"/>
      <w:marBottom w:val="0"/>
      <w:divBdr>
        <w:top w:val="none" w:sz="0" w:space="0" w:color="auto"/>
        <w:left w:val="none" w:sz="0" w:space="0" w:color="auto"/>
        <w:bottom w:val="none" w:sz="0" w:space="0" w:color="auto"/>
        <w:right w:val="none" w:sz="0" w:space="0" w:color="auto"/>
      </w:divBdr>
    </w:div>
    <w:div w:id="1857966484">
      <w:marLeft w:val="0"/>
      <w:marRight w:val="0"/>
      <w:marTop w:val="100"/>
      <w:marBottom w:val="0"/>
      <w:divBdr>
        <w:top w:val="none" w:sz="0" w:space="0" w:color="auto"/>
        <w:left w:val="none" w:sz="0" w:space="0" w:color="auto"/>
        <w:bottom w:val="none" w:sz="0" w:space="0" w:color="auto"/>
        <w:right w:val="none" w:sz="0" w:space="0" w:color="auto"/>
      </w:divBdr>
      <w:divsChild>
        <w:div w:id="993948518">
          <w:marLeft w:val="0"/>
          <w:marRight w:val="0"/>
          <w:marTop w:val="0"/>
          <w:marBottom w:val="0"/>
          <w:divBdr>
            <w:top w:val="none" w:sz="0" w:space="0" w:color="auto"/>
            <w:left w:val="none" w:sz="0" w:space="0" w:color="auto"/>
            <w:bottom w:val="none" w:sz="0" w:space="0" w:color="auto"/>
            <w:right w:val="none" w:sz="0" w:space="0" w:color="auto"/>
          </w:divBdr>
        </w:div>
      </w:divsChild>
    </w:div>
    <w:div w:id="1873305770">
      <w:marLeft w:val="0"/>
      <w:marRight w:val="0"/>
      <w:marTop w:val="0"/>
      <w:marBottom w:val="0"/>
      <w:divBdr>
        <w:top w:val="none" w:sz="0" w:space="0" w:color="auto"/>
        <w:left w:val="none" w:sz="0" w:space="0" w:color="auto"/>
        <w:bottom w:val="none" w:sz="0" w:space="0" w:color="auto"/>
        <w:right w:val="none" w:sz="0" w:space="0" w:color="auto"/>
      </w:divBdr>
      <w:divsChild>
        <w:div w:id="10495588">
          <w:marLeft w:val="0"/>
          <w:marRight w:val="0"/>
          <w:marTop w:val="0"/>
          <w:marBottom w:val="0"/>
          <w:divBdr>
            <w:top w:val="none" w:sz="0" w:space="0" w:color="auto"/>
            <w:left w:val="none" w:sz="0" w:space="0" w:color="auto"/>
            <w:bottom w:val="none" w:sz="0" w:space="0" w:color="auto"/>
            <w:right w:val="none" w:sz="0" w:space="0" w:color="auto"/>
          </w:divBdr>
        </w:div>
      </w:divsChild>
    </w:div>
    <w:div w:id="1880627497">
      <w:marLeft w:val="0"/>
      <w:marRight w:val="0"/>
      <w:marTop w:val="0"/>
      <w:marBottom w:val="0"/>
      <w:divBdr>
        <w:top w:val="none" w:sz="0" w:space="0" w:color="auto"/>
        <w:left w:val="none" w:sz="0" w:space="0" w:color="auto"/>
        <w:bottom w:val="none" w:sz="0" w:space="0" w:color="auto"/>
        <w:right w:val="none" w:sz="0" w:space="0" w:color="auto"/>
      </w:divBdr>
    </w:div>
    <w:div w:id="1890336820">
      <w:marLeft w:val="0"/>
      <w:marRight w:val="0"/>
      <w:marTop w:val="0"/>
      <w:marBottom w:val="0"/>
      <w:divBdr>
        <w:top w:val="none" w:sz="0" w:space="0" w:color="auto"/>
        <w:left w:val="none" w:sz="0" w:space="0" w:color="auto"/>
        <w:bottom w:val="none" w:sz="0" w:space="0" w:color="auto"/>
        <w:right w:val="none" w:sz="0" w:space="0" w:color="auto"/>
      </w:divBdr>
      <w:divsChild>
        <w:div w:id="699205355">
          <w:marLeft w:val="0"/>
          <w:marRight w:val="0"/>
          <w:marTop w:val="0"/>
          <w:marBottom w:val="0"/>
          <w:divBdr>
            <w:top w:val="none" w:sz="0" w:space="0" w:color="auto"/>
            <w:left w:val="none" w:sz="0" w:space="0" w:color="auto"/>
            <w:bottom w:val="none" w:sz="0" w:space="0" w:color="auto"/>
            <w:right w:val="none" w:sz="0" w:space="0" w:color="auto"/>
          </w:divBdr>
        </w:div>
      </w:divsChild>
    </w:div>
    <w:div w:id="1894193472">
      <w:marLeft w:val="0"/>
      <w:marRight w:val="0"/>
      <w:marTop w:val="0"/>
      <w:marBottom w:val="0"/>
      <w:divBdr>
        <w:top w:val="none" w:sz="0" w:space="0" w:color="auto"/>
        <w:left w:val="none" w:sz="0" w:space="0" w:color="auto"/>
        <w:bottom w:val="none" w:sz="0" w:space="0" w:color="auto"/>
        <w:right w:val="none" w:sz="0" w:space="0" w:color="auto"/>
      </w:divBdr>
    </w:div>
    <w:div w:id="1894924576">
      <w:marLeft w:val="0"/>
      <w:marRight w:val="0"/>
      <w:marTop w:val="0"/>
      <w:marBottom w:val="0"/>
      <w:divBdr>
        <w:top w:val="none" w:sz="0" w:space="0" w:color="auto"/>
        <w:left w:val="none" w:sz="0" w:space="0" w:color="auto"/>
        <w:bottom w:val="none" w:sz="0" w:space="0" w:color="auto"/>
        <w:right w:val="none" w:sz="0" w:space="0" w:color="auto"/>
      </w:divBdr>
    </w:div>
    <w:div w:id="1899590960">
      <w:marLeft w:val="0"/>
      <w:marRight w:val="0"/>
      <w:marTop w:val="0"/>
      <w:marBottom w:val="0"/>
      <w:divBdr>
        <w:top w:val="none" w:sz="0" w:space="0" w:color="auto"/>
        <w:left w:val="none" w:sz="0" w:space="0" w:color="auto"/>
        <w:bottom w:val="none" w:sz="0" w:space="0" w:color="auto"/>
        <w:right w:val="none" w:sz="0" w:space="0" w:color="auto"/>
      </w:divBdr>
    </w:div>
    <w:div w:id="1914195552">
      <w:marLeft w:val="0"/>
      <w:marRight w:val="0"/>
      <w:marTop w:val="0"/>
      <w:marBottom w:val="0"/>
      <w:divBdr>
        <w:top w:val="none" w:sz="0" w:space="0" w:color="auto"/>
        <w:left w:val="none" w:sz="0" w:space="0" w:color="auto"/>
        <w:bottom w:val="none" w:sz="0" w:space="0" w:color="auto"/>
        <w:right w:val="none" w:sz="0" w:space="0" w:color="auto"/>
      </w:divBdr>
    </w:div>
    <w:div w:id="1916931512">
      <w:marLeft w:val="0"/>
      <w:marRight w:val="0"/>
      <w:marTop w:val="0"/>
      <w:marBottom w:val="0"/>
      <w:divBdr>
        <w:top w:val="none" w:sz="0" w:space="0" w:color="auto"/>
        <w:left w:val="none" w:sz="0" w:space="0" w:color="auto"/>
        <w:bottom w:val="none" w:sz="0" w:space="0" w:color="auto"/>
        <w:right w:val="none" w:sz="0" w:space="0" w:color="auto"/>
      </w:divBdr>
      <w:divsChild>
        <w:div w:id="1213689937">
          <w:marLeft w:val="0"/>
          <w:marRight w:val="0"/>
          <w:marTop w:val="160"/>
          <w:marBottom w:val="160"/>
          <w:divBdr>
            <w:top w:val="none" w:sz="0" w:space="0" w:color="auto"/>
            <w:left w:val="none" w:sz="0" w:space="0" w:color="auto"/>
            <w:bottom w:val="none" w:sz="0" w:space="0" w:color="auto"/>
            <w:right w:val="none" w:sz="0" w:space="0" w:color="auto"/>
          </w:divBdr>
        </w:div>
      </w:divsChild>
    </w:div>
    <w:div w:id="1917739134">
      <w:marLeft w:val="0"/>
      <w:marRight w:val="0"/>
      <w:marTop w:val="0"/>
      <w:marBottom w:val="120"/>
      <w:divBdr>
        <w:top w:val="none" w:sz="0" w:space="0" w:color="auto"/>
        <w:left w:val="none" w:sz="0" w:space="0" w:color="auto"/>
        <w:bottom w:val="none" w:sz="0" w:space="0" w:color="auto"/>
        <w:right w:val="none" w:sz="0" w:space="0" w:color="auto"/>
      </w:divBdr>
    </w:div>
    <w:div w:id="1919056949">
      <w:marLeft w:val="0"/>
      <w:marRight w:val="0"/>
      <w:marTop w:val="0"/>
      <w:marBottom w:val="0"/>
      <w:divBdr>
        <w:top w:val="none" w:sz="0" w:space="0" w:color="auto"/>
        <w:left w:val="none" w:sz="0" w:space="0" w:color="auto"/>
        <w:bottom w:val="none" w:sz="0" w:space="0" w:color="auto"/>
        <w:right w:val="none" w:sz="0" w:space="0" w:color="auto"/>
      </w:divBdr>
      <w:divsChild>
        <w:div w:id="1985691555">
          <w:marLeft w:val="0"/>
          <w:marRight w:val="0"/>
          <w:marTop w:val="0"/>
          <w:marBottom w:val="0"/>
          <w:divBdr>
            <w:top w:val="none" w:sz="0" w:space="0" w:color="auto"/>
            <w:left w:val="none" w:sz="0" w:space="0" w:color="auto"/>
            <w:bottom w:val="none" w:sz="0" w:space="0" w:color="auto"/>
            <w:right w:val="none" w:sz="0" w:space="0" w:color="auto"/>
          </w:divBdr>
        </w:div>
      </w:divsChild>
    </w:div>
    <w:div w:id="1943107430">
      <w:marLeft w:val="0"/>
      <w:marRight w:val="0"/>
      <w:marTop w:val="0"/>
      <w:marBottom w:val="0"/>
      <w:divBdr>
        <w:top w:val="none" w:sz="0" w:space="0" w:color="auto"/>
        <w:left w:val="none" w:sz="0" w:space="0" w:color="auto"/>
        <w:bottom w:val="none" w:sz="0" w:space="0" w:color="auto"/>
        <w:right w:val="none" w:sz="0" w:space="0" w:color="auto"/>
      </w:divBdr>
    </w:div>
    <w:div w:id="1960869828">
      <w:marLeft w:val="0"/>
      <w:marRight w:val="0"/>
      <w:marTop w:val="0"/>
      <w:marBottom w:val="60"/>
      <w:divBdr>
        <w:top w:val="none" w:sz="0" w:space="0" w:color="auto"/>
        <w:left w:val="none" w:sz="0" w:space="0" w:color="auto"/>
        <w:bottom w:val="none" w:sz="0" w:space="0" w:color="auto"/>
        <w:right w:val="none" w:sz="0" w:space="0" w:color="auto"/>
      </w:divBdr>
    </w:div>
    <w:div w:id="1972595060">
      <w:marLeft w:val="0"/>
      <w:marRight w:val="0"/>
      <w:marTop w:val="100"/>
      <w:marBottom w:val="0"/>
      <w:divBdr>
        <w:top w:val="none" w:sz="0" w:space="0" w:color="auto"/>
        <w:left w:val="none" w:sz="0" w:space="0" w:color="auto"/>
        <w:bottom w:val="none" w:sz="0" w:space="0" w:color="auto"/>
        <w:right w:val="none" w:sz="0" w:space="0" w:color="auto"/>
      </w:divBdr>
      <w:divsChild>
        <w:div w:id="938414310">
          <w:marLeft w:val="0"/>
          <w:marRight w:val="0"/>
          <w:marTop w:val="0"/>
          <w:marBottom w:val="0"/>
          <w:divBdr>
            <w:top w:val="none" w:sz="0" w:space="0" w:color="auto"/>
            <w:left w:val="none" w:sz="0" w:space="0" w:color="auto"/>
            <w:bottom w:val="none" w:sz="0" w:space="0" w:color="auto"/>
            <w:right w:val="none" w:sz="0" w:space="0" w:color="auto"/>
          </w:divBdr>
        </w:div>
      </w:divsChild>
    </w:div>
    <w:div w:id="1977837463">
      <w:marLeft w:val="0"/>
      <w:marRight w:val="0"/>
      <w:marTop w:val="0"/>
      <w:marBottom w:val="0"/>
      <w:divBdr>
        <w:top w:val="none" w:sz="0" w:space="0" w:color="auto"/>
        <w:left w:val="none" w:sz="0" w:space="0" w:color="auto"/>
        <w:bottom w:val="none" w:sz="0" w:space="0" w:color="auto"/>
        <w:right w:val="none" w:sz="0" w:space="0" w:color="auto"/>
      </w:divBdr>
    </w:div>
    <w:div w:id="1985307441">
      <w:marLeft w:val="0"/>
      <w:marRight w:val="0"/>
      <w:marTop w:val="0"/>
      <w:marBottom w:val="0"/>
      <w:divBdr>
        <w:top w:val="none" w:sz="0" w:space="0" w:color="auto"/>
        <w:left w:val="none" w:sz="0" w:space="0" w:color="auto"/>
        <w:bottom w:val="none" w:sz="0" w:space="0" w:color="auto"/>
        <w:right w:val="none" w:sz="0" w:space="0" w:color="auto"/>
      </w:divBdr>
      <w:divsChild>
        <w:div w:id="1305502893">
          <w:marLeft w:val="0"/>
          <w:marRight w:val="0"/>
          <w:marTop w:val="0"/>
          <w:marBottom w:val="0"/>
          <w:divBdr>
            <w:top w:val="none" w:sz="0" w:space="0" w:color="auto"/>
            <w:left w:val="none" w:sz="0" w:space="0" w:color="auto"/>
            <w:bottom w:val="none" w:sz="0" w:space="0" w:color="auto"/>
            <w:right w:val="none" w:sz="0" w:space="0" w:color="auto"/>
          </w:divBdr>
        </w:div>
      </w:divsChild>
    </w:div>
    <w:div w:id="1995793468">
      <w:marLeft w:val="0"/>
      <w:marRight w:val="0"/>
      <w:marTop w:val="0"/>
      <w:marBottom w:val="0"/>
      <w:divBdr>
        <w:top w:val="none" w:sz="0" w:space="0" w:color="auto"/>
        <w:left w:val="none" w:sz="0" w:space="0" w:color="auto"/>
        <w:bottom w:val="none" w:sz="0" w:space="0" w:color="auto"/>
        <w:right w:val="none" w:sz="0" w:space="0" w:color="auto"/>
      </w:divBdr>
    </w:div>
    <w:div w:id="1998486098">
      <w:marLeft w:val="0"/>
      <w:marRight w:val="0"/>
      <w:marTop w:val="160"/>
      <w:marBottom w:val="0"/>
      <w:divBdr>
        <w:top w:val="none" w:sz="0" w:space="0" w:color="auto"/>
        <w:left w:val="none" w:sz="0" w:space="0" w:color="auto"/>
        <w:bottom w:val="none" w:sz="0" w:space="0" w:color="auto"/>
        <w:right w:val="none" w:sz="0" w:space="0" w:color="auto"/>
      </w:divBdr>
    </w:div>
    <w:div w:id="2015645161">
      <w:marLeft w:val="0"/>
      <w:marRight w:val="0"/>
      <w:marTop w:val="0"/>
      <w:marBottom w:val="0"/>
      <w:divBdr>
        <w:top w:val="none" w:sz="0" w:space="0" w:color="auto"/>
        <w:left w:val="none" w:sz="0" w:space="0" w:color="auto"/>
        <w:bottom w:val="none" w:sz="0" w:space="0" w:color="auto"/>
        <w:right w:val="none" w:sz="0" w:space="0" w:color="auto"/>
      </w:divBdr>
    </w:div>
    <w:div w:id="2036038166">
      <w:marLeft w:val="0"/>
      <w:marRight w:val="0"/>
      <w:marTop w:val="0"/>
      <w:marBottom w:val="0"/>
      <w:divBdr>
        <w:top w:val="none" w:sz="0" w:space="0" w:color="auto"/>
        <w:left w:val="none" w:sz="0" w:space="0" w:color="auto"/>
        <w:bottom w:val="none" w:sz="0" w:space="0" w:color="auto"/>
        <w:right w:val="none" w:sz="0" w:space="0" w:color="auto"/>
      </w:divBdr>
    </w:div>
    <w:div w:id="2041199239">
      <w:marLeft w:val="0"/>
      <w:marRight w:val="0"/>
      <w:marTop w:val="0"/>
      <w:marBottom w:val="0"/>
      <w:divBdr>
        <w:top w:val="none" w:sz="0" w:space="0" w:color="auto"/>
        <w:left w:val="none" w:sz="0" w:space="0" w:color="auto"/>
        <w:bottom w:val="none" w:sz="0" w:space="0" w:color="auto"/>
        <w:right w:val="none" w:sz="0" w:space="0" w:color="auto"/>
      </w:divBdr>
    </w:div>
    <w:div w:id="2044282639">
      <w:marLeft w:val="0"/>
      <w:marRight w:val="0"/>
      <w:marTop w:val="0"/>
      <w:marBottom w:val="0"/>
      <w:divBdr>
        <w:top w:val="none" w:sz="0" w:space="0" w:color="auto"/>
        <w:left w:val="none" w:sz="0" w:space="0" w:color="auto"/>
        <w:bottom w:val="none" w:sz="0" w:space="0" w:color="auto"/>
        <w:right w:val="none" w:sz="0" w:space="0" w:color="auto"/>
      </w:divBdr>
    </w:div>
    <w:div w:id="2044742433">
      <w:marLeft w:val="0"/>
      <w:marRight w:val="0"/>
      <w:marTop w:val="0"/>
      <w:marBottom w:val="0"/>
      <w:divBdr>
        <w:top w:val="none" w:sz="0" w:space="0" w:color="auto"/>
        <w:left w:val="none" w:sz="0" w:space="0" w:color="auto"/>
        <w:bottom w:val="none" w:sz="0" w:space="0" w:color="auto"/>
        <w:right w:val="none" w:sz="0" w:space="0" w:color="auto"/>
      </w:divBdr>
    </w:div>
    <w:div w:id="2046132095">
      <w:marLeft w:val="0"/>
      <w:marRight w:val="0"/>
      <w:marTop w:val="0"/>
      <w:marBottom w:val="0"/>
      <w:divBdr>
        <w:top w:val="none" w:sz="0" w:space="0" w:color="auto"/>
        <w:left w:val="none" w:sz="0" w:space="0" w:color="auto"/>
        <w:bottom w:val="none" w:sz="0" w:space="0" w:color="auto"/>
        <w:right w:val="none" w:sz="0" w:space="0" w:color="auto"/>
      </w:divBdr>
      <w:divsChild>
        <w:div w:id="1649434784">
          <w:marLeft w:val="0"/>
          <w:marRight w:val="0"/>
          <w:marTop w:val="0"/>
          <w:marBottom w:val="0"/>
          <w:divBdr>
            <w:top w:val="none" w:sz="0" w:space="0" w:color="auto"/>
            <w:left w:val="none" w:sz="0" w:space="0" w:color="auto"/>
            <w:bottom w:val="none" w:sz="0" w:space="0" w:color="auto"/>
            <w:right w:val="none" w:sz="0" w:space="0" w:color="auto"/>
          </w:divBdr>
        </w:div>
      </w:divsChild>
    </w:div>
    <w:div w:id="2057005605">
      <w:marLeft w:val="0"/>
      <w:marRight w:val="0"/>
      <w:marTop w:val="100"/>
      <w:marBottom w:val="60"/>
      <w:divBdr>
        <w:top w:val="none" w:sz="0" w:space="0" w:color="auto"/>
        <w:left w:val="none" w:sz="0" w:space="0" w:color="auto"/>
        <w:bottom w:val="none" w:sz="0" w:space="0" w:color="auto"/>
        <w:right w:val="none" w:sz="0" w:space="0" w:color="auto"/>
      </w:divBdr>
      <w:divsChild>
        <w:div w:id="1298142359">
          <w:marLeft w:val="0"/>
          <w:marRight w:val="0"/>
          <w:marTop w:val="0"/>
          <w:marBottom w:val="0"/>
          <w:divBdr>
            <w:top w:val="none" w:sz="0" w:space="0" w:color="auto"/>
            <w:left w:val="none" w:sz="0" w:space="0" w:color="auto"/>
            <w:bottom w:val="none" w:sz="0" w:space="0" w:color="auto"/>
            <w:right w:val="none" w:sz="0" w:space="0" w:color="auto"/>
          </w:divBdr>
        </w:div>
      </w:divsChild>
    </w:div>
    <w:div w:id="2065326660">
      <w:marLeft w:val="0"/>
      <w:marRight w:val="0"/>
      <w:marTop w:val="0"/>
      <w:marBottom w:val="0"/>
      <w:divBdr>
        <w:top w:val="none" w:sz="0" w:space="0" w:color="auto"/>
        <w:left w:val="none" w:sz="0" w:space="0" w:color="auto"/>
        <w:bottom w:val="none" w:sz="0" w:space="0" w:color="auto"/>
        <w:right w:val="none" w:sz="0" w:space="0" w:color="auto"/>
      </w:divBdr>
    </w:div>
    <w:div w:id="2076121366">
      <w:marLeft w:val="0"/>
      <w:marRight w:val="0"/>
      <w:marTop w:val="0"/>
      <w:marBottom w:val="0"/>
      <w:divBdr>
        <w:top w:val="none" w:sz="0" w:space="0" w:color="auto"/>
        <w:left w:val="none" w:sz="0" w:space="0" w:color="auto"/>
        <w:bottom w:val="none" w:sz="0" w:space="0" w:color="auto"/>
        <w:right w:val="none" w:sz="0" w:space="0" w:color="auto"/>
      </w:divBdr>
    </w:div>
    <w:div w:id="2096121537">
      <w:marLeft w:val="0"/>
      <w:marRight w:val="0"/>
      <w:marTop w:val="60"/>
      <w:marBottom w:val="0"/>
      <w:divBdr>
        <w:top w:val="none" w:sz="0" w:space="0" w:color="auto"/>
        <w:left w:val="none" w:sz="0" w:space="0" w:color="auto"/>
        <w:bottom w:val="none" w:sz="0" w:space="0" w:color="auto"/>
        <w:right w:val="none" w:sz="0" w:space="0" w:color="auto"/>
      </w:divBdr>
    </w:div>
    <w:div w:id="2113745404">
      <w:marLeft w:val="0"/>
      <w:marRight w:val="0"/>
      <w:marTop w:val="0"/>
      <w:marBottom w:val="0"/>
      <w:divBdr>
        <w:top w:val="none" w:sz="0" w:space="0" w:color="auto"/>
        <w:left w:val="none" w:sz="0" w:space="0" w:color="auto"/>
        <w:bottom w:val="none" w:sz="0" w:space="0" w:color="auto"/>
        <w:right w:val="none" w:sz="0" w:space="0" w:color="auto"/>
      </w:divBdr>
      <w:divsChild>
        <w:div w:id="1734503922">
          <w:marLeft w:val="0"/>
          <w:marRight w:val="0"/>
          <w:marTop w:val="0"/>
          <w:marBottom w:val="0"/>
          <w:divBdr>
            <w:top w:val="none" w:sz="0" w:space="0" w:color="auto"/>
            <w:left w:val="none" w:sz="0" w:space="0" w:color="auto"/>
            <w:bottom w:val="none" w:sz="0" w:space="0" w:color="auto"/>
            <w:right w:val="none" w:sz="0" w:space="0" w:color="auto"/>
          </w:divBdr>
        </w:div>
      </w:divsChild>
    </w:div>
    <w:div w:id="2131438049">
      <w:marLeft w:val="0"/>
      <w:marRight w:val="0"/>
      <w:marTop w:val="0"/>
      <w:marBottom w:val="0"/>
      <w:divBdr>
        <w:top w:val="none" w:sz="0" w:space="0" w:color="auto"/>
        <w:left w:val="none" w:sz="0" w:space="0" w:color="auto"/>
        <w:bottom w:val="none" w:sz="0" w:space="0" w:color="auto"/>
        <w:right w:val="none" w:sz="0" w:space="0" w:color="auto"/>
      </w:divBdr>
    </w:div>
    <w:div w:id="2131632359">
      <w:marLeft w:val="0"/>
      <w:marRight w:val="0"/>
      <w:marTop w:val="1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2022q2exhibit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2022q2exhibit312.htm" TargetMode="External"/><Relationship Id="rId5" Type="http://schemas.openxmlformats.org/officeDocument/2006/relationships/hyperlink" Target="a2022q2exhibit311.htm" TargetMode="External"/><Relationship Id="rId4" Type="http://schemas.openxmlformats.org/officeDocument/2006/relationships/hyperlink" Target="ex101thirdamendmenttocredi.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15398</Words>
  <Characters>87769</Characters>
  <Application>Microsoft Office Word</Application>
  <DocSecurity>0</DocSecurity>
  <Lines>731</Lines>
  <Paragraphs>205</Paragraphs>
  <ScaleCrop>false</ScaleCrop>
  <Company/>
  <LinksUpToDate>false</LinksUpToDate>
  <CharactersWithSpaces>102962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ndls-20220628</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