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DAA5" w14:textId="7C2D9443" w:rsidR="003734EC" w:rsidRDefault="000E364E">
      <w:pPr>
        <w:rPr>
          <w:vanish/>
        </w:rPr>
      </w:pPr>
      <w:r>
        <w:rPr>
          <w:rFonts w:ascii="宋体" w:eastAsia="宋体" w:hAnsi="宋体" w:cs="宋体"/>
        </w:rPr>
        <w:t xml:space="preserve"> </w:t>
      </w:r>
      <w:r>
        <w:rPr>
          <w:rFonts w:ascii="宋体" w:eastAsia="宋体" w:hAnsi="宋体" w:cs="宋体"/>
          <w:vanish/>
        </w:rPr>
        <w:t>00010458101/312020Q1FALSE0.160.162.203.202.853.503.503.702.203.202.853.503.503.7016200010458102020-01-272020-04-26xbrli:shares00010458102020-05-15iso4217:USD00010458102019-01-282019-04-28iso4217:USDxbrli:shares00010458102020-04-2600010458102020-01-26000104</w:t>
      </w:r>
      <w:r>
        <w:rPr>
          <w:rFonts w:ascii="宋体" w:eastAsia="宋体" w:hAnsi="宋体" w:cs="宋体"/>
          <w:vanish/>
        </w:rPr>
        <w:t>5810us-gaap:CommonStockMember2020-01-260001045810us-gaap:AdditionalPaidInCapitalMember2020-01-260001045810us-gaap:TreasuryStockMember2020-01-260001045810us-gaap:AccumulatedOtherComprehensiveIncomeMember2020-01-260001045810us-gaap:RetainedEarningsMember2020</w:t>
      </w:r>
      <w:r>
        <w:rPr>
          <w:rFonts w:ascii="宋体" w:eastAsia="宋体" w:hAnsi="宋体" w:cs="宋体"/>
          <w:vanish/>
        </w:rPr>
        <w:t>-01-260001045810us-gaap:AccumulatedOtherComprehensiveIncomeMember2020-01-272020-04-260001045810us-gaap:RetainedEarningsMember2020-01-272020-04-260001045810us-gaap:CommonStockMember2020-01-272020-04-260001045810us-gaap:AdditionalPaidInCapitalMember2020-01-2</w:t>
      </w:r>
      <w:r>
        <w:rPr>
          <w:rFonts w:ascii="宋体" w:eastAsia="宋体" w:hAnsi="宋体" w:cs="宋体"/>
          <w:vanish/>
        </w:rPr>
        <w:t>72020-04-260001045810us-gaap:TreasuryStockMember2020-01-272020-04-260001045810us-gaap:CommonStockMember2020-04-260001045810us-gaap:AdditionalPaidInCapitalMember2020-04-260001045810us-gaap:TreasuryStockMember2020-04-260001045810us-gaap:AccumulatedOtherCompr</w:t>
      </w:r>
      <w:r>
        <w:rPr>
          <w:rFonts w:ascii="宋体" w:eastAsia="宋体" w:hAnsi="宋体" w:cs="宋体"/>
          <w:vanish/>
        </w:rPr>
        <w:t>ehensiveIncomeMember2020-04-260001045810us-gaap:RetainedEarningsMember2020-04-260001045810us-gaap:CommonStockMember2019-01-270001045810us-gaap:AdditionalPaidInCapitalMember2019-01-270001045810us-gaap:TreasuryStockMember2019-01-270001045810us-gaap:Accumulat</w:t>
      </w:r>
      <w:r>
        <w:rPr>
          <w:rFonts w:ascii="宋体" w:eastAsia="宋体" w:hAnsi="宋体" w:cs="宋体"/>
          <w:vanish/>
        </w:rPr>
        <w:t>edOtherComprehensiveIncomeMember2019-01-270001045810us-gaap:RetainedEarningsMember2019-01-2700010458102019-01-270001045810us-gaap:AccumulatedOtherComprehensiveIncomeMember2019-01-282019-04-280001045810us-gaap:RetainedEarningsMember2019-01-282019-04-2800010</w:t>
      </w:r>
      <w:r>
        <w:rPr>
          <w:rFonts w:ascii="宋体" w:eastAsia="宋体" w:hAnsi="宋体" w:cs="宋体"/>
          <w:vanish/>
        </w:rPr>
        <w:t>45810us-gaap:CommonStockMember2019-01-282019-04-280001045810us-gaap:AdditionalPaidInCapitalMember2019-01-282019-04-280001045810us-gaap:TreasuryStockMember2019-01-282019-04-280001045810us-gaap:CommonStockMember2019-04-280001045810us-gaap:AdditionalPaidInCap</w:t>
      </w:r>
      <w:r>
        <w:rPr>
          <w:rFonts w:ascii="宋体" w:eastAsia="宋体" w:hAnsi="宋体" w:cs="宋体"/>
          <w:vanish/>
        </w:rPr>
        <w:t>italMember2019-04-280001045810us-gaap:TreasuryStockMember2019-04-280001045810us-gaap:AccumulatedOtherComprehensiveIncomeMember2019-04-280001045810us-gaap:RetainedEarningsMember2019-04-2800010458102019-04-280001045810nvda:MellanoxTechnologiesLtdMember2020-0</w:t>
      </w:r>
      <w:r>
        <w:rPr>
          <w:rFonts w:ascii="宋体" w:eastAsia="宋体" w:hAnsi="宋体" w:cs="宋体"/>
          <w:vanish/>
        </w:rPr>
        <w:t>4-272020-04-27xbrli:pure0001045810us-gaap:CostOfSalesMember2020-01-272020-04-260001045810us-gaap:CostOfSalesMember2019-01-282019-04-280001045810us-gaap:ResearchAndDevelopmentExpenseMember2020-01-272020-04-260001045810us-gaap:ResearchAndDevelopmentExpenseMe</w:t>
      </w:r>
      <w:r>
        <w:rPr>
          <w:rFonts w:ascii="宋体" w:eastAsia="宋体" w:hAnsi="宋体" w:cs="宋体"/>
          <w:vanish/>
        </w:rPr>
        <w:t>mber2019-01-282019-04-280001045810us-gaap:SellingGeneralAndAdministrativeExpensesMember2020-01-272020-04-260001045810us-gaap:SellingGeneralAndAdministrativeExpensesMember2019-01-282019-04-280001045810nvda:RSUsPSUsandMarketbasedPSUsMember2020-01-26000104581</w:t>
      </w:r>
      <w:r>
        <w:rPr>
          <w:rFonts w:ascii="宋体" w:eastAsia="宋体" w:hAnsi="宋体" w:cs="宋体"/>
          <w:vanish/>
        </w:rPr>
        <w:t>0nvda:RSUsPSUsandMarketbasedPSUsMember2020-01-272020-04-260001045810nvda:RSUsPSUsandMarketbasedPSUsMember2020-04-260001045810nvda:ShareBasedCompensationArrangementsByShareBasedPaymentAwardEmployeeStockPurchasePlanMember2020-01-272020-04-260001045810us-gaap</w:t>
      </w:r>
      <w:r>
        <w:rPr>
          <w:rFonts w:ascii="宋体" w:eastAsia="宋体" w:hAnsi="宋体" w:cs="宋体"/>
          <w:vanish/>
        </w:rPr>
        <w:t>:MoneyMarketFundsMember2020-04-260001045810us-gaap:CorporateDebtSecuritiesMember2020-04-260001045810us-gaap:ForeignGovernmentDebtMember2020-04-260001045810us-gaap:CertificatesOfDepositMember2020-04-260001045810us-gaap:USGovernmentAgenciesDebtSecuritiesMemb</w:t>
      </w:r>
      <w:r>
        <w:rPr>
          <w:rFonts w:ascii="宋体" w:eastAsia="宋体" w:hAnsi="宋体" w:cs="宋体"/>
          <w:vanish/>
        </w:rPr>
        <w:t>er2020-04-260001045810us-gaap:MoneyMarketFundsMember2020-01-260001045810us-gaap:USTreasurySecuritiesMember2020-01-260001045810us-gaap:USGovernmentAgenciesDebtSecuritiesMember2020-01-260001045810us-gaap:CorporateDebtSecuritiesMember2020-01-260001045810us-ga</w:t>
      </w:r>
      <w:r>
        <w:rPr>
          <w:rFonts w:ascii="宋体" w:eastAsia="宋体" w:hAnsi="宋体" w:cs="宋体"/>
          <w:vanish/>
        </w:rPr>
        <w:t>ap:ForeignGovernmentDebtMember2020-01-260001045810us-gaap:CertificatesOfDepositMember2020-01-260001045810us-gaap:AssetBackedSecuritiesMember2020-01-260001045810us-gaap:FairValueInputsLevel1Memberus-gaap:MoneyMarketFundsMember2020-04-260001045810us-gaap:Fai</w:t>
      </w:r>
      <w:r>
        <w:rPr>
          <w:rFonts w:ascii="宋体" w:eastAsia="宋体" w:hAnsi="宋体" w:cs="宋体"/>
          <w:vanish/>
        </w:rPr>
        <w:t>rValueInputsLevel1Memberus-gaap:MoneyMarketFundsMember2020-01-260001045810us-gaap:CorporateDebtSecuritiesMemberus-gaap:FairValueInputsLevel2Member2020-04-260001045810us-gaap:CorporateDebtSecuritiesMemberus-gaap:FairValueInputsLevel2Member2020-01-2600010458</w:t>
      </w:r>
      <w:r>
        <w:rPr>
          <w:rFonts w:ascii="宋体" w:eastAsia="宋体" w:hAnsi="宋体" w:cs="宋体"/>
          <w:vanish/>
        </w:rPr>
        <w:t>10us-gaap:FairValueInputsLevel2Memberus-gaap:ForeignGovernmentDebtMember2020-04-260001045810us-gaap:FairValueInputsLevel2Memberus-gaap:ForeignGovernmentDebtMember2020-01-260001045810us-gaap:CertificatesOfDepositMemberus-gaap:FairValueInputsLevel2Member2020</w:t>
      </w:r>
      <w:r>
        <w:rPr>
          <w:rFonts w:ascii="宋体" w:eastAsia="宋体" w:hAnsi="宋体" w:cs="宋体"/>
          <w:vanish/>
        </w:rPr>
        <w:t>-04-260001045810us-gaap:CertificatesOfDepositMemberus-gaap:FairValueInputsLevel2Member2020-01-260001045810us-gaap:FairValueInputsLevel2Memberus-gaap:USGovernmentAgenciesDebtSecuritiesMember2020-04-260001045810us-gaap:FairValueInputsLevel2Memberus-gaap:USGo</w:t>
      </w:r>
      <w:r>
        <w:rPr>
          <w:rFonts w:ascii="宋体" w:eastAsia="宋体" w:hAnsi="宋体" w:cs="宋体"/>
          <w:vanish/>
        </w:rPr>
        <w:t>vernmentAgenciesDebtSecuritiesMember2020-01-260001045810us-gaap:FairValueInputsLevel2Memberus-gaap:USTreasurySecuritiesMember2020-04-260001045810us-gaap:FairValueInputsLevel2Memberus-gaap:USTreasurySecuritiesMember2020-01-260001045810us-gaap:FairValueInput</w:t>
      </w:r>
      <w:r>
        <w:rPr>
          <w:rFonts w:ascii="宋体" w:eastAsia="宋体" w:hAnsi="宋体" w:cs="宋体"/>
          <w:vanish/>
        </w:rPr>
        <w:t>sLevel2Memberus-gaap:AssetBackedSecuritiesMember2020-04-260001045810us-gaap:FairValueInputsLevel2Memberus-gaap:AssetBackedSecuritiesMember2020-01-260001045810us-gaap:FairValueInputsLevel2Membernvda:A2021NotesMember2020-04-260001045810us-gaap:FairValueInput</w:t>
      </w:r>
      <w:r>
        <w:rPr>
          <w:rFonts w:ascii="宋体" w:eastAsia="宋体" w:hAnsi="宋体" w:cs="宋体"/>
          <w:vanish/>
        </w:rPr>
        <w:t>sLevel2Membernvda:A2021NotesMember2020-01-260001045810us-gaap:FairValueInputsLevel2Membernvda:A2026NotesMember2020-04-260001045810us-gaap:FairValueInputsLevel2Membernvda:A2026NotesMember2020-01-260001045810us-gaap:FairValueInputsLevel2Membernvda:A2030Notes</w:t>
      </w:r>
      <w:r>
        <w:rPr>
          <w:rFonts w:ascii="宋体" w:eastAsia="宋体" w:hAnsi="宋体" w:cs="宋体"/>
          <w:vanish/>
        </w:rPr>
        <w:t>Member2020-04-260001045810us-gaap:FairValueInputsLevel2Membernvda:A2030NotesMember2020-01-260001045810us-gaap:FairValueInputsLevel2Membernvda:A2040NotesMember2020-04-260001045810us-gaap:FairValueInputsLevel2Membernvda:A2040NotesMember2020-01-260001045810us</w:t>
      </w:r>
      <w:r>
        <w:rPr>
          <w:rFonts w:ascii="宋体" w:eastAsia="宋体" w:hAnsi="宋体" w:cs="宋体"/>
          <w:vanish/>
        </w:rPr>
        <w:t>-gaap:FairValueInputsLevel2Membernvda:A2050NotesMember2020-04-260001045810us-gaap:FairValueInputsLevel2Membernvda:A2050NotesMember2020-01-260001045810us-gaap:FairValueInputsLevel2Membernvda:A2060NotesMember2020-04-260001045810us-gaap:FairValueInputsLevel2M</w:t>
      </w:r>
      <w:r>
        <w:rPr>
          <w:rFonts w:ascii="宋体" w:eastAsia="宋体" w:hAnsi="宋体" w:cs="宋体"/>
          <w:vanish/>
        </w:rPr>
        <w:t>embernvda:A2060NotesMember2020-01-260001045810nvda:A2021NotesMember2020-04-260001045810nvda:A2026NotesMember2020-04-260001045810nvda:A2030NotesMember2020-04-260001045810nvda:A2040NotesMember2020-04-260001045810nvda:A2050NotesMember2020-04-260001045810nvda:</w:t>
      </w:r>
      <w:r>
        <w:rPr>
          <w:rFonts w:ascii="宋体" w:eastAsia="宋体" w:hAnsi="宋体" w:cs="宋体"/>
          <w:vanish/>
        </w:rPr>
        <w:t>A2060NotesMember2020-04-260001045810us-gaap:DevelopedTechnologyRightsMember2020-04-260001045810us-gaap:DevelopedTechnologyRightsMember2020-01-260001045810nvda:PatentsAndLicensedTechnologyMember2020-04-260001045810nvda:PatentsAndLicensedTechnologyMember2020</w:t>
      </w:r>
      <w:r>
        <w:rPr>
          <w:rFonts w:ascii="宋体" w:eastAsia="宋体" w:hAnsi="宋体" w:cs="宋体"/>
          <w:vanish/>
        </w:rPr>
        <w:t>-01-260001045810us-gaap:FiniteLivedIntangibleAssetsMember2020-04-260001045810us-gaap:FiniteLivedIntangibleAssetsMember2020-01-2600010458102020-04-272020-04-260001045810us-gaap:ForeignExchangeForwardMember2020-01-272020-04-260001045810nvda:A2030NotesMember2</w:t>
      </w:r>
      <w:r>
        <w:rPr>
          <w:rFonts w:ascii="宋体" w:eastAsia="宋体" w:hAnsi="宋体" w:cs="宋体"/>
          <w:vanish/>
        </w:rPr>
        <w:t>020-03-310001045810nvda:A2040NotesMember2020-03-310001045810nvda:A2050NotesMember2020-03-310001045810nvda:A2060NotesMember2020-03-310001045810nvda:March2020NotesMember2020-03-012020-03-310001045810nvda:A2021NotesMember2016-09-300001045810nvda:A2026NotesMem</w:t>
      </w:r>
      <w:r>
        <w:rPr>
          <w:rFonts w:ascii="宋体" w:eastAsia="宋体" w:hAnsi="宋体" w:cs="宋体"/>
          <w:vanish/>
        </w:rPr>
        <w:t>ber2016-09-300001045810nvda:September2016NotesMember2016-09-012016-09-300001045810nvda:A2021NotesMember2020-01-272020-04-260001045810nvda:A2021NotesMember2020-01-260001045810nvda:A2026NotesMember2020-01-272020-04-260001045810nvda:A2026NotesMember2020-01-26</w:t>
      </w:r>
      <w:r>
        <w:rPr>
          <w:rFonts w:ascii="宋体" w:eastAsia="宋体" w:hAnsi="宋体" w:cs="宋体"/>
          <w:vanish/>
        </w:rPr>
        <w:t>0001045810nvda:A2030NotesMember2020-01-272020-04-260001045810nvda:A2030NotesMember2020-01-260001045810nvda:A2040NotesMember2020-01-272020-04-260001045810nvda:A2040NotesMember2020-01-260001045810nvda:A2050NotesMember2020-01-272020-04-260001045810nvda:A2050N</w:t>
      </w:r>
      <w:r>
        <w:rPr>
          <w:rFonts w:ascii="宋体" w:eastAsia="宋体" w:hAnsi="宋体" w:cs="宋体"/>
          <w:vanish/>
        </w:rPr>
        <w:t>otesMember2020-01-260001045810nvda:A2060NotesMember2020-01-272020-04-260001045810nvda:A2060NotesMember2020-01-260001045810us-gaap:RevolvingCreditFacilityMember2020-04-260001045810us-gaap:CommercialPaperMember2020-04-260001045810us-gaap:OperatingSegmentsMem</w:t>
      </w:r>
      <w:r>
        <w:rPr>
          <w:rFonts w:ascii="宋体" w:eastAsia="宋体" w:hAnsi="宋体" w:cs="宋体"/>
          <w:vanish/>
        </w:rPr>
        <w:t>bernvda:GraphicsMember2020-01-272020-04-260001045810nvda:ComputeAndNetworkingMemberus-gaap:OperatingSegmentsMember2020-01-272020-04-260001045810us-gaap:CorporateNonSegmentMember2020-01-272020-04-260001045810us-gaap:OperatingSegmentsMembernvda:GraphicsMembe</w:t>
      </w:r>
      <w:r>
        <w:rPr>
          <w:rFonts w:ascii="宋体" w:eastAsia="宋体" w:hAnsi="宋体" w:cs="宋体"/>
          <w:vanish/>
        </w:rPr>
        <w:t>r2019-01-282019-04-280001045810nvda:ComputeAndNetworkingMemberus-gaap:OperatingSegmentsMember2019-01-282019-04-280001045810us-gaap:CorporateNonSegmentMember2019-01-282019-04-280001045810country:TW2020-01-272020-04-260001045810country:TW2019-01-282019-04-28</w:t>
      </w:r>
      <w:r>
        <w:rPr>
          <w:rFonts w:ascii="宋体" w:eastAsia="宋体" w:hAnsi="宋体" w:cs="宋体"/>
          <w:vanish/>
        </w:rPr>
        <w:t>0001045810nvda:ChinaIncludingHongKongMember2020-01-272020-04-260001045810nvda:ChinaIncludingHongKongMember2019-01-282019-04-280001045810nvda:OtherAsiaPacificMember2020-01-272020-04-260001045810nvda:OtherAsiaPacificMember2019-01-282019-04-280001045810countr</w:t>
      </w:r>
      <w:r>
        <w:rPr>
          <w:rFonts w:ascii="宋体" w:eastAsia="宋体" w:hAnsi="宋体" w:cs="宋体"/>
          <w:vanish/>
        </w:rPr>
        <w:t>y:US2020-01-272020-04-260001045810country:US2019-01-282019-04-280001045810srt:EuropeMember2020-01-272020-04-260001045810srt:EuropeMember2019-01-282019-04-280001045810nvda:AllOtherCountriesNotSeparatelyDisclosedMember2020-01-272020-04-260001045810nvda:AllOt</w:t>
      </w:r>
      <w:r>
        <w:rPr>
          <w:rFonts w:ascii="宋体" w:eastAsia="宋体" w:hAnsi="宋体" w:cs="宋体"/>
          <w:vanish/>
        </w:rPr>
        <w:t>herCountriesNotSeparatelyDisclosedMember2019-01-282019-04-280001045810nvda:GamingMember2020-01-272020-04-260001045810nvda:GamingMember2019-01-282019-04-280001045810nvda:ProfessionalVisualizationMember2020-01-272020-04-260001045810nvda:ProfessionalVisualiza</w:t>
      </w:r>
      <w:r>
        <w:rPr>
          <w:rFonts w:ascii="宋体" w:eastAsia="宋体" w:hAnsi="宋体" w:cs="宋体"/>
          <w:vanish/>
        </w:rPr>
        <w:t>tionMember2019-01-282019-04-280001045810nvda:DataCenterMember2020-01-272020-04-260001045810nvda:DataCenterMember2019-01-282019-04-280001045810nvda:AutomotiveMember2020-01-272020-04-260001045810nvda:AutomotiveMember2019-01-282019-04-280001045810nvda:OEMAndO</w:t>
      </w:r>
      <w:r>
        <w:rPr>
          <w:rFonts w:ascii="宋体" w:eastAsia="宋体" w:hAnsi="宋体" w:cs="宋体"/>
          <w:vanish/>
        </w:rPr>
        <w:t>therMember2020-01-272020-04-260001045810nvda:OEMAndOtherMember2019-01-282019-04-280001045810us-gaap:CustomerConcentrationRiskMemberus-gaap:SalesRevenueNetMembernvda:GraphicsMembernvda:CustomerOneMember2019-01-282019-04-280001045810us-gaap:CustomerConcentra</w:t>
      </w:r>
      <w:r>
        <w:rPr>
          <w:rFonts w:ascii="宋体" w:eastAsia="宋体" w:hAnsi="宋体" w:cs="宋体"/>
          <w:vanish/>
        </w:rPr>
        <w:t>tionRiskMemberus-gaap:AccountsReceivableMembernvda:CustomerOneMember2020-01-272020-04-260001045810us-gaap:CustomerConcentrationRiskMemberus-gaap:AccountsReceivableMembernvda:CustomerOneMember2019-01-282019-04-28nvda:segment00010458102019-01-282020-01-26000</w:t>
      </w:r>
      <w:r>
        <w:rPr>
          <w:rFonts w:ascii="宋体" w:eastAsia="宋体" w:hAnsi="宋体" w:cs="宋体"/>
          <w:vanish/>
        </w:rPr>
        <w:t>1045810nvda:GraphicsMember2020-04-260001045810nvda:ComputeAndNetworkingMember2020-04-26</w:t>
      </w:r>
    </w:p>
    <w:p w14:paraId="3693DAA6" w14:textId="77777777" w:rsidR="003734EC" w:rsidRDefault="003734EC">
      <w:pPr>
        <w:spacing w:after="180"/>
        <w:jc w:val="both"/>
      </w:pPr>
    </w:p>
    <w:p w14:paraId="3693DAA7" w14:textId="77777777" w:rsidR="003734EC" w:rsidRDefault="000E364E">
      <w:pPr>
        <w:jc w:val="center"/>
      </w:pPr>
      <w:r>
        <w:rPr>
          <w:rFonts w:ascii="sans-serif" w:eastAsia="sans-serif" w:hAnsi="sans-serif" w:cs="sans-serif"/>
          <w:b/>
          <w:bCs/>
          <w:color w:val="000000"/>
          <w:sz w:val="18"/>
          <w:szCs w:val="18"/>
        </w:rPr>
        <w:t>UNITED STATES</w:t>
      </w:r>
    </w:p>
    <w:p w14:paraId="3693DAA8" w14:textId="77777777" w:rsidR="003734EC" w:rsidRDefault="000E364E">
      <w:pPr>
        <w:jc w:val="center"/>
      </w:pPr>
      <w:r>
        <w:rPr>
          <w:rFonts w:ascii="sans-serif" w:eastAsia="sans-serif" w:hAnsi="sans-serif" w:cs="sans-serif"/>
          <w:b/>
          <w:bCs/>
          <w:color w:val="000000"/>
          <w:sz w:val="18"/>
          <w:szCs w:val="18"/>
        </w:rPr>
        <w:t>SECURITIES AND EXCHANGE COMMISSION</w:t>
      </w:r>
    </w:p>
    <w:p w14:paraId="3693DAA9" w14:textId="77777777" w:rsidR="003734EC" w:rsidRDefault="000E364E">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3734EC" w14:paraId="3693DAAD" w14:textId="77777777">
        <w:trPr>
          <w:jc w:val="center"/>
        </w:trPr>
        <w:tc>
          <w:tcPr>
            <w:tcW w:w="50" w:type="pct"/>
            <w:shd w:val="clear" w:color="auto" w:fill="auto"/>
            <w:vAlign w:val="center"/>
          </w:tcPr>
          <w:p w14:paraId="3693DAAA" w14:textId="77777777" w:rsidR="003734EC" w:rsidRDefault="003734EC">
            <w:pPr>
              <w:rPr>
                <w:rFonts w:ascii="宋体"/>
              </w:rPr>
            </w:pPr>
          </w:p>
        </w:tc>
        <w:tc>
          <w:tcPr>
            <w:tcW w:w="4900" w:type="pct"/>
            <w:shd w:val="clear" w:color="auto" w:fill="auto"/>
            <w:vAlign w:val="center"/>
          </w:tcPr>
          <w:p w14:paraId="3693DAAB" w14:textId="77777777" w:rsidR="003734EC" w:rsidRDefault="003734EC">
            <w:pPr>
              <w:rPr>
                <w:rFonts w:ascii="宋体"/>
              </w:rPr>
            </w:pPr>
          </w:p>
        </w:tc>
        <w:tc>
          <w:tcPr>
            <w:tcW w:w="50" w:type="pct"/>
            <w:shd w:val="clear" w:color="auto" w:fill="auto"/>
            <w:vAlign w:val="center"/>
          </w:tcPr>
          <w:p w14:paraId="3693DAAC" w14:textId="77777777" w:rsidR="003734EC" w:rsidRDefault="003734EC">
            <w:pPr>
              <w:rPr>
                <w:rFonts w:ascii="宋体"/>
              </w:rPr>
            </w:pPr>
          </w:p>
        </w:tc>
      </w:tr>
      <w:tr w:rsidR="003734EC" w14:paraId="3693DAAF"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3693DAAE" w14:textId="77777777" w:rsidR="003734EC" w:rsidRDefault="003734EC">
            <w:pPr>
              <w:rPr>
                <w:rFonts w:ascii="宋体"/>
              </w:rPr>
            </w:pPr>
          </w:p>
        </w:tc>
      </w:tr>
    </w:tbl>
    <w:p w14:paraId="3693DAB0" w14:textId="77777777" w:rsidR="003734EC" w:rsidRDefault="000E364E">
      <w:pPr>
        <w:jc w:val="center"/>
      </w:pPr>
      <w:r>
        <w:rPr>
          <w:rFonts w:ascii="sans-serif" w:eastAsia="sans-serif" w:hAnsi="sans-serif" w:cs="sans-serif"/>
          <w:b/>
          <w:bCs/>
          <w:color w:val="000000"/>
          <w:sz w:val="28"/>
          <w:szCs w:val="28"/>
        </w:rPr>
        <w:t xml:space="preserve">FORM 10-Q </w:t>
      </w:r>
    </w:p>
    <w:tbl>
      <w:tblPr>
        <w:tblW w:w="4743" w:type="pct"/>
        <w:tblCellMar>
          <w:top w:w="15" w:type="dxa"/>
          <w:left w:w="15" w:type="dxa"/>
          <w:bottom w:w="15" w:type="dxa"/>
          <w:right w:w="15" w:type="dxa"/>
        </w:tblCellMar>
        <w:tblLook w:val="04A0" w:firstRow="1" w:lastRow="0" w:firstColumn="1" w:lastColumn="0" w:noHBand="0" w:noVBand="1"/>
      </w:tblPr>
      <w:tblGrid>
        <w:gridCol w:w="79"/>
        <w:gridCol w:w="119"/>
        <w:gridCol w:w="79"/>
        <w:gridCol w:w="79"/>
        <w:gridCol w:w="7473"/>
        <w:gridCol w:w="79"/>
      </w:tblGrid>
      <w:tr w:rsidR="003734EC" w14:paraId="3693DAB7" w14:textId="77777777">
        <w:tc>
          <w:tcPr>
            <w:tcW w:w="50" w:type="pct"/>
            <w:shd w:val="clear" w:color="auto" w:fill="auto"/>
            <w:vAlign w:val="center"/>
          </w:tcPr>
          <w:p w14:paraId="3693DAB1" w14:textId="77777777" w:rsidR="003734EC" w:rsidRDefault="003734EC">
            <w:pPr>
              <w:rPr>
                <w:rFonts w:ascii="宋体"/>
              </w:rPr>
            </w:pPr>
          </w:p>
        </w:tc>
        <w:tc>
          <w:tcPr>
            <w:tcW w:w="75" w:type="pct"/>
            <w:shd w:val="clear" w:color="auto" w:fill="auto"/>
            <w:vAlign w:val="center"/>
          </w:tcPr>
          <w:p w14:paraId="3693DAB2" w14:textId="77777777" w:rsidR="003734EC" w:rsidRDefault="003734EC">
            <w:pPr>
              <w:rPr>
                <w:rFonts w:ascii="宋体"/>
              </w:rPr>
            </w:pPr>
          </w:p>
        </w:tc>
        <w:tc>
          <w:tcPr>
            <w:tcW w:w="50" w:type="pct"/>
            <w:shd w:val="clear" w:color="auto" w:fill="auto"/>
            <w:vAlign w:val="center"/>
          </w:tcPr>
          <w:p w14:paraId="3693DAB3" w14:textId="77777777" w:rsidR="003734EC" w:rsidRDefault="003734EC">
            <w:pPr>
              <w:rPr>
                <w:rFonts w:ascii="宋体"/>
              </w:rPr>
            </w:pPr>
          </w:p>
        </w:tc>
        <w:tc>
          <w:tcPr>
            <w:tcW w:w="50" w:type="pct"/>
            <w:shd w:val="clear" w:color="auto" w:fill="auto"/>
            <w:vAlign w:val="center"/>
          </w:tcPr>
          <w:p w14:paraId="3693DAB4" w14:textId="77777777" w:rsidR="003734EC" w:rsidRDefault="003734EC">
            <w:pPr>
              <w:rPr>
                <w:rFonts w:ascii="宋体"/>
              </w:rPr>
            </w:pPr>
          </w:p>
        </w:tc>
        <w:tc>
          <w:tcPr>
            <w:tcW w:w="4724" w:type="pct"/>
            <w:shd w:val="clear" w:color="auto" w:fill="auto"/>
            <w:vAlign w:val="center"/>
          </w:tcPr>
          <w:p w14:paraId="3693DAB5" w14:textId="77777777" w:rsidR="003734EC" w:rsidRDefault="003734EC">
            <w:pPr>
              <w:rPr>
                <w:rFonts w:ascii="宋体"/>
              </w:rPr>
            </w:pPr>
          </w:p>
        </w:tc>
        <w:tc>
          <w:tcPr>
            <w:tcW w:w="50" w:type="pct"/>
            <w:shd w:val="clear" w:color="auto" w:fill="auto"/>
            <w:vAlign w:val="center"/>
          </w:tcPr>
          <w:p w14:paraId="3693DAB6" w14:textId="77777777" w:rsidR="003734EC" w:rsidRDefault="003734EC">
            <w:pPr>
              <w:rPr>
                <w:rFonts w:ascii="宋体"/>
              </w:rPr>
            </w:pPr>
          </w:p>
        </w:tc>
      </w:tr>
      <w:tr w:rsidR="003734EC" w14:paraId="3693DABA" w14:textId="77777777">
        <w:tc>
          <w:tcPr>
            <w:tcW w:w="0" w:type="auto"/>
            <w:gridSpan w:val="3"/>
            <w:shd w:val="clear" w:color="auto" w:fill="auto"/>
            <w:tcMar>
              <w:top w:w="40" w:type="dxa"/>
              <w:left w:w="20" w:type="dxa"/>
              <w:bottom w:w="40" w:type="dxa"/>
              <w:right w:w="20" w:type="dxa"/>
            </w:tcMar>
          </w:tcPr>
          <w:p w14:paraId="3693DAB8" w14:textId="77777777" w:rsidR="003734EC" w:rsidRDefault="000E364E">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3693DAB9" w14:textId="77777777" w:rsidR="003734EC" w:rsidRDefault="000E364E">
            <w:pPr>
              <w:textAlignment w:val="top"/>
            </w:pPr>
            <w:r>
              <w:rPr>
                <w:rFonts w:ascii="sans-serif" w:eastAsia="sans-serif" w:hAnsi="sans-serif" w:cs="sans-serif"/>
                <w:b/>
                <w:bCs/>
                <w:color w:val="000000"/>
                <w:sz w:val="18"/>
                <w:szCs w:val="18"/>
              </w:rPr>
              <w:t xml:space="preserve">QUARTERLY REPORT PURSUANT TO SECTION 13 OR 15(d) OF THE </w:t>
            </w:r>
            <w:r>
              <w:rPr>
                <w:rFonts w:ascii="sans-serif" w:eastAsia="sans-serif" w:hAnsi="sans-serif" w:cs="sans-serif"/>
                <w:b/>
                <w:bCs/>
                <w:color w:val="000000"/>
                <w:sz w:val="18"/>
                <w:szCs w:val="18"/>
              </w:rPr>
              <w:t>SECURITIES EXCHANGE ACT OF 1934</w:t>
            </w:r>
          </w:p>
        </w:tc>
      </w:tr>
    </w:tbl>
    <w:p w14:paraId="3693DABB" w14:textId="77777777" w:rsidR="003734EC" w:rsidRDefault="000E364E">
      <w:pPr>
        <w:ind w:firstLine="450"/>
        <w:jc w:val="both"/>
      </w:pPr>
      <w:r>
        <w:rPr>
          <w:rFonts w:ascii="sans-serif" w:eastAsia="sans-serif" w:hAnsi="sans-serif" w:cs="sans-serif"/>
          <w:b/>
          <w:bCs/>
          <w:color w:val="000000"/>
          <w:sz w:val="18"/>
          <w:szCs w:val="18"/>
        </w:rPr>
        <w:t xml:space="preserve">For the quarterly period ended April 26, 2020 </w:t>
      </w:r>
    </w:p>
    <w:p w14:paraId="3693DABC" w14:textId="77777777" w:rsidR="003734EC" w:rsidRDefault="000E364E">
      <w:pPr>
        <w:jc w:val="center"/>
      </w:pPr>
      <w:r>
        <w:rPr>
          <w:rFonts w:ascii="sans-serif" w:eastAsia="sans-serif" w:hAnsi="sans-serif" w:cs="sans-serif"/>
          <w:b/>
          <w:bCs/>
          <w:color w:val="000000"/>
          <w:sz w:val="18"/>
          <w:szCs w:val="18"/>
        </w:rPr>
        <w:t>OR</w:t>
      </w:r>
    </w:p>
    <w:tbl>
      <w:tblPr>
        <w:tblW w:w="4743" w:type="pct"/>
        <w:tblCellMar>
          <w:top w:w="15" w:type="dxa"/>
          <w:left w:w="15" w:type="dxa"/>
          <w:bottom w:w="15" w:type="dxa"/>
          <w:right w:w="15" w:type="dxa"/>
        </w:tblCellMar>
        <w:tblLook w:val="04A0" w:firstRow="1" w:lastRow="0" w:firstColumn="1" w:lastColumn="0" w:noHBand="0" w:noVBand="1"/>
      </w:tblPr>
      <w:tblGrid>
        <w:gridCol w:w="79"/>
        <w:gridCol w:w="119"/>
        <w:gridCol w:w="79"/>
        <w:gridCol w:w="79"/>
        <w:gridCol w:w="7473"/>
        <w:gridCol w:w="79"/>
      </w:tblGrid>
      <w:tr w:rsidR="003734EC" w14:paraId="3693DAC3" w14:textId="77777777">
        <w:tc>
          <w:tcPr>
            <w:tcW w:w="50" w:type="pct"/>
            <w:shd w:val="clear" w:color="auto" w:fill="auto"/>
            <w:vAlign w:val="center"/>
          </w:tcPr>
          <w:p w14:paraId="3693DABD" w14:textId="77777777" w:rsidR="003734EC" w:rsidRDefault="003734EC">
            <w:pPr>
              <w:rPr>
                <w:rFonts w:ascii="宋体"/>
              </w:rPr>
            </w:pPr>
          </w:p>
        </w:tc>
        <w:tc>
          <w:tcPr>
            <w:tcW w:w="75" w:type="pct"/>
            <w:shd w:val="clear" w:color="auto" w:fill="auto"/>
            <w:vAlign w:val="center"/>
          </w:tcPr>
          <w:p w14:paraId="3693DABE" w14:textId="77777777" w:rsidR="003734EC" w:rsidRDefault="003734EC">
            <w:pPr>
              <w:rPr>
                <w:rFonts w:ascii="宋体"/>
              </w:rPr>
            </w:pPr>
          </w:p>
        </w:tc>
        <w:tc>
          <w:tcPr>
            <w:tcW w:w="50" w:type="pct"/>
            <w:shd w:val="clear" w:color="auto" w:fill="auto"/>
            <w:vAlign w:val="center"/>
          </w:tcPr>
          <w:p w14:paraId="3693DABF" w14:textId="77777777" w:rsidR="003734EC" w:rsidRDefault="003734EC">
            <w:pPr>
              <w:rPr>
                <w:rFonts w:ascii="宋体"/>
              </w:rPr>
            </w:pPr>
          </w:p>
        </w:tc>
        <w:tc>
          <w:tcPr>
            <w:tcW w:w="50" w:type="pct"/>
            <w:shd w:val="clear" w:color="auto" w:fill="auto"/>
            <w:vAlign w:val="center"/>
          </w:tcPr>
          <w:p w14:paraId="3693DAC0" w14:textId="77777777" w:rsidR="003734EC" w:rsidRDefault="003734EC">
            <w:pPr>
              <w:rPr>
                <w:rFonts w:ascii="宋体"/>
              </w:rPr>
            </w:pPr>
          </w:p>
        </w:tc>
        <w:tc>
          <w:tcPr>
            <w:tcW w:w="4724" w:type="pct"/>
            <w:shd w:val="clear" w:color="auto" w:fill="auto"/>
            <w:vAlign w:val="center"/>
          </w:tcPr>
          <w:p w14:paraId="3693DAC1" w14:textId="77777777" w:rsidR="003734EC" w:rsidRDefault="003734EC">
            <w:pPr>
              <w:rPr>
                <w:rFonts w:ascii="宋体"/>
              </w:rPr>
            </w:pPr>
          </w:p>
        </w:tc>
        <w:tc>
          <w:tcPr>
            <w:tcW w:w="50" w:type="pct"/>
            <w:shd w:val="clear" w:color="auto" w:fill="auto"/>
            <w:vAlign w:val="center"/>
          </w:tcPr>
          <w:p w14:paraId="3693DAC2" w14:textId="77777777" w:rsidR="003734EC" w:rsidRDefault="003734EC">
            <w:pPr>
              <w:rPr>
                <w:rFonts w:ascii="宋体"/>
              </w:rPr>
            </w:pPr>
          </w:p>
        </w:tc>
      </w:tr>
      <w:tr w:rsidR="003734EC" w14:paraId="3693DAC6" w14:textId="77777777">
        <w:tc>
          <w:tcPr>
            <w:tcW w:w="0" w:type="auto"/>
            <w:gridSpan w:val="3"/>
            <w:shd w:val="clear" w:color="auto" w:fill="auto"/>
            <w:tcMar>
              <w:top w:w="40" w:type="dxa"/>
              <w:left w:w="20" w:type="dxa"/>
              <w:bottom w:w="40" w:type="dxa"/>
              <w:right w:w="20" w:type="dxa"/>
            </w:tcMar>
          </w:tcPr>
          <w:p w14:paraId="3693DAC4" w14:textId="77777777" w:rsidR="003734EC" w:rsidRDefault="000E364E">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3693DAC5" w14:textId="77777777" w:rsidR="003734EC" w:rsidRDefault="000E364E">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3693DAC7" w14:textId="77777777" w:rsidR="003734EC" w:rsidRDefault="000E364E">
      <w:pPr>
        <w:jc w:val="center"/>
      </w:pPr>
      <w:r>
        <w:rPr>
          <w:rFonts w:ascii="sans-serif" w:eastAsia="sans-serif" w:hAnsi="sans-serif" w:cs="sans-serif"/>
          <w:b/>
          <w:bCs/>
          <w:color w:val="000000"/>
          <w:sz w:val="16"/>
          <w:szCs w:val="16"/>
        </w:rPr>
        <w:t xml:space="preserve">Commission file number: 0-23985 </w:t>
      </w:r>
    </w:p>
    <w:p w14:paraId="3693DAC8" w14:textId="77777777" w:rsidR="003734EC" w:rsidRDefault="000E364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Viewer10_files/nvda-20200426_g1.jpg"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93FF49" wp14:editId="3693FF4A">
            <wp:extent cx="304800" cy="304800"/>
            <wp:effectExtent l="0" t="0" r="0" b="0"/>
            <wp:docPr id="4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693DAC9" w14:textId="77777777" w:rsidR="003734EC" w:rsidRDefault="003734EC">
      <w:pPr>
        <w:jc w:val="center"/>
      </w:pPr>
    </w:p>
    <w:p w14:paraId="3693DACA" w14:textId="77777777" w:rsidR="003734EC" w:rsidRDefault="000E364E">
      <w:pPr>
        <w:jc w:val="center"/>
      </w:pPr>
      <w:r>
        <w:rPr>
          <w:rFonts w:ascii="sans-serif" w:eastAsia="sans-serif" w:hAnsi="sans-serif" w:cs="sans-serif"/>
          <w:b/>
          <w:bCs/>
          <w:color w:val="000000"/>
          <w:sz w:val="28"/>
          <w:szCs w:val="28"/>
        </w:rPr>
        <w:t>NVIDIA CORPORATION</w:t>
      </w:r>
    </w:p>
    <w:p w14:paraId="3693DACB" w14:textId="77777777" w:rsidR="003734EC" w:rsidRDefault="000E364E">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79"/>
        <w:gridCol w:w="3790"/>
        <w:gridCol w:w="79"/>
        <w:gridCol w:w="79"/>
        <w:gridCol w:w="3790"/>
        <w:gridCol w:w="79"/>
      </w:tblGrid>
      <w:tr w:rsidR="003734EC" w14:paraId="3693DAD2" w14:textId="77777777">
        <w:trPr>
          <w:jc w:val="center"/>
        </w:trPr>
        <w:tc>
          <w:tcPr>
            <w:tcW w:w="50" w:type="pct"/>
            <w:shd w:val="clear" w:color="auto" w:fill="auto"/>
            <w:vAlign w:val="center"/>
          </w:tcPr>
          <w:p w14:paraId="3693DACC" w14:textId="77777777" w:rsidR="003734EC" w:rsidRDefault="003734EC">
            <w:pPr>
              <w:rPr>
                <w:rFonts w:ascii="宋体"/>
              </w:rPr>
            </w:pPr>
          </w:p>
        </w:tc>
        <w:tc>
          <w:tcPr>
            <w:tcW w:w="2400" w:type="pct"/>
            <w:shd w:val="clear" w:color="auto" w:fill="auto"/>
            <w:vAlign w:val="center"/>
          </w:tcPr>
          <w:p w14:paraId="3693DACD" w14:textId="77777777" w:rsidR="003734EC" w:rsidRDefault="003734EC">
            <w:pPr>
              <w:rPr>
                <w:rFonts w:ascii="宋体"/>
              </w:rPr>
            </w:pPr>
          </w:p>
        </w:tc>
        <w:tc>
          <w:tcPr>
            <w:tcW w:w="50" w:type="pct"/>
            <w:shd w:val="clear" w:color="auto" w:fill="auto"/>
            <w:vAlign w:val="center"/>
          </w:tcPr>
          <w:p w14:paraId="3693DACE" w14:textId="77777777" w:rsidR="003734EC" w:rsidRDefault="003734EC">
            <w:pPr>
              <w:rPr>
                <w:rFonts w:ascii="宋体"/>
              </w:rPr>
            </w:pPr>
          </w:p>
        </w:tc>
        <w:tc>
          <w:tcPr>
            <w:tcW w:w="50" w:type="pct"/>
            <w:shd w:val="clear" w:color="auto" w:fill="auto"/>
            <w:vAlign w:val="center"/>
          </w:tcPr>
          <w:p w14:paraId="3693DACF" w14:textId="77777777" w:rsidR="003734EC" w:rsidRDefault="003734EC">
            <w:pPr>
              <w:rPr>
                <w:rFonts w:ascii="宋体"/>
              </w:rPr>
            </w:pPr>
          </w:p>
        </w:tc>
        <w:tc>
          <w:tcPr>
            <w:tcW w:w="2400" w:type="pct"/>
            <w:shd w:val="clear" w:color="auto" w:fill="auto"/>
            <w:vAlign w:val="center"/>
          </w:tcPr>
          <w:p w14:paraId="3693DAD0" w14:textId="77777777" w:rsidR="003734EC" w:rsidRDefault="003734EC">
            <w:pPr>
              <w:rPr>
                <w:rFonts w:ascii="宋体"/>
              </w:rPr>
            </w:pPr>
          </w:p>
        </w:tc>
        <w:tc>
          <w:tcPr>
            <w:tcW w:w="50" w:type="pct"/>
            <w:shd w:val="clear" w:color="auto" w:fill="auto"/>
            <w:vAlign w:val="center"/>
          </w:tcPr>
          <w:p w14:paraId="3693DAD1" w14:textId="77777777" w:rsidR="003734EC" w:rsidRDefault="003734EC">
            <w:pPr>
              <w:rPr>
                <w:rFonts w:ascii="宋体"/>
              </w:rPr>
            </w:pPr>
          </w:p>
        </w:tc>
      </w:tr>
      <w:tr w:rsidR="003734EC" w14:paraId="3693DAD5" w14:textId="77777777">
        <w:trPr>
          <w:jc w:val="center"/>
        </w:trPr>
        <w:tc>
          <w:tcPr>
            <w:tcW w:w="0" w:type="auto"/>
            <w:gridSpan w:val="3"/>
            <w:shd w:val="clear" w:color="auto" w:fill="auto"/>
            <w:tcMar>
              <w:top w:w="40" w:type="dxa"/>
              <w:left w:w="20" w:type="dxa"/>
              <w:bottom w:w="40" w:type="dxa"/>
              <w:right w:w="20" w:type="dxa"/>
            </w:tcMar>
          </w:tcPr>
          <w:p w14:paraId="3693DAD3" w14:textId="77777777" w:rsidR="003734EC" w:rsidRDefault="000E364E">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3693DAD4" w14:textId="77777777" w:rsidR="003734EC" w:rsidRDefault="000E364E">
            <w:pPr>
              <w:jc w:val="center"/>
              <w:textAlignment w:val="top"/>
            </w:pPr>
            <w:r>
              <w:rPr>
                <w:rFonts w:ascii="sans-serif" w:eastAsia="sans-serif" w:hAnsi="sans-serif" w:cs="sans-serif"/>
                <w:b/>
                <w:bCs/>
                <w:color w:val="000000"/>
                <w:sz w:val="18"/>
                <w:szCs w:val="18"/>
              </w:rPr>
              <w:t>94-3177549</w:t>
            </w:r>
          </w:p>
        </w:tc>
      </w:tr>
      <w:tr w:rsidR="003734EC" w14:paraId="3693DAD8" w14:textId="77777777">
        <w:trPr>
          <w:jc w:val="center"/>
        </w:trPr>
        <w:tc>
          <w:tcPr>
            <w:tcW w:w="0" w:type="auto"/>
            <w:gridSpan w:val="3"/>
            <w:shd w:val="clear" w:color="auto" w:fill="auto"/>
            <w:tcMar>
              <w:top w:w="40" w:type="dxa"/>
              <w:left w:w="20" w:type="dxa"/>
              <w:bottom w:w="40" w:type="dxa"/>
              <w:right w:w="20" w:type="dxa"/>
            </w:tcMar>
          </w:tcPr>
          <w:p w14:paraId="3693DAD6" w14:textId="77777777" w:rsidR="003734EC" w:rsidRDefault="000E364E">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3693DAD7" w14:textId="77777777" w:rsidR="003734EC" w:rsidRDefault="000E364E">
            <w:pPr>
              <w:jc w:val="center"/>
              <w:textAlignment w:val="top"/>
            </w:pPr>
            <w:r>
              <w:rPr>
                <w:rFonts w:ascii="sans-serif" w:eastAsia="sans-serif" w:hAnsi="sans-serif" w:cs="sans-serif"/>
                <w:b/>
                <w:bCs/>
                <w:color w:val="000000"/>
                <w:sz w:val="18"/>
                <w:szCs w:val="18"/>
              </w:rPr>
              <w:t>(I.R.S. Employer</w:t>
            </w:r>
          </w:p>
        </w:tc>
      </w:tr>
      <w:tr w:rsidR="003734EC" w14:paraId="3693DADB" w14:textId="77777777">
        <w:trPr>
          <w:jc w:val="center"/>
        </w:trPr>
        <w:tc>
          <w:tcPr>
            <w:tcW w:w="0" w:type="auto"/>
            <w:gridSpan w:val="3"/>
            <w:shd w:val="clear" w:color="auto" w:fill="auto"/>
            <w:tcMar>
              <w:top w:w="40" w:type="dxa"/>
              <w:left w:w="20" w:type="dxa"/>
              <w:bottom w:w="40" w:type="dxa"/>
              <w:right w:w="20" w:type="dxa"/>
            </w:tcMar>
          </w:tcPr>
          <w:p w14:paraId="3693DAD9" w14:textId="77777777" w:rsidR="003734EC" w:rsidRDefault="000E364E">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3693DADA" w14:textId="77777777" w:rsidR="003734EC" w:rsidRDefault="000E364E">
            <w:pPr>
              <w:jc w:val="center"/>
              <w:textAlignment w:val="top"/>
            </w:pPr>
            <w:r>
              <w:rPr>
                <w:rFonts w:ascii="sans-serif" w:eastAsia="sans-serif" w:hAnsi="sans-serif" w:cs="sans-serif"/>
                <w:b/>
                <w:bCs/>
                <w:color w:val="000000"/>
                <w:sz w:val="18"/>
                <w:szCs w:val="18"/>
              </w:rPr>
              <w:t>Identification No.)</w:t>
            </w:r>
          </w:p>
        </w:tc>
      </w:tr>
    </w:tbl>
    <w:p w14:paraId="3693DADC" w14:textId="77777777" w:rsidR="003734EC" w:rsidRDefault="000E364E">
      <w:pPr>
        <w:jc w:val="center"/>
      </w:pPr>
      <w:r>
        <w:rPr>
          <w:rFonts w:ascii="sans-serif" w:eastAsia="sans-serif" w:hAnsi="sans-serif" w:cs="sans-serif"/>
          <w:b/>
          <w:bCs/>
          <w:color w:val="000000"/>
          <w:sz w:val="18"/>
          <w:szCs w:val="18"/>
        </w:rPr>
        <w:t xml:space="preserve">2788 San Tomas Expressway </w:t>
      </w:r>
    </w:p>
    <w:p w14:paraId="3693DADD" w14:textId="77777777" w:rsidR="003734EC" w:rsidRDefault="000E364E">
      <w:pPr>
        <w:jc w:val="center"/>
      </w:pPr>
      <w:r>
        <w:rPr>
          <w:rFonts w:ascii="sans-serif" w:eastAsia="sans-serif" w:hAnsi="sans-serif" w:cs="sans-serif"/>
          <w:b/>
          <w:bCs/>
          <w:color w:val="000000"/>
          <w:sz w:val="18"/>
          <w:szCs w:val="18"/>
        </w:rPr>
        <w:t xml:space="preserve">Santa Clara, California 95051 </w:t>
      </w:r>
    </w:p>
    <w:p w14:paraId="3693DADE" w14:textId="77777777" w:rsidR="003734EC" w:rsidRDefault="000E364E">
      <w:pPr>
        <w:jc w:val="center"/>
      </w:pPr>
      <w:r>
        <w:rPr>
          <w:rFonts w:ascii="sans-serif" w:eastAsia="sans-serif" w:hAnsi="sans-serif" w:cs="sans-serif"/>
          <w:b/>
          <w:bCs/>
          <w:color w:val="000000"/>
          <w:sz w:val="18"/>
          <w:szCs w:val="18"/>
        </w:rPr>
        <w:t xml:space="preserve">(408) 486-2000 </w:t>
      </w:r>
    </w:p>
    <w:p w14:paraId="3693DADF" w14:textId="77777777" w:rsidR="003734EC" w:rsidRDefault="000E364E">
      <w:pPr>
        <w:jc w:val="center"/>
      </w:pPr>
      <w:r>
        <w:rPr>
          <w:rFonts w:ascii="sans-serif" w:eastAsia="sans-serif" w:hAnsi="sans-serif" w:cs="sans-serif"/>
          <w:b/>
          <w:bCs/>
          <w:color w:val="000000"/>
          <w:sz w:val="16"/>
          <w:szCs w:val="16"/>
        </w:rPr>
        <w:t>(Address, including zip code, and telephone number,</w:t>
      </w:r>
    </w:p>
    <w:p w14:paraId="3693DAE0" w14:textId="77777777" w:rsidR="003734EC" w:rsidRDefault="000E364E">
      <w:pPr>
        <w:spacing w:after="180"/>
        <w:jc w:val="center"/>
      </w:pPr>
      <w:r>
        <w:rPr>
          <w:rFonts w:ascii="sans-serif" w:eastAsia="sans-serif" w:hAnsi="sans-serif" w:cs="sans-serif"/>
          <w:b/>
          <w:bCs/>
          <w:color w:val="000000"/>
          <w:sz w:val="16"/>
          <w:szCs w:val="16"/>
        </w:rPr>
        <w:t>including area code, of principal executive offices)</w:t>
      </w:r>
    </w:p>
    <w:p w14:paraId="3693DAE1" w14:textId="77777777" w:rsidR="003734EC" w:rsidRDefault="000E364E">
      <w:pPr>
        <w:jc w:val="center"/>
      </w:pPr>
      <w:r>
        <w:rPr>
          <w:rFonts w:ascii="sans-serif" w:eastAsia="sans-serif" w:hAnsi="sans-serif" w:cs="sans-serif"/>
          <w:b/>
          <w:bCs/>
          <w:color w:val="000000"/>
          <w:sz w:val="16"/>
          <w:szCs w:val="16"/>
        </w:rPr>
        <w:t>N/A</w:t>
      </w:r>
    </w:p>
    <w:p w14:paraId="3693DAE2" w14:textId="77777777" w:rsidR="003734EC" w:rsidRDefault="000E364E">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3693DAE3" w14:textId="77777777" w:rsidR="003734EC" w:rsidRDefault="000E364E">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2612"/>
        <w:gridCol w:w="84"/>
        <w:gridCol w:w="84"/>
        <w:gridCol w:w="2484"/>
        <w:gridCol w:w="83"/>
        <w:gridCol w:w="83"/>
        <w:gridCol w:w="2739"/>
        <w:gridCol w:w="83"/>
      </w:tblGrid>
      <w:tr w:rsidR="003734EC" w14:paraId="3693DAED" w14:textId="77777777">
        <w:trPr>
          <w:jc w:val="center"/>
        </w:trPr>
        <w:tc>
          <w:tcPr>
            <w:tcW w:w="50" w:type="pct"/>
            <w:shd w:val="clear" w:color="auto" w:fill="auto"/>
            <w:vAlign w:val="center"/>
          </w:tcPr>
          <w:p w14:paraId="3693DAE4" w14:textId="77777777" w:rsidR="003734EC" w:rsidRDefault="003734EC">
            <w:pPr>
              <w:rPr>
                <w:rFonts w:ascii="宋体"/>
              </w:rPr>
            </w:pPr>
          </w:p>
        </w:tc>
        <w:tc>
          <w:tcPr>
            <w:tcW w:w="1566" w:type="pct"/>
            <w:shd w:val="clear" w:color="auto" w:fill="auto"/>
            <w:vAlign w:val="center"/>
          </w:tcPr>
          <w:p w14:paraId="3693DAE5" w14:textId="77777777" w:rsidR="003734EC" w:rsidRDefault="003734EC">
            <w:pPr>
              <w:rPr>
                <w:rFonts w:ascii="宋体"/>
              </w:rPr>
            </w:pPr>
          </w:p>
        </w:tc>
        <w:tc>
          <w:tcPr>
            <w:tcW w:w="50" w:type="pct"/>
            <w:shd w:val="clear" w:color="auto" w:fill="auto"/>
            <w:vAlign w:val="center"/>
          </w:tcPr>
          <w:p w14:paraId="3693DAE6" w14:textId="77777777" w:rsidR="003734EC" w:rsidRDefault="003734EC">
            <w:pPr>
              <w:rPr>
                <w:rFonts w:ascii="宋体"/>
              </w:rPr>
            </w:pPr>
          </w:p>
        </w:tc>
        <w:tc>
          <w:tcPr>
            <w:tcW w:w="50" w:type="pct"/>
            <w:shd w:val="clear" w:color="auto" w:fill="auto"/>
            <w:vAlign w:val="center"/>
          </w:tcPr>
          <w:p w14:paraId="3693DAE7" w14:textId="77777777" w:rsidR="003734EC" w:rsidRDefault="003734EC">
            <w:pPr>
              <w:rPr>
                <w:rFonts w:ascii="宋体"/>
              </w:rPr>
            </w:pPr>
          </w:p>
        </w:tc>
        <w:tc>
          <w:tcPr>
            <w:tcW w:w="1490" w:type="pct"/>
            <w:shd w:val="clear" w:color="auto" w:fill="auto"/>
            <w:vAlign w:val="center"/>
          </w:tcPr>
          <w:p w14:paraId="3693DAE8" w14:textId="77777777" w:rsidR="003734EC" w:rsidRDefault="003734EC">
            <w:pPr>
              <w:rPr>
                <w:rFonts w:ascii="宋体"/>
              </w:rPr>
            </w:pPr>
          </w:p>
        </w:tc>
        <w:tc>
          <w:tcPr>
            <w:tcW w:w="50" w:type="pct"/>
            <w:shd w:val="clear" w:color="auto" w:fill="auto"/>
            <w:vAlign w:val="center"/>
          </w:tcPr>
          <w:p w14:paraId="3693DAE9" w14:textId="77777777" w:rsidR="003734EC" w:rsidRDefault="003734EC">
            <w:pPr>
              <w:rPr>
                <w:rFonts w:ascii="宋体"/>
              </w:rPr>
            </w:pPr>
          </w:p>
        </w:tc>
        <w:tc>
          <w:tcPr>
            <w:tcW w:w="50" w:type="pct"/>
            <w:shd w:val="clear" w:color="auto" w:fill="auto"/>
            <w:vAlign w:val="center"/>
          </w:tcPr>
          <w:p w14:paraId="3693DAEA" w14:textId="77777777" w:rsidR="003734EC" w:rsidRDefault="003734EC">
            <w:pPr>
              <w:rPr>
                <w:rFonts w:ascii="宋体"/>
              </w:rPr>
            </w:pPr>
          </w:p>
        </w:tc>
        <w:tc>
          <w:tcPr>
            <w:tcW w:w="1643" w:type="pct"/>
            <w:shd w:val="clear" w:color="auto" w:fill="auto"/>
            <w:vAlign w:val="center"/>
          </w:tcPr>
          <w:p w14:paraId="3693DAEB" w14:textId="77777777" w:rsidR="003734EC" w:rsidRDefault="003734EC">
            <w:pPr>
              <w:rPr>
                <w:rFonts w:ascii="宋体"/>
              </w:rPr>
            </w:pPr>
          </w:p>
        </w:tc>
        <w:tc>
          <w:tcPr>
            <w:tcW w:w="50" w:type="pct"/>
            <w:shd w:val="clear" w:color="auto" w:fill="auto"/>
            <w:vAlign w:val="center"/>
          </w:tcPr>
          <w:p w14:paraId="3693DAEC" w14:textId="77777777" w:rsidR="003734EC" w:rsidRDefault="003734EC">
            <w:pPr>
              <w:rPr>
                <w:rFonts w:ascii="宋体"/>
              </w:rPr>
            </w:pPr>
          </w:p>
        </w:tc>
      </w:tr>
      <w:tr w:rsidR="003734EC" w14:paraId="3693DAF1" w14:textId="77777777">
        <w:trPr>
          <w:jc w:val="center"/>
        </w:trPr>
        <w:tc>
          <w:tcPr>
            <w:tcW w:w="0" w:type="auto"/>
            <w:gridSpan w:val="3"/>
            <w:shd w:val="clear" w:color="auto" w:fill="auto"/>
            <w:tcMar>
              <w:top w:w="40" w:type="dxa"/>
              <w:left w:w="20" w:type="dxa"/>
              <w:bottom w:w="40" w:type="dxa"/>
              <w:right w:w="20" w:type="dxa"/>
            </w:tcMar>
            <w:vAlign w:val="bottom"/>
          </w:tcPr>
          <w:p w14:paraId="3693DAEE" w14:textId="77777777" w:rsidR="003734EC" w:rsidRDefault="000E364E">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3693DAEF" w14:textId="77777777" w:rsidR="003734EC" w:rsidRDefault="000E364E">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3693DAF0" w14:textId="77777777" w:rsidR="003734EC" w:rsidRDefault="000E364E">
            <w:pPr>
              <w:jc w:val="center"/>
              <w:textAlignment w:val="bottom"/>
            </w:pPr>
            <w:r>
              <w:rPr>
                <w:rFonts w:ascii="sans-serif" w:eastAsia="sans-serif" w:hAnsi="sans-serif" w:cs="sans-serif"/>
                <w:b/>
                <w:bCs/>
                <w:color w:val="000000"/>
                <w:sz w:val="18"/>
                <w:szCs w:val="18"/>
              </w:rPr>
              <w:t>Name of each exchange on which registered</w:t>
            </w:r>
          </w:p>
        </w:tc>
      </w:tr>
      <w:tr w:rsidR="003734EC" w14:paraId="3693DAF5" w14:textId="77777777">
        <w:trPr>
          <w:jc w:val="center"/>
        </w:trPr>
        <w:tc>
          <w:tcPr>
            <w:tcW w:w="0" w:type="auto"/>
            <w:gridSpan w:val="3"/>
            <w:shd w:val="clear" w:color="auto" w:fill="auto"/>
            <w:tcMar>
              <w:top w:w="40" w:type="dxa"/>
              <w:left w:w="20" w:type="dxa"/>
              <w:bottom w:w="40" w:type="dxa"/>
              <w:right w:w="20" w:type="dxa"/>
            </w:tcMar>
            <w:vAlign w:val="bottom"/>
          </w:tcPr>
          <w:p w14:paraId="3693DAF2" w14:textId="77777777" w:rsidR="003734EC" w:rsidRDefault="000E364E">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3693DAF3" w14:textId="77777777" w:rsidR="003734EC" w:rsidRDefault="000E364E">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3693DAF4" w14:textId="77777777" w:rsidR="003734EC" w:rsidRDefault="000E364E">
            <w:pPr>
              <w:jc w:val="center"/>
              <w:textAlignment w:val="bottom"/>
            </w:pPr>
            <w:r>
              <w:rPr>
                <w:rFonts w:ascii="sans-serif" w:eastAsia="sans-serif" w:hAnsi="sans-serif" w:cs="sans-serif"/>
                <w:color w:val="000000"/>
                <w:sz w:val="18"/>
                <w:szCs w:val="18"/>
              </w:rPr>
              <w:t>The Nasdaq Global Select Market</w:t>
            </w:r>
          </w:p>
        </w:tc>
      </w:tr>
    </w:tbl>
    <w:p w14:paraId="3693DAF6" w14:textId="77777777" w:rsidR="003734EC" w:rsidRDefault="000E364E">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3693DAF7" w14:textId="77777777" w:rsidR="003734EC" w:rsidRDefault="000E364E">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3693DAF8" w14:textId="77777777" w:rsidR="003734EC" w:rsidRDefault="000E364E">
      <w:pPr>
        <w:jc w:val="both"/>
      </w:pPr>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1207"/>
        <w:gridCol w:w="68"/>
        <w:gridCol w:w="37"/>
        <w:gridCol w:w="196"/>
        <w:gridCol w:w="36"/>
        <w:gridCol w:w="60"/>
        <w:gridCol w:w="1207"/>
        <w:gridCol w:w="68"/>
        <w:gridCol w:w="37"/>
        <w:gridCol w:w="196"/>
        <w:gridCol w:w="36"/>
        <w:gridCol w:w="68"/>
        <w:gridCol w:w="1200"/>
        <w:gridCol w:w="69"/>
        <w:gridCol w:w="37"/>
        <w:gridCol w:w="196"/>
        <w:gridCol w:w="36"/>
        <w:gridCol w:w="61"/>
        <w:gridCol w:w="1358"/>
        <w:gridCol w:w="69"/>
        <w:gridCol w:w="37"/>
        <w:gridCol w:w="196"/>
        <w:gridCol w:w="36"/>
        <w:gridCol w:w="61"/>
        <w:gridCol w:w="1358"/>
        <w:gridCol w:w="69"/>
        <w:gridCol w:w="37"/>
        <w:gridCol w:w="196"/>
        <w:gridCol w:w="36"/>
      </w:tblGrid>
      <w:tr w:rsidR="003734EC" w14:paraId="3693DB17" w14:textId="77777777">
        <w:tc>
          <w:tcPr>
            <w:tcW w:w="50" w:type="pct"/>
            <w:shd w:val="clear" w:color="auto" w:fill="auto"/>
            <w:vAlign w:val="center"/>
          </w:tcPr>
          <w:p w14:paraId="3693DAF9" w14:textId="77777777" w:rsidR="003734EC" w:rsidRDefault="003734EC">
            <w:pPr>
              <w:rPr>
                <w:rFonts w:ascii="宋体"/>
              </w:rPr>
            </w:pPr>
          </w:p>
        </w:tc>
        <w:tc>
          <w:tcPr>
            <w:tcW w:w="732" w:type="pct"/>
            <w:shd w:val="clear" w:color="auto" w:fill="auto"/>
            <w:vAlign w:val="center"/>
          </w:tcPr>
          <w:p w14:paraId="3693DAFA" w14:textId="77777777" w:rsidR="003734EC" w:rsidRDefault="003734EC">
            <w:pPr>
              <w:rPr>
                <w:rFonts w:ascii="宋体"/>
              </w:rPr>
            </w:pPr>
          </w:p>
        </w:tc>
        <w:tc>
          <w:tcPr>
            <w:tcW w:w="50" w:type="pct"/>
            <w:shd w:val="clear" w:color="auto" w:fill="auto"/>
            <w:vAlign w:val="center"/>
          </w:tcPr>
          <w:p w14:paraId="3693DAFB" w14:textId="77777777" w:rsidR="003734EC" w:rsidRDefault="003734EC">
            <w:pPr>
              <w:rPr>
                <w:rFonts w:ascii="宋体"/>
              </w:rPr>
            </w:pPr>
          </w:p>
        </w:tc>
        <w:tc>
          <w:tcPr>
            <w:tcW w:w="5" w:type="pct"/>
            <w:shd w:val="clear" w:color="auto" w:fill="auto"/>
            <w:vAlign w:val="center"/>
          </w:tcPr>
          <w:p w14:paraId="3693DAFC" w14:textId="77777777" w:rsidR="003734EC" w:rsidRDefault="003734EC">
            <w:pPr>
              <w:rPr>
                <w:rFonts w:ascii="宋体"/>
              </w:rPr>
            </w:pPr>
          </w:p>
        </w:tc>
        <w:tc>
          <w:tcPr>
            <w:tcW w:w="121" w:type="pct"/>
            <w:shd w:val="clear" w:color="auto" w:fill="auto"/>
            <w:vAlign w:val="center"/>
          </w:tcPr>
          <w:p w14:paraId="3693DAFD" w14:textId="77777777" w:rsidR="003734EC" w:rsidRDefault="003734EC">
            <w:pPr>
              <w:rPr>
                <w:rFonts w:ascii="宋体"/>
              </w:rPr>
            </w:pPr>
          </w:p>
        </w:tc>
        <w:tc>
          <w:tcPr>
            <w:tcW w:w="5" w:type="pct"/>
            <w:shd w:val="clear" w:color="auto" w:fill="auto"/>
            <w:vAlign w:val="center"/>
          </w:tcPr>
          <w:p w14:paraId="3693DAFE" w14:textId="77777777" w:rsidR="003734EC" w:rsidRDefault="003734EC">
            <w:pPr>
              <w:rPr>
                <w:rFonts w:ascii="宋体"/>
              </w:rPr>
            </w:pPr>
          </w:p>
        </w:tc>
        <w:tc>
          <w:tcPr>
            <w:tcW w:w="50" w:type="pct"/>
            <w:shd w:val="clear" w:color="auto" w:fill="auto"/>
            <w:vAlign w:val="center"/>
          </w:tcPr>
          <w:p w14:paraId="3693DAFF" w14:textId="77777777" w:rsidR="003734EC" w:rsidRDefault="003734EC">
            <w:pPr>
              <w:rPr>
                <w:rFonts w:ascii="宋体"/>
              </w:rPr>
            </w:pPr>
          </w:p>
        </w:tc>
        <w:tc>
          <w:tcPr>
            <w:tcW w:w="732" w:type="pct"/>
            <w:shd w:val="clear" w:color="auto" w:fill="auto"/>
            <w:vAlign w:val="center"/>
          </w:tcPr>
          <w:p w14:paraId="3693DB00" w14:textId="77777777" w:rsidR="003734EC" w:rsidRDefault="003734EC">
            <w:pPr>
              <w:rPr>
                <w:rFonts w:ascii="宋体"/>
              </w:rPr>
            </w:pPr>
          </w:p>
        </w:tc>
        <w:tc>
          <w:tcPr>
            <w:tcW w:w="50" w:type="pct"/>
            <w:shd w:val="clear" w:color="auto" w:fill="auto"/>
            <w:vAlign w:val="center"/>
          </w:tcPr>
          <w:p w14:paraId="3693DB01" w14:textId="77777777" w:rsidR="003734EC" w:rsidRDefault="003734EC">
            <w:pPr>
              <w:rPr>
                <w:rFonts w:ascii="宋体"/>
              </w:rPr>
            </w:pPr>
          </w:p>
        </w:tc>
        <w:tc>
          <w:tcPr>
            <w:tcW w:w="5" w:type="pct"/>
            <w:shd w:val="clear" w:color="auto" w:fill="auto"/>
            <w:vAlign w:val="center"/>
          </w:tcPr>
          <w:p w14:paraId="3693DB02" w14:textId="77777777" w:rsidR="003734EC" w:rsidRDefault="003734EC">
            <w:pPr>
              <w:rPr>
                <w:rFonts w:ascii="宋体"/>
              </w:rPr>
            </w:pPr>
          </w:p>
        </w:tc>
        <w:tc>
          <w:tcPr>
            <w:tcW w:w="121" w:type="pct"/>
            <w:shd w:val="clear" w:color="auto" w:fill="auto"/>
            <w:vAlign w:val="center"/>
          </w:tcPr>
          <w:p w14:paraId="3693DB03" w14:textId="77777777" w:rsidR="003734EC" w:rsidRDefault="003734EC">
            <w:pPr>
              <w:rPr>
                <w:rFonts w:ascii="宋体"/>
              </w:rPr>
            </w:pPr>
          </w:p>
        </w:tc>
        <w:tc>
          <w:tcPr>
            <w:tcW w:w="5" w:type="pct"/>
            <w:shd w:val="clear" w:color="auto" w:fill="auto"/>
            <w:vAlign w:val="center"/>
          </w:tcPr>
          <w:p w14:paraId="3693DB04" w14:textId="77777777" w:rsidR="003734EC" w:rsidRDefault="003734EC">
            <w:pPr>
              <w:rPr>
                <w:rFonts w:ascii="宋体"/>
              </w:rPr>
            </w:pPr>
          </w:p>
        </w:tc>
        <w:tc>
          <w:tcPr>
            <w:tcW w:w="50" w:type="pct"/>
            <w:shd w:val="clear" w:color="auto" w:fill="auto"/>
            <w:vAlign w:val="center"/>
          </w:tcPr>
          <w:p w14:paraId="3693DB05" w14:textId="77777777" w:rsidR="003734EC" w:rsidRDefault="003734EC">
            <w:pPr>
              <w:rPr>
                <w:rFonts w:ascii="宋体"/>
              </w:rPr>
            </w:pPr>
          </w:p>
        </w:tc>
        <w:tc>
          <w:tcPr>
            <w:tcW w:w="732" w:type="pct"/>
            <w:shd w:val="clear" w:color="auto" w:fill="auto"/>
            <w:vAlign w:val="center"/>
          </w:tcPr>
          <w:p w14:paraId="3693DB06" w14:textId="77777777" w:rsidR="003734EC" w:rsidRDefault="003734EC">
            <w:pPr>
              <w:rPr>
                <w:rFonts w:ascii="宋体"/>
              </w:rPr>
            </w:pPr>
          </w:p>
        </w:tc>
        <w:tc>
          <w:tcPr>
            <w:tcW w:w="50" w:type="pct"/>
            <w:shd w:val="clear" w:color="auto" w:fill="auto"/>
            <w:vAlign w:val="center"/>
          </w:tcPr>
          <w:p w14:paraId="3693DB07" w14:textId="77777777" w:rsidR="003734EC" w:rsidRDefault="003734EC">
            <w:pPr>
              <w:rPr>
                <w:rFonts w:ascii="宋体"/>
              </w:rPr>
            </w:pPr>
          </w:p>
        </w:tc>
        <w:tc>
          <w:tcPr>
            <w:tcW w:w="5" w:type="pct"/>
            <w:shd w:val="clear" w:color="auto" w:fill="auto"/>
            <w:vAlign w:val="center"/>
          </w:tcPr>
          <w:p w14:paraId="3693DB08" w14:textId="77777777" w:rsidR="003734EC" w:rsidRDefault="003734EC">
            <w:pPr>
              <w:rPr>
                <w:rFonts w:ascii="宋体"/>
              </w:rPr>
            </w:pPr>
          </w:p>
        </w:tc>
        <w:tc>
          <w:tcPr>
            <w:tcW w:w="121" w:type="pct"/>
            <w:shd w:val="clear" w:color="auto" w:fill="auto"/>
            <w:vAlign w:val="center"/>
          </w:tcPr>
          <w:p w14:paraId="3693DB09" w14:textId="77777777" w:rsidR="003734EC" w:rsidRDefault="003734EC">
            <w:pPr>
              <w:rPr>
                <w:rFonts w:ascii="宋体"/>
              </w:rPr>
            </w:pPr>
          </w:p>
        </w:tc>
        <w:tc>
          <w:tcPr>
            <w:tcW w:w="5" w:type="pct"/>
            <w:shd w:val="clear" w:color="auto" w:fill="auto"/>
            <w:vAlign w:val="center"/>
          </w:tcPr>
          <w:p w14:paraId="3693DB0A" w14:textId="77777777" w:rsidR="003734EC" w:rsidRDefault="003734EC">
            <w:pPr>
              <w:rPr>
                <w:rFonts w:ascii="宋体"/>
              </w:rPr>
            </w:pPr>
          </w:p>
        </w:tc>
        <w:tc>
          <w:tcPr>
            <w:tcW w:w="50" w:type="pct"/>
            <w:shd w:val="clear" w:color="auto" w:fill="auto"/>
            <w:vAlign w:val="center"/>
          </w:tcPr>
          <w:p w14:paraId="3693DB0B" w14:textId="77777777" w:rsidR="003734EC" w:rsidRDefault="003734EC">
            <w:pPr>
              <w:rPr>
                <w:rFonts w:ascii="宋体"/>
              </w:rPr>
            </w:pPr>
          </w:p>
        </w:tc>
        <w:tc>
          <w:tcPr>
            <w:tcW w:w="822" w:type="pct"/>
            <w:shd w:val="clear" w:color="auto" w:fill="auto"/>
            <w:vAlign w:val="center"/>
          </w:tcPr>
          <w:p w14:paraId="3693DB0C" w14:textId="77777777" w:rsidR="003734EC" w:rsidRDefault="003734EC">
            <w:pPr>
              <w:rPr>
                <w:rFonts w:ascii="宋体"/>
              </w:rPr>
            </w:pPr>
          </w:p>
        </w:tc>
        <w:tc>
          <w:tcPr>
            <w:tcW w:w="50" w:type="pct"/>
            <w:shd w:val="clear" w:color="auto" w:fill="auto"/>
            <w:vAlign w:val="center"/>
          </w:tcPr>
          <w:p w14:paraId="3693DB0D" w14:textId="77777777" w:rsidR="003734EC" w:rsidRDefault="003734EC">
            <w:pPr>
              <w:rPr>
                <w:rFonts w:ascii="宋体"/>
              </w:rPr>
            </w:pPr>
          </w:p>
        </w:tc>
        <w:tc>
          <w:tcPr>
            <w:tcW w:w="5" w:type="pct"/>
            <w:shd w:val="clear" w:color="auto" w:fill="auto"/>
            <w:vAlign w:val="center"/>
          </w:tcPr>
          <w:p w14:paraId="3693DB0E" w14:textId="77777777" w:rsidR="003734EC" w:rsidRDefault="003734EC">
            <w:pPr>
              <w:rPr>
                <w:rFonts w:ascii="宋体"/>
              </w:rPr>
            </w:pPr>
          </w:p>
        </w:tc>
        <w:tc>
          <w:tcPr>
            <w:tcW w:w="121" w:type="pct"/>
            <w:shd w:val="clear" w:color="auto" w:fill="auto"/>
            <w:vAlign w:val="center"/>
          </w:tcPr>
          <w:p w14:paraId="3693DB0F" w14:textId="77777777" w:rsidR="003734EC" w:rsidRDefault="003734EC">
            <w:pPr>
              <w:rPr>
                <w:rFonts w:ascii="宋体"/>
              </w:rPr>
            </w:pPr>
          </w:p>
        </w:tc>
        <w:tc>
          <w:tcPr>
            <w:tcW w:w="5" w:type="pct"/>
            <w:shd w:val="clear" w:color="auto" w:fill="auto"/>
            <w:vAlign w:val="center"/>
          </w:tcPr>
          <w:p w14:paraId="3693DB10" w14:textId="77777777" w:rsidR="003734EC" w:rsidRDefault="003734EC">
            <w:pPr>
              <w:rPr>
                <w:rFonts w:ascii="宋体"/>
              </w:rPr>
            </w:pPr>
          </w:p>
        </w:tc>
        <w:tc>
          <w:tcPr>
            <w:tcW w:w="50" w:type="pct"/>
            <w:shd w:val="clear" w:color="auto" w:fill="auto"/>
            <w:vAlign w:val="center"/>
          </w:tcPr>
          <w:p w14:paraId="3693DB11" w14:textId="77777777" w:rsidR="003734EC" w:rsidRDefault="003734EC">
            <w:pPr>
              <w:rPr>
                <w:rFonts w:ascii="宋体"/>
              </w:rPr>
            </w:pPr>
          </w:p>
        </w:tc>
        <w:tc>
          <w:tcPr>
            <w:tcW w:w="822" w:type="pct"/>
            <w:shd w:val="clear" w:color="auto" w:fill="auto"/>
            <w:vAlign w:val="center"/>
          </w:tcPr>
          <w:p w14:paraId="3693DB12" w14:textId="77777777" w:rsidR="003734EC" w:rsidRDefault="003734EC">
            <w:pPr>
              <w:rPr>
                <w:rFonts w:ascii="宋体"/>
              </w:rPr>
            </w:pPr>
          </w:p>
        </w:tc>
        <w:tc>
          <w:tcPr>
            <w:tcW w:w="50" w:type="pct"/>
            <w:shd w:val="clear" w:color="auto" w:fill="auto"/>
            <w:vAlign w:val="center"/>
          </w:tcPr>
          <w:p w14:paraId="3693DB13" w14:textId="77777777" w:rsidR="003734EC" w:rsidRDefault="003734EC">
            <w:pPr>
              <w:rPr>
                <w:rFonts w:ascii="宋体"/>
              </w:rPr>
            </w:pPr>
          </w:p>
        </w:tc>
        <w:tc>
          <w:tcPr>
            <w:tcW w:w="5" w:type="pct"/>
            <w:shd w:val="clear" w:color="auto" w:fill="auto"/>
            <w:vAlign w:val="center"/>
          </w:tcPr>
          <w:p w14:paraId="3693DB14" w14:textId="77777777" w:rsidR="003734EC" w:rsidRDefault="003734EC">
            <w:pPr>
              <w:rPr>
                <w:rFonts w:ascii="宋体"/>
              </w:rPr>
            </w:pPr>
          </w:p>
        </w:tc>
        <w:tc>
          <w:tcPr>
            <w:tcW w:w="121" w:type="pct"/>
            <w:shd w:val="clear" w:color="auto" w:fill="auto"/>
            <w:vAlign w:val="center"/>
          </w:tcPr>
          <w:p w14:paraId="3693DB15" w14:textId="77777777" w:rsidR="003734EC" w:rsidRDefault="003734EC">
            <w:pPr>
              <w:rPr>
                <w:rFonts w:ascii="宋体"/>
              </w:rPr>
            </w:pPr>
          </w:p>
        </w:tc>
        <w:tc>
          <w:tcPr>
            <w:tcW w:w="5" w:type="pct"/>
            <w:shd w:val="clear" w:color="auto" w:fill="auto"/>
            <w:vAlign w:val="center"/>
          </w:tcPr>
          <w:p w14:paraId="3693DB16" w14:textId="77777777" w:rsidR="003734EC" w:rsidRDefault="003734EC">
            <w:pPr>
              <w:rPr>
                <w:rFonts w:ascii="宋体"/>
              </w:rPr>
            </w:pPr>
          </w:p>
        </w:tc>
      </w:tr>
      <w:tr w:rsidR="003734EC" w14:paraId="3693DB22" w14:textId="77777777">
        <w:tc>
          <w:tcPr>
            <w:tcW w:w="0" w:type="auto"/>
            <w:gridSpan w:val="3"/>
            <w:shd w:val="clear" w:color="auto" w:fill="auto"/>
            <w:tcMar>
              <w:top w:w="40" w:type="dxa"/>
              <w:left w:w="20" w:type="dxa"/>
              <w:bottom w:w="40" w:type="dxa"/>
              <w:right w:w="20" w:type="dxa"/>
            </w:tcMar>
            <w:vAlign w:val="bottom"/>
          </w:tcPr>
          <w:p w14:paraId="3693DB18" w14:textId="77777777" w:rsidR="003734EC" w:rsidRDefault="000E364E">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3693DB19" w14:textId="77777777" w:rsidR="003734EC" w:rsidRDefault="000E364E">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3693DB1A" w14:textId="77777777" w:rsidR="003734EC" w:rsidRDefault="000E364E">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3693DB1B" w14:textId="77777777" w:rsidR="003734EC" w:rsidRDefault="000E364E">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3693DB1C" w14:textId="77777777" w:rsidR="003734EC" w:rsidRDefault="000E364E">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3693DB1D" w14:textId="77777777" w:rsidR="003734EC" w:rsidRDefault="000E364E">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3693DB1E" w14:textId="77777777" w:rsidR="003734EC" w:rsidRDefault="000E364E">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3693DB1F" w14:textId="77777777" w:rsidR="003734EC" w:rsidRDefault="000E364E">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3693DB20" w14:textId="77777777" w:rsidR="003734EC" w:rsidRDefault="000E364E">
            <w:pPr>
              <w:jc w:val="center"/>
              <w:textAlignment w:val="bottom"/>
            </w:pPr>
            <w:r>
              <w:rPr>
                <w:rFonts w:ascii="sans-serif" w:eastAsia="sans-serif" w:hAnsi="sans-serif" w:cs="sans-serif"/>
                <w:color w:val="000000"/>
                <w:sz w:val="16"/>
                <w:szCs w:val="16"/>
              </w:rPr>
              <w:t xml:space="preserve">Emerging </w:t>
            </w:r>
            <w:r>
              <w:rPr>
                <w:rFonts w:ascii="sans-serif" w:eastAsia="sans-serif" w:hAnsi="sans-serif" w:cs="sans-serif"/>
                <w:color w:val="000000"/>
                <w:sz w:val="16"/>
                <w:szCs w:val="16"/>
              </w:rPr>
              <w:t>growth company</w:t>
            </w:r>
          </w:p>
        </w:tc>
        <w:tc>
          <w:tcPr>
            <w:tcW w:w="0" w:type="auto"/>
            <w:gridSpan w:val="3"/>
            <w:shd w:val="clear" w:color="auto" w:fill="auto"/>
            <w:tcMar>
              <w:top w:w="40" w:type="dxa"/>
              <w:left w:w="20" w:type="dxa"/>
              <w:bottom w:w="40" w:type="dxa"/>
              <w:right w:w="20" w:type="dxa"/>
            </w:tcMar>
            <w:vAlign w:val="bottom"/>
          </w:tcPr>
          <w:p w14:paraId="3693DB21" w14:textId="77777777" w:rsidR="003734EC" w:rsidRDefault="000E364E">
            <w:pPr>
              <w:jc w:val="center"/>
              <w:textAlignment w:val="bottom"/>
            </w:pPr>
            <w:r>
              <w:rPr>
                <w:rFonts w:ascii="Times New Roman" w:eastAsia="宋体" w:hAnsi="Times New Roman"/>
                <w:color w:val="000000"/>
                <w:sz w:val="20"/>
                <w:szCs w:val="20"/>
              </w:rPr>
              <w:t>☐</w:t>
            </w:r>
          </w:p>
        </w:tc>
      </w:tr>
    </w:tbl>
    <w:p w14:paraId="3693DB23" w14:textId="77777777" w:rsidR="003734EC" w:rsidRDefault="000E364E">
      <w:pPr>
        <w:spacing w:after="180"/>
        <w:jc w:val="both"/>
      </w:pPr>
      <w:r>
        <w:rPr>
          <w:rFonts w:ascii="sans-serif" w:eastAsia="sans-serif" w:hAnsi="sans-serif" w:cs="sans-serif"/>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w:t>
      </w:r>
      <w:r>
        <w:rPr>
          <w:rFonts w:ascii="sans-serif" w:eastAsia="sans-serif" w:hAnsi="sans-serif" w:cs="sans-serif"/>
          <w:color w:val="000000"/>
          <w:sz w:val="18"/>
          <w:szCs w:val="18"/>
        </w:rPr>
        <w:t xml:space="preserve">xchange Act. </w:t>
      </w:r>
      <w:r>
        <w:rPr>
          <w:rFonts w:ascii="Times New Roman" w:eastAsia="宋体" w:hAnsi="Times New Roman"/>
          <w:color w:val="000000"/>
          <w:sz w:val="20"/>
          <w:szCs w:val="20"/>
        </w:rPr>
        <w:t>☐</w:t>
      </w:r>
    </w:p>
    <w:p w14:paraId="3693DB24" w14:textId="77777777" w:rsidR="003734EC" w:rsidRDefault="000E364E">
      <w:pPr>
        <w:spacing w:after="180"/>
        <w:jc w:val="both"/>
      </w:pPr>
      <w:r>
        <w:rPr>
          <w:rFonts w:ascii="sans-serif" w:eastAsia="sans-serif" w:hAnsi="sans-serif" w:cs="sans-serif"/>
          <w:color w:val="000000"/>
          <w:sz w:val="18"/>
          <w:szCs w:val="18"/>
        </w:rPr>
        <w:t xml:space="preserve">Indicate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3693DB25" w14:textId="77777777" w:rsidR="003734EC" w:rsidRDefault="000E364E">
      <w:pPr>
        <w:jc w:val="both"/>
      </w:pPr>
      <w:r>
        <w:rPr>
          <w:rFonts w:ascii="sans-serif" w:eastAsia="sans-serif" w:hAnsi="sans-serif" w:cs="sans-serif"/>
          <w:color w:val="000000"/>
          <w:sz w:val="18"/>
          <w:szCs w:val="18"/>
        </w:rPr>
        <w:t>The number of shares of common stock, $0.001 par value, outstanding as of May 15, 2020, was 615 million.</w:t>
      </w:r>
    </w:p>
    <w:p w14:paraId="3693DB26" w14:textId="77777777" w:rsidR="003734EC" w:rsidRDefault="003734EC">
      <w:pPr>
        <w:spacing w:after="180"/>
        <w:jc w:val="both"/>
      </w:pPr>
    </w:p>
    <w:p w14:paraId="3693DB27" w14:textId="77777777" w:rsidR="003734EC" w:rsidRDefault="000E364E">
      <w:r>
        <w:pict w14:anchorId="3693FF4B">
          <v:rect id="_x0000_i1025" style="width:415.3pt;height:1.5pt" o:hralign="center" o:hrstd="t" o:hr="t" fillcolor="#a0a0a0" stroked="f"/>
        </w:pict>
      </w:r>
    </w:p>
    <w:p w14:paraId="3693DB28" w14:textId="77777777" w:rsidR="003734EC" w:rsidRDefault="003734EC">
      <w:pPr>
        <w:spacing w:after="180"/>
        <w:jc w:val="both"/>
      </w:pPr>
    </w:p>
    <w:p w14:paraId="3693DB29" w14:textId="77777777" w:rsidR="003734EC" w:rsidRDefault="000E364E">
      <w:pPr>
        <w:jc w:val="center"/>
      </w:pPr>
      <w:r>
        <w:rPr>
          <w:rFonts w:ascii="sans-serif" w:eastAsia="sans-serif" w:hAnsi="sans-serif" w:cs="sans-serif"/>
          <w:b/>
          <w:bCs/>
          <w:color w:val="000000"/>
          <w:sz w:val="20"/>
          <w:szCs w:val="20"/>
        </w:rPr>
        <w:t>NVIDIA CORPORATION</w:t>
      </w:r>
    </w:p>
    <w:p w14:paraId="3693DB2A" w14:textId="77777777" w:rsidR="003734EC" w:rsidRDefault="000E364E">
      <w:pPr>
        <w:jc w:val="center"/>
      </w:pPr>
      <w:r>
        <w:rPr>
          <w:rFonts w:ascii="sans-serif" w:eastAsia="sans-serif" w:hAnsi="sans-serif" w:cs="sans-serif"/>
          <w:b/>
          <w:bCs/>
          <w:color w:val="000000"/>
          <w:sz w:val="20"/>
          <w:szCs w:val="20"/>
        </w:rPr>
        <w:t>FORM 10-Q</w:t>
      </w:r>
    </w:p>
    <w:p w14:paraId="3693DB2B" w14:textId="77777777" w:rsidR="003734EC" w:rsidRDefault="000E364E">
      <w:pPr>
        <w:spacing w:after="180"/>
        <w:jc w:val="center"/>
      </w:pPr>
      <w:r>
        <w:rPr>
          <w:rFonts w:ascii="sans-serif" w:eastAsia="sans-serif" w:hAnsi="sans-serif" w:cs="sans-serif"/>
          <w:b/>
          <w:bCs/>
          <w:color w:val="000000"/>
          <w:sz w:val="20"/>
          <w:szCs w:val="20"/>
        </w:rPr>
        <w:t xml:space="preserve">FOR THE QUARTER ENDED April 26, 2020 </w:t>
      </w:r>
    </w:p>
    <w:p w14:paraId="3693DB2C" w14:textId="77777777" w:rsidR="003734EC" w:rsidRDefault="000E364E">
      <w:pPr>
        <w:jc w:val="center"/>
      </w:pPr>
      <w:r>
        <w:rPr>
          <w:rFonts w:ascii="sans-serif" w:eastAsia="sans-serif" w:hAnsi="sans-serif" w:cs="sans-serif"/>
          <w:b/>
          <w:bCs/>
          <w:color w:val="000000"/>
          <w:sz w:val="20"/>
          <w:szCs w:val="20"/>
        </w:rPr>
        <w:t>TABLE OF CONTENTS</w:t>
      </w:r>
    </w:p>
    <w:tbl>
      <w:tblPr>
        <w:tblW w:w="4920" w:type="pct"/>
        <w:tblCellMar>
          <w:top w:w="15" w:type="dxa"/>
          <w:left w:w="15" w:type="dxa"/>
          <w:bottom w:w="15" w:type="dxa"/>
          <w:right w:w="15" w:type="dxa"/>
        </w:tblCellMar>
        <w:tblLook w:val="04A0" w:firstRow="1" w:lastRow="0" w:firstColumn="1" w:lastColumn="0" w:noHBand="0" w:noVBand="1"/>
      </w:tblPr>
      <w:tblGrid>
        <w:gridCol w:w="82"/>
        <w:gridCol w:w="652"/>
        <w:gridCol w:w="81"/>
        <w:gridCol w:w="82"/>
        <w:gridCol w:w="6579"/>
        <w:gridCol w:w="82"/>
        <w:gridCol w:w="82"/>
        <w:gridCol w:w="481"/>
        <w:gridCol w:w="82"/>
      </w:tblGrid>
      <w:tr w:rsidR="003734EC" w14:paraId="3693DB36" w14:textId="77777777">
        <w:tc>
          <w:tcPr>
            <w:tcW w:w="50" w:type="pct"/>
            <w:shd w:val="clear" w:color="auto" w:fill="auto"/>
            <w:vAlign w:val="center"/>
          </w:tcPr>
          <w:p w14:paraId="3693DB2D" w14:textId="77777777" w:rsidR="003734EC" w:rsidRDefault="003734EC">
            <w:pPr>
              <w:rPr>
                <w:rFonts w:ascii="宋体"/>
              </w:rPr>
            </w:pPr>
          </w:p>
        </w:tc>
        <w:tc>
          <w:tcPr>
            <w:tcW w:w="397" w:type="pct"/>
            <w:shd w:val="clear" w:color="auto" w:fill="auto"/>
            <w:vAlign w:val="center"/>
          </w:tcPr>
          <w:p w14:paraId="3693DB2E" w14:textId="77777777" w:rsidR="003734EC" w:rsidRDefault="003734EC">
            <w:pPr>
              <w:rPr>
                <w:rFonts w:ascii="宋体"/>
              </w:rPr>
            </w:pPr>
          </w:p>
        </w:tc>
        <w:tc>
          <w:tcPr>
            <w:tcW w:w="50" w:type="pct"/>
            <w:shd w:val="clear" w:color="auto" w:fill="auto"/>
            <w:vAlign w:val="center"/>
          </w:tcPr>
          <w:p w14:paraId="3693DB2F" w14:textId="77777777" w:rsidR="003734EC" w:rsidRDefault="003734EC">
            <w:pPr>
              <w:rPr>
                <w:rFonts w:ascii="宋体"/>
              </w:rPr>
            </w:pPr>
          </w:p>
        </w:tc>
        <w:tc>
          <w:tcPr>
            <w:tcW w:w="50" w:type="pct"/>
            <w:shd w:val="clear" w:color="auto" w:fill="auto"/>
            <w:vAlign w:val="center"/>
          </w:tcPr>
          <w:p w14:paraId="3693DB30" w14:textId="77777777" w:rsidR="003734EC" w:rsidRDefault="003734EC">
            <w:pPr>
              <w:rPr>
                <w:rFonts w:ascii="宋体"/>
              </w:rPr>
            </w:pPr>
          </w:p>
        </w:tc>
        <w:tc>
          <w:tcPr>
            <w:tcW w:w="4008" w:type="pct"/>
            <w:shd w:val="clear" w:color="auto" w:fill="auto"/>
            <w:vAlign w:val="center"/>
          </w:tcPr>
          <w:p w14:paraId="3693DB31" w14:textId="77777777" w:rsidR="003734EC" w:rsidRDefault="003734EC">
            <w:pPr>
              <w:rPr>
                <w:rFonts w:ascii="宋体"/>
              </w:rPr>
            </w:pPr>
          </w:p>
        </w:tc>
        <w:tc>
          <w:tcPr>
            <w:tcW w:w="50" w:type="pct"/>
            <w:shd w:val="clear" w:color="auto" w:fill="auto"/>
            <w:vAlign w:val="center"/>
          </w:tcPr>
          <w:p w14:paraId="3693DB32" w14:textId="77777777" w:rsidR="003734EC" w:rsidRDefault="003734EC">
            <w:pPr>
              <w:rPr>
                <w:rFonts w:ascii="宋体"/>
              </w:rPr>
            </w:pPr>
          </w:p>
        </w:tc>
        <w:tc>
          <w:tcPr>
            <w:tcW w:w="50" w:type="pct"/>
            <w:shd w:val="clear" w:color="auto" w:fill="auto"/>
            <w:vAlign w:val="center"/>
          </w:tcPr>
          <w:p w14:paraId="3693DB33" w14:textId="77777777" w:rsidR="003734EC" w:rsidRDefault="003734EC">
            <w:pPr>
              <w:rPr>
                <w:rFonts w:ascii="宋体"/>
              </w:rPr>
            </w:pPr>
          </w:p>
        </w:tc>
        <w:tc>
          <w:tcPr>
            <w:tcW w:w="293" w:type="pct"/>
            <w:shd w:val="clear" w:color="auto" w:fill="auto"/>
            <w:vAlign w:val="center"/>
          </w:tcPr>
          <w:p w14:paraId="3693DB34" w14:textId="77777777" w:rsidR="003734EC" w:rsidRDefault="003734EC">
            <w:pPr>
              <w:rPr>
                <w:rFonts w:ascii="宋体"/>
              </w:rPr>
            </w:pPr>
          </w:p>
        </w:tc>
        <w:tc>
          <w:tcPr>
            <w:tcW w:w="50" w:type="pct"/>
            <w:shd w:val="clear" w:color="auto" w:fill="auto"/>
            <w:vAlign w:val="center"/>
          </w:tcPr>
          <w:p w14:paraId="3693DB35" w14:textId="77777777" w:rsidR="003734EC" w:rsidRDefault="003734EC">
            <w:pPr>
              <w:rPr>
                <w:rFonts w:ascii="宋体"/>
              </w:rPr>
            </w:pPr>
          </w:p>
        </w:tc>
      </w:tr>
      <w:tr w:rsidR="003734EC" w14:paraId="3693DB3A" w14:textId="77777777">
        <w:tc>
          <w:tcPr>
            <w:tcW w:w="0" w:type="auto"/>
            <w:gridSpan w:val="3"/>
            <w:shd w:val="clear" w:color="auto" w:fill="auto"/>
            <w:tcMar>
              <w:top w:w="40" w:type="dxa"/>
              <w:left w:w="20" w:type="dxa"/>
              <w:bottom w:w="40" w:type="dxa"/>
              <w:right w:w="20" w:type="dxa"/>
            </w:tcMar>
            <w:vAlign w:val="bottom"/>
          </w:tcPr>
          <w:p w14:paraId="3693DB37"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38"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39" w14:textId="77777777" w:rsidR="003734EC" w:rsidRDefault="000E364E">
            <w:pPr>
              <w:jc w:val="right"/>
              <w:textAlignment w:val="bottom"/>
            </w:pPr>
            <w:r>
              <w:rPr>
                <w:rFonts w:ascii="sans-serif" w:eastAsia="sans-serif" w:hAnsi="sans-serif" w:cs="sans-serif"/>
                <w:b/>
                <w:bCs/>
                <w:color w:val="000000"/>
                <w:sz w:val="20"/>
                <w:szCs w:val="20"/>
              </w:rPr>
              <w:t>Page</w:t>
            </w:r>
          </w:p>
        </w:tc>
      </w:tr>
      <w:tr w:rsidR="003734EC" w14:paraId="3693DB3E" w14:textId="77777777">
        <w:tc>
          <w:tcPr>
            <w:tcW w:w="0" w:type="auto"/>
            <w:gridSpan w:val="3"/>
            <w:shd w:val="clear" w:color="auto" w:fill="auto"/>
            <w:tcMar>
              <w:top w:w="40" w:type="dxa"/>
              <w:left w:w="20" w:type="dxa"/>
              <w:bottom w:w="40" w:type="dxa"/>
              <w:right w:w="20" w:type="dxa"/>
            </w:tcMar>
            <w:vAlign w:val="bottom"/>
          </w:tcPr>
          <w:p w14:paraId="3693DB3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3C" w14:textId="77777777" w:rsidR="003734EC" w:rsidRDefault="000E364E">
            <w:pPr>
              <w:jc w:val="center"/>
              <w:textAlignment w:val="bottom"/>
            </w:pPr>
            <w:hyperlink r:id="rId7" w:anchor="i6c27bf6d87914d46b62f482d6b4cd1f5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3693DB3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B42" w14:textId="77777777">
        <w:trPr>
          <w:trHeight w:val="60"/>
        </w:trPr>
        <w:tc>
          <w:tcPr>
            <w:tcW w:w="0" w:type="auto"/>
            <w:gridSpan w:val="3"/>
            <w:shd w:val="clear" w:color="auto" w:fill="auto"/>
            <w:tcMar>
              <w:left w:w="20" w:type="dxa"/>
              <w:right w:w="20" w:type="dxa"/>
            </w:tcMar>
            <w:vAlign w:val="bottom"/>
          </w:tcPr>
          <w:p w14:paraId="3693DB3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4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41" w14:textId="77777777" w:rsidR="003734EC" w:rsidRDefault="003734EC">
            <w:pPr>
              <w:rPr>
                <w:rFonts w:ascii="宋体"/>
              </w:rPr>
            </w:pPr>
          </w:p>
        </w:tc>
      </w:tr>
      <w:tr w:rsidR="003734EC" w14:paraId="3693DB46" w14:textId="77777777">
        <w:tc>
          <w:tcPr>
            <w:tcW w:w="0" w:type="auto"/>
            <w:gridSpan w:val="3"/>
            <w:shd w:val="clear" w:color="auto" w:fill="auto"/>
            <w:tcMar>
              <w:top w:w="40" w:type="dxa"/>
              <w:left w:w="20" w:type="dxa"/>
              <w:bottom w:w="40" w:type="dxa"/>
              <w:right w:w="20" w:type="dxa"/>
            </w:tcMar>
            <w:vAlign w:val="bottom"/>
          </w:tcPr>
          <w:p w14:paraId="3693DB43" w14:textId="77777777" w:rsidR="003734EC" w:rsidRDefault="000E364E">
            <w:pPr>
              <w:textAlignment w:val="bottom"/>
            </w:pPr>
            <w:hyperlink r:id="rId8" w:anchor="i6c27bf6d87914d46b62f482d6b4cd1f5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3693DB44" w14:textId="77777777" w:rsidR="003734EC" w:rsidRDefault="000E364E">
            <w:pPr>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3693DB45" w14:textId="77777777" w:rsidR="003734EC" w:rsidRDefault="000E364E">
            <w:pPr>
              <w:textAlignment w:val="bottom"/>
            </w:pPr>
            <w:r>
              <w:rPr>
                <w:rFonts w:ascii="sans-serif" w:eastAsia="sans-serif" w:hAnsi="sans-serif" w:cs="sans-serif"/>
                <w:color w:val="000000"/>
                <w:sz w:val="20"/>
                <w:szCs w:val="20"/>
              </w:rPr>
              <w:t> </w:t>
            </w:r>
          </w:p>
        </w:tc>
      </w:tr>
      <w:tr w:rsidR="003734EC" w14:paraId="3693DB4A" w14:textId="77777777">
        <w:trPr>
          <w:trHeight w:val="60"/>
        </w:trPr>
        <w:tc>
          <w:tcPr>
            <w:tcW w:w="0" w:type="auto"/>
            <w:gridSpan w:val="3"/>
            <w:shd w:val="clear" w:color="auto" w:fill="auto"/>
            <w:tcMar>
              <w:left w:w="20" w:type="dxa"/>
              <w:right w:w="20" w:type="dxa"/>
            </w:tcMar>
            <w:vAlign w:val="bottom"/>
          </w:tcPr>
          <w:p w14:paraId="3693DB4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4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49" w14:textId="77777777" w:rsidR="003734EC" w:rsidRDefault="003734EC">
            <w:pPr>
              <w:rPr>
                <w:rFonts w:ascii="宋体"/>
              </w:rPr>
            </w:pPr>
          </w:p>
        </w:tc>
      </w:tr>
      <w:tr w:rsidR="003734EC" w14:paraId="3693DB4E" w14:textId="77777777">
        <w:tc>
          <w:tcPr>
            <w:tcW w:w="0" w:type="auto"/>
            <w:gridSpan w:val="3"/>
            <w:shd w:val="clear" w:color="auto" w:fill="auto"/>
            <w:tcMar>
              <w:top w:w="40" w:type="dxa"/>
              <w:left w:w="20" w:type="dxa"/>
              <w:bottom w:w="40" w:type="dxa"/>
              <w:right w:w="20" w:type="dxa"/>
            </w:tcMar>
            <w:vAlign w:val="bottom"/>
          </w:tcPr>
          <w:p w14:paraId="3693DB4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4C" w14:textId="77777777" w:rsidR="003734EC" w:rsidRDefault="000E364E">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months ended April 26, 2020 and April 28, 2019</w:t>
            </w:r>
          </w:p>
        </w:tc>
        <w:tc>
          <w:tcPr>
            <w:tcW w:w="0" w:type="auto"/>
            <w:gridSpan w:val="3"/>
            <w:shd w:val="clear" w:color="auto" w:fill="auto"/>
            <w:tcMar>
              <w:top w:w="40" w:type="dxa"/>
              <w:left w:w="20" w:type="dxa"/>
              <w:bottom w:w="40" w:type="dxa"/>
              <w:right w:w="20" w:type="dxa"/>
            </w:tcMar>
            <w:vAlign w:val="bottom"/>
          </w:tcPr>
          <w:p w14:paraId="3693DB4D" w14:textId="77777777" w:rsidR="003734EC" w:rsidRDefault="000E364E">
            <w:pPr>
              <w:jc w:val="right"/>
              <w:textAlignment w:val="bottom"/>
            </w:pPr>
            <w:hyperlink r:id="rId9" w:anchor="i6c27bf6d87914d46b62f482d6b4cd1f5_16" w:history="1">
              <w:r>
                <w:rPr>
                  <w:rStyle w:val="a5"/>
                  <w:rFonts w:ascii="sans-serif" w:eastAsia="sans-serif" w:hAnsi="sans-serif" w:cs="sans-serif"/>
                  <w:sz w:val="20"/>
                  <w:szCs w:val="20"/>
                </w:rPr>
                <w:t>3</w:t>
              </w:r>
            </w:hyperlink>
          </w:p>
        </w:tc>
      </w:tr>
      <w:tr w:rsidR="003734EC" w14:paraId="3693DB52" w14:textId="77777777">
        <w:trPr>
          <w:hidden/>
        </w:trPr>
        <w:tc>
          <w:tcPr>
            <w:tcW w:w="0" w:type="auto"/>
            <w:gridSpan w:val="3"/>
            <w:shd w:val="clear" w:color="auto" w:fill="auto"/>
            <w:vAlign w:val="center"/>
          </w:tcPr>
          <w:p w14:paraId="3693DB4F" w14:textId="77777777" w:rsidR="003734EC" w:rsidRDefault="003734EC">
            <w:pPr>
              <w:rPr>
                <w:rFonts w:ascii="宋体"/>
                <w:vanish/>
              </w:rPr>
            </w:pPr>
          </w:p>
        </w:tc>
        <w:tc>
          <w:tcPr>
            <w:tcW w:w="0" w:type="auto"/>
            <w:gridSpan w:val="3"/>
            <w:shd w:val="clear" w:color="auto" w:fill="auto"/>
            <w:vAlign w:val="center"/>
          </w:tcPr>
          <w:p w14:paraId="3693DB50" w14:textId="77777777" w:rsidR="003734EC" w:rsidRDefault="003734EC">
            <w:pPr>
              <w:rPr>
                <w:rFonts w:ascii="宋体"/>
                <w:vanish/>
              </w:rPr>
            </w:pPr>
          </w:p>
        </w:tc>
        <w:tc>
          <w:tcPr>
            <w:tcW w:w="0" w:type="auto"/>
            <w:gridSpan w:val="3"/>
            <w:shd w:val="clear" w:color="auto" w:fill="auto"/>
            <w:vAlign w:val="center"/>
          </w:tcPr>
          <w:p w14:paraId="3693DB51" w14:textId="77777777" w:rsidR="003734EC" w:rsidRDefault="003734EC">
            <w:pPr>
              <w:rPr>
                <w:rFonts w:ascii="宋体"/>
                <w:vanish/>
              </w:rPr>
            </w:pPr>
          </w:p>
        </w:tc>
      </w:tr>
      <w:tr w:rsidR="003734EC" w14:paraId="3693DB56" w14:textId="77777777">
        <w:tc>
          <w:tcPr>
            <w:tcW w:w="0" w:type="auto"/>
            <w:gridSpan w:val="3"/>
            <w:shd w:val="clear" w:color="auto" w:fill="auto"/>
            <w:tcMar>
              <w:left w:w="20" w:type="dxa"/>
              <w:right w:w="20" w:type="dxa"/>
            </w:tcMar>
            <w:vAlign w:val="bottom"/>
          </w:tcPr>
          <w:p w14:paraId="3693DB53"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B54" w14:textId="77777777" w:rsidR="003734EC" w:rsidRDefault="000E364E">
            <w:pPr>
              <w:textAlignment w:val="bottom"/>
            </w:pPr>
            <w:r>
              <w:rPr>
                <w:rFonts w:ascii="sans-serif" w:eastAsia="sans-serif" w:hAnsi="sans-serif" w:cs="sans-serif"/>
                <w:color w:val="000000"/>
                <w:sz w:val="20"/>
                <w:szCs w:val="20"/>
              </w:rPr>
              <w:t>b) Condensed Consolidated Stateme</w:t>
            </w:r>
            <w:r>
              <w:rPr>
                <w:rFonts w:ascii="sans-serif" w:eastAsia="sans-serif" w:hAnsi="sans-serif" w:cs="sans-serif"/>
                <w:color w:val="000000"/>
                <w:sz w:val="20"/>
                <w:szCs w:val="20"/>
              </w:rPr>
              <w:t>nts of Comprehensive Income for the three months ended April 26, 2020 and April 28, 2019</w:t>
            </w:r>
          </w:p>
        </w:tc>
        <w:tc>
          <w:tcPr>
            <w:tcW w:w="0" w:type="auto"/>
            <w:gridSpan w:val="3"/>
            <w:shd w:val="clear" w:color="auto" w:fill="auto"/>
            <w:tcMar>
              <w:top w:w="40" w:type="dxa"/>
              <w:left w:w="20" w:type="dxa"/>
              <w:bottom w:w="40" w:type="dxa"/>
              <w:right w:w="20" w:type="dxa"/>
            </w:tcMar>
            <w:vAlign w:val="bottom"/>
          </w:tcPr>
          <w:p w14:paraId="3693DB55" w14:textId="77777777" w:rsidR="003734EC" w:rsidRDefault="000E364E">
            <w:pPr>
              <w:jc w:val="right"/>
              <w:textAlignment w:val="bottom"/>
            </w:pPr>
            <w:hyperlink r:id="rId10" w:anchor="i6c27bf6d87914d46b62f482d6b4cd1f5_19" w:history="1">
              <w:r>
                <w:rPr>
                  <w:rStyle w:val="a5"/>
                  <w:rFonts w:ascii="sans-serif" w:eastAsia="sans-serif" w:hAnsi="sans-serif" w:cs="sans-serif"/>
                  <w:sz w:val="20"/>
                  <w:szCs w:val="20"/>
                </w:rPr>
                <w:t>4</w:t>
              </w:r>
            </w:hyperlink>
          </w:p>
        </w:tc>
      </w:tr>
      <w:tr w:rsidR="003734EC" w14:paraId="3693DB5A" w14:textId="77777777">
        <w:trPr>
          <w:hidden/>
        </w:trPr>
        <w:tc>
          <w:tcPr>
            <w:tcW w:w="0" w:type="auto"/>
            <w:gridSpan w:val="3"/>
            <w:shd w:val="clear" w:color="auto" w:fill="auto"/>
            <w:vAlign w:val="center"/>
          </w:tcPr>
          <w:p w14:paraId="3693DB57" w14:textId="77777777" w:rsidR="003734EC" w:rsidRDefault="003734EC">
            <w:pPr>
              <w:rPr>
                <w:rFonts w:ascii="宋体"/>
                <w:vanish/>
              </w:rPr>
            </w:pPr>
          </w:p>
        </w:tc>
        <w:tc>
          <w:tcPr>
            <w:tcW w:w="0" w:type="auto"/>
            <w:gridSpan w:val="3"/>
            <w:shd w:val="clear" w:color="auto" w:fill="auto"/>
            <w:vAlign w:val="center"/>
          </w:tcPr>
          <w:p w14:paraId="3693DB58" w14:textId="77777777" w:rsidR="003734EC" w:rsidRDefault="003734EC">
            <w:pPr>
              <w:rPr>
                <w:rFonts w:ascii="宋体"/>
                <w:vanish/>
              </w:rPr>
            </w:pPr>
          </w:p>
        </w:tc>
        <w:tc>
          <w:tcPr>
            <w:tcW w:w="0" w:type="auto"/>
            <w:gridSpan w:val="3"/>
            <w:shd w:val="clear" w:color="auto" w:fill="auto"/>
            <w:vAlign w:val="center"/>
          </w:tcPr>
          <w:p w14:paraId="3693DB59" w14:textId="77777777" w:rsidR="003734EC" w:rsidRDefault="003734EC">
            <w:pPr>
              <w:rPr>
                <w:rFonts w:ascii="宋体"/>
                <w:vanish/>
              </w:rPr>
            </w:pPr>
          </w:p>
        </w:tc>
      </w:tr>
      <w:tr w:rsidR="003734EC" w14:paraId="3693DB5E" w14:textId="77777777">
        <w:tc>
          <w:tcPr>
            <w:tcW w:w="0" w:type="auto"/>
            <w:gridSpan w:val="3"/>
            <w:shd w:val="clear" w:color="auto" w:fill="auto"/>
            <w:tcMar>
              <w:top w:w="40" w:type="dxa"/>
              <w:left w:w="20" w:type="dxa"/>
              <w:bottom w:w="40" w:type="dxa"/>
              <w:right w:w="20" w:type="dxa"/>
            </w:tcMar>
            <w:vAlign w:val="bottom"/>
          </w:tcPr>
          <w:p w14:paraId="3693DB5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5C" w14:textId="77777777" w:rsidR="003734EC" w:rsidRDefault="000E364E">
            <w:pPr>
              <w:textAlignment w:val="bottom"/>
            </w:pPr>
            <w:r>
              <w:rPr>
                <w:rFonts w:ascii="sans-serif" w:eastAsia="sans-serif" w:hAnsi="sans-serif" w:cs="sans-serif"/>
                <w:color w:val="000000"/>
                <w:sz w:val="20"/>
                <w:szCs w:val="20"/>
              </w:rPr>
              <w:t>c) Condensed Consolidated Balance Sheets as of April 26, 2020 and January 26, 2020</w:t>
            </w:r>
          </w:p>
        </w:tc>
        <w:tc>
          <w:tcPr>
            <w:tcW w:w="0" w:type="auto"/>
            <w:gridSpan w:val="3"/>
            <w:shd w:val="clear" w:color="auto" w:fill="auto"/>
            <w:tcMar>
              <w:top w:w="40" w:type="dxa"/>
              <w:left w:w="20" w:type="dxa"/>
              <w:bottom w:w="40" w:type="dxa"/>
              <w:right w:w="20" w:type="dxa"/>
            </w:tcMar>
            <w:vAlign w:val="bottom"/>
          </w:tcPr>
          <w:p w14:paraId="3693DB5D" w14:textId="77777777" w:rsidR="003734EC" w:rsidRDefault="000E364E">
            <w:pPr>
              <w:jc w:val="right"/>
              <w:textAlignment w:val="bottom"/>
            </w:pPr>
            <w:hyperlink r:id="rId11" w:anchor="i6c27bf6d87914d46b62f482d6b4cd1f5_22" w:history="1">
              <w:r>
                <w:rPr>
                  <w:rStyle w:val="a5"/>
                  <w:rFonts w:ascii="sans-serif" w:eastAsia="sans-serif" w:hAnsi="sans-serif" w:cs="sans-serif"/>
                  <w:sz w:val="20"/>
                  <w:szCs w:val="20"/>
                </w:rPr>
                <w:t>5</w:t>
              </w:r>
            </w:hyperlink>
          </w:p>
        </w:tc>
      </w:tr>
      <w:tr w:rsidR="003734EC" w14:paraId="3693DB62" w14:textId="77777777">
        <w:trPr>
          <w:hidden/>
        </w:trPr>
        <w:tc>
          <w:tcPr>
            <w:tcW w:w="0" w:type="auto"/>
            <w:gridSpan w:val="3"/>
            <w:shd w:val="clear" w:color="auto" w:fill="auto"/>
            <w:vAlign w:val="center"/>
          </w:tcPr>
          <w:p w14:paraId="3693DB5F" w14:textId="77777777" w:rsidR="003734EC" w:rsidRDefault="003734EC">
            <w:pPr>
              <w:rPr>
                <w:rFonts w:ascii="宋体"/>
                <w:vanish/>
              </w:rPr>
            </w:pPr>
          </w:p>
        </w:tc>
        <w:tc>
          <w:tcPr>
            <w:tcW w:w="0" w:type="auto"/>
            <w:gridSpan w:val="3"/>
            <w:shd w:val="clear" w:color="auto" w:fill="auto"/>
            <w:vAlign w:val="center"/>
          </w:tcPr>
          <w:p w14:paraId="3693DB60" w14:textId="77777777" w:rsidR="003734EC" w:rsidRDefault="003734EC">
            <w:pPr>
              <w:rPr>
                <w:rFonts w:ascii="宋体"/>
                <w:vanish/>
              </w:rPr>
            </w:pPr>
          </w:p>
        </w:tc>
        <w:tc>
          <w:tcPr>
            <w:tcW w:w="0" w:type="auto"/>
            <w:gridSpan w:val="3"/>
            <w:shd w:val="clear" w:color="auto" w:fill="auto"/>
            <w:vAlign w:val="center"/>
          </w:tcPr>
          <w:p w14:paraId="3693DB61" w14:textId="77777777" w:rsidR="003734EC" w:rsidRDefault="003734EC">
            <w:pPr>
              <w:rPr>
                <w:rFonts w:ascii="宋体"/>
                <w:vanish/>
              </w:rPr>
            </w:pPr>
          </w:p>
        </w:tc>
      </w:tr>
      <w:tr w:rsidR="003734EC" w14:paraId="3693DB66" w14:textId="77777777">
        <w:tc>
          <w:tcPr>
            <w:tcW w:w="0" w:type="auto"/>
            <w:gridSpan w:val="3"/>
            <w:shd w:val="clear" w:color="auto" w:fill="auto"/>
            <w:tcMar>
              <w:left w:w="20" w:type="dxa"/>
              <w:right w:w="20" w:type="dxa"/>
            </w:tcMar>
            <w:vAlign w:val="bottom"/>
          </w:tcPr>
          <w:p w14:paraId="3693DB63"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B64" w14:textId="77777777" w:rsidR="003734EC" w:rsidRDefault="000E364E">
            <w:pPr>
              <w:textAlignment w:val="bottom"/>
            </w:pPr>
            <w:r>
              <w:rPr>
                <w:rFonts w:ascii="sans-serif" w:eastAsia="sans-serif" w:hAnsi="sans-serif" w:cs="sans-serif"/>
                <w:color w:val="000000"/>
                <w:sz w:val="20"/>
                <w:szCs w:val="20"/>
              </w:rPr>
              <w:t xml:space="preserve">d) Condensed Consolidated Statements of Shareholders' Equity for the three months ended April 26, </w:t>
            </w:r>
            <w:r>
              <w:rPr>
                <w:rFonts w:ascii="sans-serif" w:eastAsia="sans-serif" w:hAnsi="sans-serif" w:cs="sans-serif"/>
                <w:color w:val="000000"/>
                <w:sz w:val="20"/>
                <w:szCs w:val="20"/>
              </w:rPr>
              <w:t>2020 and April 28, 2019</w:t>
            </w:r>
          </w:p>
        </w:tc>
        <w:tc>
          <w:tcPr>
            <w:tcW w:w="0" w:type="auto"/>
            <w:gridSpan w:val="3"/>
            <w:shd w:val="clear" w:color="auto" w:fill="auto"/>
            <w:tcMar>
              <w:top w:w="40" w:type="dxa"/>
              <w:left w:w="20" w:type="dxa"/>
              <w:bottom w:w="40" w:type="dxa"/>
              <w:right w:w="20" w:type="dxa"/>
            </w:tcMar>
            <w:vAlign w:val="bottom"/>
          </w:tcPr>
          <w:p w14:paraId="3693DB65" w14:textId="77777777" w:rsidR="003734EC" w:rsidRDefault="000E364E">
            <w:pPr>
              <w:jc w:val="right"/>
              <w:textAlignment w:val="bottom"/>
            </w:pPr>
            <w:hyperlink r:id="rId12" w:anchor="i6c27bf6d87914d46b62f482d6b4cd1f5_25" w:history="1">
              <w:r>
                <w:rPr>
                  <w:rStyle w:val="a5"/>
                  <w:rFonts w:ascii="sans-serif" w:eastAsia="sans-serif" w:hAnsi="sans-serif" w:cs="sans-serif"/>
                  <w:sz w:val="20"/>
                  <w:szCs w:val="20"/>
                </w:rPr>
                <w:t>6</w:t>
              </w:r>
            </w:hyperlink>
          </w:p>
        </w:tc>
      </w:tr>
      <w:tr w:rsidR="003734EC" w14:paraId="3693DB6A" w14:textId="77777777">
        <w:trPr>
          <w:hidden/>
        </w:trPr>
        <w:tc>
          <w:tcPr>
            <w:tcW w:w="0" w:type="auto"/>
            <w:gridSpan w:val="3"/>
            <w:shd w:val="clear" w:color="auto" w:fill="auto"/>
            <w:vAlign w:val="center"/>
          </w:tcPr>
          <w:p w14:paraId="3693DB67" w14:textId="77777777" w:rsidR="003734EC" w:rsidRDefault="003734EC">
            <w:pPr>
              <w:rPr>
                <w:rFonts w:ascii="宋体"/>
                <w:vanish/>
              </w:rPr>
            </w:pPr>
          </w:p>
        </w:tc>
        <w:tc>
          <w:tcPr>
            <w:tcW w:w="0" w:type="auto"/>
            <w:gridSpan w:val="3"/>
            <w:shd w:val="clear" w:color="auto" w:fill="auto"/>
            <w:vAlign w:val="center"/>
          </w:tcPr>
          <w:p w14:paraId="3693DB68" w14:textId="77777777" w:rsidR="003734EC" w:rsidRDefault="003734EC">
            <w:pPr>
              <w:rPr>
                <w:rFonts w:ascii="宋体"/>
                <w:vanish/>
              </w:rPr>
            </w:pPr>
          </w:p>
        </w:tc>
        <w:tc>
          <w:tcPr>
            <w:tcW w:w="0" w:type="auto"/>
            <w:gridSpan w:val="3"/>
            <w:shd w:val="clear" w:color="auto" w:fill="auto"/>
            <w:vAlign w:val="center"/>
          </w:tcPr>
          <w:p w14:paraId="3693DB69" w14:textId="77777777" w:rsidR="003734EC" w:rsidRDefault="003734EC">
            <w:pPr>
              <w:rPr>
                <w:rFonts w:ascii="宋体"/>
                <w:vanish/>
              </w:rPr>
            </w:pPr>
          </w:p>
        </w:tc>
      </w:tr>
      <w:tr w:rsidR="003734EC" w14:paraId="3693DB6E" w14:textId="77777777">
        <w:tc>
          <w:tcPr>
            <w:tcW w:w="0" w:type="auto"/>
            <w:gridSpan w:val="3"/>
            <w:shd w:val="clear" w:color="auto" w:fill="auto"/>
            <w:tcMar>
              <w:top w:w="40" w:type="dxa"/>
              <w:left w:w="20" w:type="dxa"/>
              <w:bottom w:w="40" w:type="dxa"/>
              <w:right w:w="20" w:type="dxa"/>
            </w:tcMar>
            <w:vAlign w:val="bottom"/>
          </w:tcPr>
          <w:p w14:paraId="3693DB6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6C" w14:textId="77777777" w:rsidR="003734EC" w:rsidRDefault="000E364E">
            <w:pPr>
              <w:textAlignment w:val="bottom"/>
            </w:pPr>
            <w:r>
              <w:rPr>
                <w:rFonts w:ascii="sans-serif" w:eastAsia="sans-serif" w:hAnsi="sans-serif" w:cs="sans-serif"/>
                <w:color w:val="000000"/>
                <w:sz w:val="20"/>
                <w:szCs w:val="20"/>
              </w:rPr>
              <w:t xml:space="preserve">e) Condensed Consolidated Statements of Cash Flows for the three </w:t>
            </w:r>
            <w:r>
              <w:rPr>
                <w:rFonts w:ascii="sans-serif" w:eastAsia="sans-serif" w:hAnsi="sans-serif" w:cs="sans-serif"/>
                <w:color w:val="000000"/>
                <w:sz w:val="20"/>
                <w:szCs w:val="20"/>
              </w:rPr>
              <w:t>months ended April 26, 2020 and April 28, 2019</w:t>
            </w:r>
          </w:p>
        </w:tc>
        <w:tc>
          <w:tcPr>
            <w:tcW w:w="0" w:type="auto"/>
            <w:gridSpan w:val="3"/>
            <w:shd w:val="clear" w:color="auto" w:fill="auto"/>
            <w:tcMar>
              <w:top w:w="40" w:type="dxa"/>
              <w:left w:w="20" w:type="dxa"/>
              <w:bottom w:w="40" w:type="dxa"/>
              <w:right w:w="20" w:type="dxa"/>
            </w:tcMar>
            <w:vAlign w:val="bottom"/>
          </w:tcPr>
          <w:p w14:paraId="3693DB6D" w14:textId="77777777" w:rsidR="003734EC" w:rsidRDefault="000E364E">
            <w:pPr>
              <w:jc w:val="right"/>
              <w:textAlignment w:val="bottom"/>
            </w:pPr>
            <w:hyperlink r:id="rId13" w:anchor="i6c27bf6d87914d46b62f482d6b4cd1f5_31" w:history="1">
              <w:r>
                <w:rPr>
                  <w:rStyle w:val="a5"/>
                  <w:rFonts w:ascii="sans-serif" w:eastAsia="sans-serif" w:hAnsi="sans-serif" w:cs="sans-serif"/>
                  <w:sz w:val="20"/>
                  <w:szCs w:val="20"/>
                </w:rPr>
                <w:t>7</w:t>
              </w:r>
            </w:hyperlink>
          </w:p>
        </w:tc>
      </w:tr>
      <w:tr w:rsidR="003734EC" w14:paraId="3693DB72" w14:textId="77777777">
        <w:trPr>
          <w:hidden/>
        </w:trPr>
        <w:tc>
          <w:tcPr>
            <w:tcW w:w="0" w:type="auto"/>
            <w:gridSpan w:val="3"/>
            <w:shd w:val="clear" w:color="auto" w:fill="auto"/>
            <w:vAlign w:val="center"/>
          </w:tcPr>
          <w:p w14:paraId="3693DB6F" w14:textId="77777777" w:rsidR="003734EC" w:rsidRDefault="003734EC">
            <w:pPr>
              <w:rPr>
                <w:rFonts w:ascii="宋体"/>
                <w:vanish/>
              </w:rPr>
            </w:pPr>
          </w:p>
        </w:tc>
        <w:tc>
          <w:tcPr>
            <w:tcW w:w="0" w:type="auto"/>
            <w:gridSpan w:val="3"/>
            <w:shd w:val="clear" w:color="auto" w:fill="auto"/>
            <w:vAlign w:val="center"/>
          </w:tcPr>
          <w:p w14:paraId="3693DB70" w14:textId="77777777" w:rsidR="003734EC" w:rsidRDefault="003734EC">
            <w:pPr>
              <w:rPr>
                <w:rFonts w:ascii="宋体"/>
                <w:vanish/>
              </w:rPr>
            </w:pPr>
          </w:p>
        </w:tc>
        <w:tc>
          <w:tcPr>
            <w:tcW w:w="0" w:type="auto"/>
            <w:gridSpan w:val="3"/>
            <w:shd w:val="clear" w:color="auto" w:fill="auto"/>
            <w:vAlign w:val="center"/>
          </w:tcPr>
          <w:p w14:paraId="3693DB71" w14:textId="77777777" w:rsidR="003734EC" w:rsidRDefault="003734EC">
            <w:pPr>
              <w:rPr>
                <w:rFonts w:ascii="宋体"/>
                <w:vanish/>
              </w:rPr>
            </w:pPr>
          </w:p>
        </w:tc>
      </w:tr>
      <w:tr w:rsidR="003734EC" w14:paraId="3693DB76" w14:textId="77777777">
        <w:tc>
          <w:tcPr>
            <w:tcW w:w="0" w:type="auto"/>
            <w:gridSpan w:val="3"/>
            <w:shd w:val="clear" w:color="auto" w:fill="auto"/>
            <w:tcMar>
              <w:top w:w="40" w:type="dxa"/>
              <w:left w:w="20" w:type="dxa"/>
              <w:bottom w:w="40" w:type="dxa"/>
              <w:right w:w="20" w:type="dxa"/>
            </w:tcMar>
            <w:vAlign w:val="bottom"/>
          </w:tcPr>
          <w:p w14:paraId="3693DB73"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74" w14:textId="77777777" w:rsidR="003734EC" w:rsidRDefault="000E364E">
            <w:pPr>
              <w:textAlignment w:val="bottom"/>
            </w:pPr>
            <w:r>
              <w:rPr>
                <w:rFonts w:ascii="sans-serif" w:eastAsia="sans-serif" w:hAnsi="sans-serif" w:cs="sans-serif"/>
                <w:color w:val="000000"/>
                <w:sz w:val="20"/>
                <w:szCs w:val="20"/>
              </w:rPr>
              <w:t xml:space="preserve">f) Notes to Condensed Consolidated </w:t>
            </w:r>
            <w:r>
              <w:rPr>
                <w:rFonts w:ascii="sans-serif" w:eastAsia="sans-serif" w:hAnsi="sans-serif" w:cs="sans-serif"/>
                <w:color w:val="000000"/>
                <w:sz w:val="20"/>
                <w:szCs w:val="20"/>
              </w:rPr>
              <w:t>Financial Statements</w:t>
            </w:r>
          </w:p>
        </w:tc>
        <w:tc>
          <w:tcPr>
            <w:tcW w:w="0" w:type="auto"/>
            <w:gridSpan w:val="3"/>
            <w:shd w:val="clear" w:color="auto" w:fill="auto"/>
            <w:tcMar>
              <w:top w:w="40" w:type="dxa"/>
              <w:left w:w="20" w:type="dxa"/>
              <w:bottom w:w="40" w:type="dxa"/>
              <w:right w:w="20" w:type="dxa"/>
            </w:tcMar>
            <w:vAlign w:val="bottom"/>
          </w:tcPr>
          <w:p w14:paraId="3693DB75" w14:textId="77777777" w:rsidR="003734EC" w:rsidRDefault="000E364E">
            <w:pPr>
              <w:jc w:val="right"/>
              <w:textAlignment w:val="bottom"/>
            </w:pPr>
            <w:hyperlink r:id="rId14" w:anchor="i6c27bf6d87914d46b62f482d6b4cd1f5_34" w:history="1">
              <w:r>
                <w:rPr>
                  <w:rStyle w:val="a5"/>
                  <w:rFonts w:ascii="sans-serif" w:eastAsia="sans-serif" w:hAnsi="sans-serif" w:cs="sans-serif"/>
                  <w:sz w:val="20"/>
                  <w:szCs w:val="20"/>
                </w:rPr>
                <w:t>8</w:t>
              </w:r>
            </w:hyperlink>
          </w:p>
        </w:tc>
      </w:tr>
      <w:tr w:rsidR="003734EC" w14:paraId="3693DB7A" w14:textId="77777777">
        <w:trPr>
          <w:trHeight w:val="60"/>
        </w:trPr>
        <w:tc>
          <w:tcPr>
            <w:tcW w:w="0" w:type="auto"/>
            <w:gridSpan w:val="3"/>
            <w:shd w:val="clear" w:color="auto" w:fill="auto"/>
            <w:tcMar>
              <w:left w:w="20" w:type="dxa"/>
              <w:right w:w="20" w:type="dxa"/>
            </w:tcMar>
            <w:vAlign w:val="bottom"/>
          </w:tcPr>
          <w:p w14:paraId="3693DB7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7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79" w14:textId="77777777" w:rsidR="003734EC" w:rsidRDefault="003734EC">
            <w:pPr>
              <w:rPr>
                <w:rFonts w:ascii="宋体"/>
              </w:rPr>
            </w:pPr>
          </w:p>
        </w:tc>
      </w:tr>
      <w:tr w:rsidR="003734EC" w14:paraId="3693DB7E" w14:textId="77777777">
        <w:tc>
          <w:tcPr>
            <w:tcW w:w="0" w:type="auto"/>
            <w:gridSpan w:val="3"/>
            <w:shd w:val="clear" w:color="auto" w:fill="auto"/>
            <w:tcMar>
              <w:top w:w="40" w:type="dxa"/>
              <w:left w:w="20" w:type="dxa"/>
              <w:bottom w:w="40" w:type="dxa"/>
              <w:right w:w="20" w:type="dxa"/>
            </w:tcMar>
            <w:vAlign w:val="bottom"/>
          </w:tcPr>
          <w:p w14:paraId="3693DB7B" w14:textId="77777777" w:rsidR="003734EC" w:rsidRDefault="000E364E">
            <w:pPr>
              <w:textAlignment w:val="bottom"/>
            </w:pPr>
            <w:hyperlink r:id="rId15" w:anchor="i6c27bf6d87914d46b62f482d6b4cd1f5_100"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3693DB7C" w14:textId="77777777" w:rsidR="003734EC" w:rsidRDefault="000E364E">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3693DB7D" w14:textId="77777777" w:rsidR="003734EC" w:rsidRDefault="000E364E">
            <w:pPr>
              <w:jc w:val="right"/>
              <w:textAlignment w:val="bottom"/>
            </w:pPr>
            <w:hyperlink r:id="rId16" w:anchor="i6c27bf6d87914d46b62f482d6b4cd1f5_100" w:history="1">
              <w:r>
                <w:rPr>
                  <w:rStyle w:val="a5"/>
                  <w:rFonts w:ascii="sans-serif" w:eastAsia="sans-serif" w:hAnsi="sans-serif" w:cs="sans-serif"/>
                  <w:sz w:val="20"/>
                  <w:szCs w:val="20"/>
                </w:rPr>
                <w:t>21</w:t>
              </w:r>
            </w:hyperlink>
          </w:p>
        </w:tc>
      </w:tr>
      <w:tr w:rsidR="003734EC" w14:paraId="3693DB82" w14:textId="77777777">
        <w:trPr>
          <w:trHeight w:val="60"/>
        </w:trPr>
        <w:tc>
          <w:tcPr>
            <w:tcW w:w="0" w:type="auto"/>
            <w:gridSpan w:val="3"/>
            <w:shd w:val="clear" w:color="auto" w:fill="auto"/>
            <w:tcMar>
              <w:left w:w="20" w:type="dxa"/>
              <w:right w:w="20" w:type="dxa"/>
            </w:tcMar>
            <w:vAlign w:val="bottom"/>
          </w:tcPr>
          <w:p w14:paraId="3693DB7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8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81" w14:textId="77777777" w:rsidR="003734EC" w:rsidRDefault="003734EC">
            <w:pPr>
              <w:rPr>
                <w:rFonts w:ascii="宋体"/>
              </w:rPr>
            </w:pPr>
          </w:p>
        </w:tc>
      </w:tr>
      <w:tr w:rsidR="003734EC" w14:paraId="3693DB86" w14:textId="77777777">
        <w:tc>
          <w:tcPr>
            <w:tcW w:w="0" w:type="auto"/>
            <w:gridSpan w:val="3"/>
            <w:shd w:val="clear" w:color="auto" w:fill="auto"/>
            <w:tcMar>
              <w:top w:w="40" w:type="dxa"/>
              <w:left w:w="20" w:type="dxa"/>
              <w:bottom w:w="40" w:type="dxa"/>
              <w:right w:w="20" w:type="dxa"/>
            </w:tcMar>
            <w:vAlign w:val="bottom"/>
          </w:tcPr>
          <w:p w14:paraId="3693DB83" w14:textId="77777777" w:rsidR="003734EC" w:rsidRDefault="000E364E">
            <w:pPr>
              <w:textAlignment w:val="bottom"/>
            </w:pPr>
            <w:hyperlink r:id="rId17" w:anchor="i6c27bf6d87914d46b62f482d6b4cd1f5_112"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3693DB84" w14:textId="77777777" w:rsidR="003734EC" w:rsidRDefault="000E364E">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3693DB85" w14:textId="77777777" w:rsidR="003734EC" w:rsidRDefault="000E364E">
            <w:pPr>
              <w:jc w:val="right"/>
              <w:textAlignment w:val="bottom"/>
            </w:pPr>
            <w:hyperlink r:id="rId18" w:anchor="i6c27bf6d87914d46b62f482d6b4cd1f5_112" w:history="1">
              <w:r>
                <w:rPr>
                  <w:rStyle w:val="a5"/>
                  <w:rFonts w:ascii="sans-serif" w:eastAsia="sans-serif" w:hAnsi="sans-serif" w:cs="sans-serif"/>
                  <w:sz w:val="20"/>
                  <w:szCs w:val="20"/>
                </w:rPr>
                <w:t>28</w:t>
              </w:r>
            </w:hyperlink>
          </w:p>
        </w:tc>
      </w:tr>
      <w:tr w:rsidR="003734EC" w14:paraId="3693DB8A" w14:textId="77777777">
        <w:trPr>
          <w:trHeight w:val="60"/>
        </w:trPr>
        <w:tc>
          <w:tcPr>
            <w:tcW w:w="0" w:type="auto"/>
            <w:gridSpan w:val="3"/>
            <w:shd w:val="clear" w:color="auto" w:fill="auto"/>
            <w:tcMar>
              <w:left w:w="20" w:type="dxa"/>
              <w:right w:w="20" w:type="dxa"/>
            </w:tcMar>
            <w:vAlign w:val="bottom"/>
          </w:tcPr>
          <w:p w14:paraId="3693DB8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8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89" w14:textId="77777777" w:rsidR="003734EC" w:rsidRDefault="003734EC">
            <w:pPr>
              <w:rPr>
                <w:rFonts w:ascii="宋体"/>
              </w:rPr>
            </w:pPr>
          </w:p>
        </w:tc>
      </w:tr>
      <w:tr w:rsidR="003734EC" w14:paraId="3693DB8E" w14:textId="77777777">
        <w:tc>
          <w:tcPr>
            <w:tcW w:w="0" w:type="auto"/>
            <w:gridSpan w:val="3"/>
            <w:shd w:val="clear" w:color="auto" w:fill="auto"/>
            <w:tcMar>
              <w:top w:w="40" w:type="dxa"/>
              <w:left w:w="20" w:type="dxa"/>
              <w:bottom w:w="40" w:type="dxa"/>
              <w:right w:w="20" w:type="dxa"/>
            </w:tcMar>
            <w:vAlign w:val="bottom"/>
          </w:tcPr>
          <w:p w14:paraId="3693DB8B" w14:textId="77777777" w:rsidR="003734EC" w:rsidRDefault="000E364E">
            <w:pPr>
              <w:textAlignment w:val="bottom"/>
            </w:pPr>
            <w:hyperlink r:id="rId19" w:anchor="i6c27bf6d87914d46b62f482d6b4cd1f5_115"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3693DB8C" w14:textId="77777777" w:rsidR="003734EC" w:rsidRDefault="000E364E">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3693DB8D" w14:textId="77777777" w:rsidR="003734EC" w:rsidRDefault="000E364E">
            <w:pPr>
              <w:jc w:val="right"/>
              <w:textAlignment w:val="bottom"/>
            </w:pPr>
            <w:hyperlink r:id="rId20" w:anchor="i6c27bf6d87914d46b62f482d6b4cd1f5_115" w:history="1">
              <w:r>
                <w:rPr>
                  <w:rStyle w:val="a5"/>
                  <w:rFonts w:ascii="sans-serif" w:eastAsia="sans-serif" w:hAnsi="sans-serif" w:cs="sans-serif"/>
                  <w:sz w:val="20"/>
                  <w:szCs w:val="20"/>
                </w:rPr>
                <w:t>28</w:t>
              </w:r>
            </w:hyperlink>
          </w:p>
        </w:tc>
      </w:tr>
      <w:tr w:rsidR="003734EC" w14:paraId="3693DB92" w14:textId="77777777">
        <w:trPr>
          <w:trHeight w:val="60"/>
        </w:trPr>
        <w:tc>
          <w:tcPr>
            <w:tcW w:w="0" w:type="auto"/>
            <w:gridSpan w:val="3"/>
            <w:shd w:val="clear" w:color="auto" w:fill="auto"/>
            <w:tcMar>
              <w:left w:w="20" w:type="dxa"/>
              <w:right w:w="20" w:type="dxa"/>
            </w:tcMar>
            <w:vAlign w:val="bottom"/>
          </w:tcPr>
          <w:p w14:paraId="3693DB8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9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91" w14:textId="77777777" w:rsidR="003734EC" w:rsidRDefault="003734EC">
            <w:pPr>
              <w:rPr>
                <w:rFonts w:ascii="宋体"/>
              </w:rPr>
            </w:pPr>
          </w:p>
        </w:tc>
      </w:tr>
      <w:tr w:rsidR="003734EC" w14:paraId="3693DB96" w14:textId="77777777">
        <w:tc>
          <w:tcPr>
            <w:tcW w:w="0" w:type="auto"/>
            <w:gridSpan w:val="3"/>
            <w:shd w:val="clear" w:color="auto" w:fill="auto"/>
            <w:tcMar>
              <w:top w:w="40" w:type="dxa"/>
              <w:left w:w="20" w:type="dxa"/>
              <w:bottom w:w="40" w:type="dxa"/>
              <w:right w:w="20" w:type="dxa"/>
            </w:tcMar>
            <w:vAlign w:val="bottom"/>
          </w:tcPr>
          <w:p w14:paraId="3693DB93"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94" w14:textId="77777777" w:rsidR="003734EC" w:rsidRDefault="000E364E">
            <w:pPr>
              <w:jc w:val="center"/>
              <w:textAlignment w:val="bottom"/>
            </w:pPr>
            <w:hyperlink r:id="rId21" w:anchor="i6c27bf6d87914d46b62f482d6b4cd1f5_118"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3693DB9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B9A" w14:textId="77777777">
        <w:trPr>
          <w:trHeight w:val="60"/>
        </w:trPr>
        <w:tc>
          <w:tcPr>
            <w:tcW w:w="0" w:type="auto"/>
            <w:gridSpan w:val="3"/>
            <w:shd w:val="clear" w:color="auto" w:fill="auto"/>
            <w:tcMar>
              <w:left w:w="20" w:type="dxa"/>
              <w:right w:w="20" w:type="dxa"/>
            </w:tcMar>
            <w:vAlign w:val="bottom"/>
          </w:tcPr>
          <w:p w14:paraId="3693DB9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9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99" w14:textId="77777777" w:rsidR="003734EC" w:rsidRDefault="003734EC">
            <w:pPr>
              <w:rPr>
                <w:rFonts w:ascii="宋体"/>
              </w:rPr>
            </w:pPr>
          </w:p>
        </w:tc>
      </w:tr>
      <w:tr w:rsidR="003734EC" w14:paraId="3693DB9E" w14:textId="77777777">
        <w:tc>
          <w:tcPr>
            <w:tcW w:w="0" w:type="auto"/>
            <w:gridSpan w:val="3"/>
            <w:shd w:val="clear" w:color="auto" w:fill="auto"/>
            <w:tcMar>
              <w:top w:w="40" w:type="dxa"/>
              <w:left w:w="20" w:type="dxa"/>
              <w:bottom w:w="40" w:type="dxa"/>
              <w:right w:w="20" w:type="dxa"/>
            </w:tcMar>
            <w:vAlign w:val="bottom"/>
          </w:tcPr>
          <w:p w14:paraId="3693DB9B" w14:textId="77777777" w:rsidR="003734EC" w:rsidRDefault="000E364E">
            <w:pPr>
              <w:textAlignment w:val="bottom"/>
            </w:pPr>
            <w:hyperlink r:id="rId22" w:anchor="i6c27bf6d87914d46b62f482d6b4cd1f5_121"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3693DB9C" w14:textId="77777777" w:rsidR="003734EC" w:rsidRDefault="000E364E">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3693DB9D" w14:textId="77777777" w:rsidR="003734EC" w:rsidRDefault="000E364E">
            <w:pPr>
              <w:jc w:val="right"/>
              <w:textAlignment w:val="bottom"/>
            </w:pPr>
            <w:hyperlink r:id="rId23" w:anchor="i6c27bf6d87914d46b62f482d6b4cd1f5_121" w:history="1">
              <w:r>
                <w:rPr>
                  <w:rStyle w:val="a5"/>
                  <w:rFonts w:ascii="sans-serif" w:eastAsia="sans-serif" w:hAnsi="sans-serif" w:cs="sans-serif"/>
                  <w:sz w:val="20"/>
                  <w:szCs w:val="20"/>
                </w:rPr>
                <w:t>29</w:t>
              </w:r>
            </w:hyperlink>
          </w:p>
        </w:tc>
      </w:tr>
      <w:tr w:rsidR="003734EC" w14:paraId="3693DBA2" w14:textId="77777777">
        <w:trPr>
          <w:trHeight w:val="60"/>
        </w:trPr>
        <w:tc>
          <w:tcPr>
            <w:tcW w:w="0" w:type="auto"/>
            <w:gridSpan w:val="3"/>
            <w:shd w:val="clear" w:color="auto" w:fill="auto"/>
            <w:tcMar>
              <w:left w:w="20" w:type="dxa"/>
              <w:right w:w="20" w:type="dxa"/>
            </w:tcMar>
            <w:vAlign w:val="bottom"/>
          </w:tcPr>
          <w:p w14:paraId="3693DB9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A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A1" w14:textId="77777777" w:rsidR="003734EC" w:rsidRDefault="003734EC">
            <w:pPr>
              <w:rPr>
                <w:rFonts w:ascii="宋体"/>
              </w:rPr>
            </w:pPr>
          </w:p>
        </w:tc>
      </w:tr>
      <w:tr w:rsidR="003734EC" w14:paraId="3693DBA6" w14:textId="77777777">
        <w:tc>
          <w:tcPr>
            <w:tcW w:w="0" w:type="auto"/>
            <w:gridSpan w:val="3"/>
            <w:shd w:val="clear" w:color="auto" w:fill="auto"/>
            <w:tcMar>
              <w:top w:w="40" w:type="dxa"/>
              <w:left w:w="20" w:type="dxa"/>
              <w:bottom w:w="40" w:type="dxa"/>
              <w:right w:w="20" w:type="dxa"/>
            </w:tcMar>
            <w:vAlign w:val="bottom"/>
          </w:tcPr>
          <w:p w14:paraId="3693DBA3" w14:textId="77777777" w:rsidR="003734EC" w:rsidRDefault="000E364E">
            <w:pPr>
              <w:textAlignment w:val="bottom"/>
            </w:pPr>
            <w:hyperlink r:id="rId24" w:anchor="i6c27bf6d87914d46b62f482d6b4cd1f5_124"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3693DBA4" w14:textId="77777777" w:rsidR="003734EC" w:rsidRDefault="000E364E">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3693DBA5" w14:textId="77777777" w:rsidR="003734EC" w:rsidRDefault="000E364E">
            <w:pPr>
              <w:jc w:val="right"/>
              <w:textAlignment w:val="bottom"/>
            </w:pPr>
            <w:hyperlink r:id="rId25" w:anchor="i6c27bf6d87914d46b62f482d6b4cd1f5_124" w:history="1">
              <w:r>
                <w:rPr>
                  <w:rStyle w:val="a5"/>
                  <w:rFonts w:ascii="sans-serif" w:eastAsia="sans-serif" w:hAnsi="sans-serif" w:cs="sans-serif"/>
                  <w:sz w:val="20"/>
                  <w:szCs w:val="20"/>
                </w:rPr>
                <w:t>29</w:t>
              </w:r>
            </w:hyperlink>
          </w:p>
        </w:tc>
      </w:tr>
      <w:tr w:rsidR="003734EC" w14:paraId="3693DBAA" w14:textId="77777777">
        <w:trPr>
          <w:trHeight w:val="60"/>
        </w:trPr>
        <w:tc>
          <w:tcPr>
            <w:tcW w:w="0" w:type="auto"/>
            <w:gridSpan w:val="3"/>
            <w:shd w:val="clear" w:color="auto" w:fill="auto"/>
            <w:tcMar>
              <w:left w:w="20" w:type="dxa"/>
              <w:right w:w="20" w:type="dxa"/>
            </w:tcMar>
            <w:vAlign w:val="bottom"/>
          </w:tcPr>
          <w:p w14:paraId="3693DBA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A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A9" w14:textId="77777777" w:rsidR="003734EC" w:rsidRDefault="003734EC">
            <w:pPr>
              <w:rPr>
                <w:rFonts w:ascii="宋体"/>
              </w:rPr>
            </w:pPr>
          </w:p>
        </w:tc>
      </w:tr>
      <w:tr w:rsidR="003734EC" w14:paraId="3693DBAE" w14:textId="77777777">
        <w:tc>
          <w:tcPr>
            <w:tcW w:w="0" w:type="auto"/>
            <w:gridSpan w:val="3"/>
            <w:shd w:val="clear" w:color="auto" w:fill="auto"/>
            <w:tcMar>
              <w:top w:w="40" w:type="dxa"/>
              <w:left w:w="20" w:type="dxa"/>
              <w:bottom w:w="40" w:type="dxa"/>
              <w:right w:w="20" w:type="dxa"/>
            </w:tcMar>
            <w:vAlign w:val="bottom"/>
          </w:tcPr>
          <w:p w14:paraId="3693DBAB" w14:textId="77777777" w:rsidR="003734EC" w:rsidRDefault="000E364E">
            <w:pPr>
              <w:textAlignment w:val="bottom"/>
            </w:pPr>
            <w:hyperlink r:id="rId26" w:anchor="i6c27bf6d87914d46b62f482d6b4cd1f5_127"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3693DBAC" w14:textId="77777777" w:rsidR="003734EC" w:rsidRDefault="000E364E">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3693DBAD" w14:textId="77777777" w:rsidR="003734EC" w:rsidRDefault="000E364E">
            <w:pPr>
              <w:jc w:val="right"/>
              <w:textAlignment w:val="bottom"/>
            </w:pPr>
            <w:hyperlink r:id="rId27" w:anchor="i6c27bf6d87914d46b62f482d6b4cd1f5_127" w:history="1">
              <w:r>
                <w:rPr>
                  <w:rStyle w:val="a5"/>
                  <w:rFonts w:ascii="sans-serif" w:eastAsia="sans-serif" w:hAnsi="sans-serif" w:cs="sans-serif"/>
                  <w:sz w:val="20"/>
                  <w:szCs w:val="20"/>
                </w:rPr>
                <w:t>33</w:t>
              </w:r>
            </w:hyperlink>
          </w:p>
        </w:tc>
      </w:tr>
      <w:tr w:rsidR="003734EC" w14:paraId="3693DBB2" w14:textId="77777777">
        <w:trPr>
          <w:trHeight w:val="60"/>
        </w:trPr>
        <w:tc>
          <w:tcPr>
            <w:tcW w:w="0" w:type="auto"/>
            <w:gridSpan w:val="3"/>
            <w:shd w:val="clear" w:color="auto" w:fill="auto"/>
            <w:tcMar>
              <w:left w:w="20" w:type="dxa"/>
              <w:right w:w="20" w:type="dxa"/>
            </w:tcMar>
            <w:vAlign w:val="bottom"/>
          </w:tcPr>
          <w:p w14:paraId="3693DBA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B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B1" w14:textId="77777777" w:rsidR="003734EC" w:rsidRDefault="003734EC">
            <w:pPr>
              <w:rPr>
                <w:rFonts w:ascii="宋体"/>
              </w:rPr>
            </w:pPr>
          </w:p>
        </w:tc>
      </w:tr>
      <w:tr w:rsidR="003734EC" w14:paraId="3693DBB6" w14:textId="77777777">
        <w:tc>
          <w:tcPr>
            <w:tcW w:w="0" w:type="auto"/>
            <w:gridSpan w:val="3"/>
            <w:shd w:val="clear" w:color="auto" w:fill="auto"/>
            <w:tcMar>
              <w:top w:w="40" w:type="dxa"/>
              <w:left w:w="20" w:type="dxa"/>
              <w:bottom w:w="40" w:type="dxa"/>
              <w:right w:w="20" w:type="dxa"/>
            </w:tcMar>
            <w:vAlign w:val="bottom"/>
          </w:tcPr>
          <w:p w14:paraId="3693DBB3" w14:textId="77777777" w:rsidR="003734EC" w:rsidRDefault="000E364E">
            <w:pPr>
              <w:textAlignment w:val="bottom"/>
            </w:pPr>
            <w:hyperlink r:id="rId28" w:anchor="i6c27bf6d87914d46b62f482d6b4cd1f5_130"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3693DBB4" w14:textId="77777777" w:rsidR="003734EC" w:rsidRDefault="000E364E">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3693DBB5" w14:textId="77777777" w:rsidR="003734EC" w:rsidRDefault="000E364E">
            <w:pPr>
              <w:jc w:val="right"/>
              <w:textAlignment w:val="bottom"/>
            </w:pPr>
            <w:hyperlink r:id="rId29" w:anchor="i6c27bf6d87914d46b62f482d6b4cd1f5_130" w:history="1">
              <w:r>
                <w:rPr>
                  <w:rStyle w:val="a5"/>
                  <w:rFonts w:ascii="sans-serif" w:eastAsia="sans-serif" w:hAnsi="sans-serif" w:cs="sans-serif"/>
                  <w:sz w:val="20"/>
                  <w:szCs w:val="20"/>
                </w:rPr>
                <w:t>34</w:t>
              </w:r>
            </w:hyperlink>
          </w:p>
        </w:tc>
      </w:tr>
      <w:tr w:rsidR="003734EC" w14:paraId="3693DBBA" w14:textId="77777777">
        <w:trPr>
          <w:trHeight w:val="60"/>
        </w:trPr>
        <w:tc>
          <w:tcPr>
            <w:tcW w:w="0" w:type="auto"/>
            <w:gridSpan w:val="3"/>
            <w:shd w:val="clear" w:color="auto" w:fill="auto"/>
            <w:tcMar>
              <w:left w:w="20" w:type="dxa"/>
              <w:right w:w="20" w:type="dxa"/>
            </w:tcMar>
            <w:vAlign w:val="bottom"/>
          </w:tcPr>
          <w:p w14:paraId="3693DBB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B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BB9" w14:textId="77777777" w:rsidR="003734EC" w:rsidRDefault="003734EC">
            <w:pPr>
              <w:rPr>
                <w:rFonts w:ascii="宋体"/>
              </w:rPr>
            </w:pPr>
          </w:p>
        </w:tc>
      </w:tr>
      <w:tr w:rsidR="003734EC" w14:paraId="3693DBBE" w14:textId="77777777">
        <w:tc>
          <w:tcPr>
            <w:tcW w:w="0" w:type="auto"/>
            <w:gridSpan w:val="3"/>
            <w:shd w:val="clear" w:color="auto" w:fill="auto"/>
            <w:tcMar>
              <w:top w:w="40" w:type="dxa"/>
              <w:left w:w="20" w:type="dxa"/>
              <w:bottom w:w="40" w:type="dxa"/>
              <w:right w:w="20" w:type="dxa"/>
            </w:tcMar>
            <w:vAlign w:val="bottom"/>
          </w:tcPr>
          <w:p w14:paraId="3693DBBB" w14:textId="77777777" w:rsidR="003734EC" w:rsidRDefault="000E364E">
            <w:pPr>
              <w:textAlignment w:val="bottom"/>
            </w:pPr>
            <w:hyperlink r:id="rId30" w:anchor="i6c27bf6d87914d46b62f482d6b4cd1f5_133"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3693DBBC"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BBD" w14:textId="77777777" w:rsidR="003734EC" w:rsidRDefault="000E364E">
            <w:pPr>
              <w:jc w:val="right"/>
              <w:textAlignment w:val="bottom"/>
            </w:pPr>
            <w:hyperlink r:id="rId31" w:anchor="i6c27bf6d87914d46b62f482d6b4cd1f5_133" w:history="1">
              <w:r>
                <w:rPr>
                  <w:rStyle w:val="a5"/>
                  <w:rFonts w:ascii="sans-serif" w:eastAsia="sans-serif" w:hAnsi="sans-serif" w:cs="sans-serif"/>
                  <w:sz w:val="20"/>
                  <w:szCs w:val="20"/>
                </w:rPr>
                <w:t>36</w:t>
              </w:r>
            </w:hyperlink>
          </w:p>
        </w:tc>
      </w:tr>
    </w:tbl>
    <w:p w14:paraId="3693DBBF" w14:textId="77777777" w:rsidR="003734EC" w:rsidRDefault="000E364E">
      <w:pPr>
        <w:spacing w:before="240" w:after="120"/>
        <w:jc w:val="both"/>
      </w:pPr>
      <w:r>
        <w:rPr>
          <w:rFonts w:ascii="sans-serif" w:eastAsia="sans-serif" w:hAnsi="sans-serif" w:cs="sans-serif"/>
          <w:b/>
          <w:bCs/>
          <w:color w:val="76B900"/>
          <w:sz w:val="22"/>
          <w:szCs w:val="22"/>
        </w:rPr>
        <w:t>WHERE YOU CAN FIND MORE INFORMATION</w:t>
      </w:r>
    </w:p>
    <w:p w14:paraId="3693DBC0" w14:textId="77777777" w:rsidR="003734EC" w:rsidRDefault="000E364E">
      <w:pPr>
        <w:spacing w:after="180"/>
        <w:jc w:val="both"/>
      </w:pPr>
      <w:r>
        <w:rPr>
          <w:rFonts w:ascii="sans-serif" w:eastAsia="sans-serif" w:hAnsi="sans-serif" w:cs="sans-serif"/>
          <w:color w:val="000000"/>
          <w:sz w:val="20"/>
          <w:szCs w:val="20"/>
        </w:rPr>
        <w:t xml:space="preserve">Investors and others should note that we announce material financial information to our investors using our investor relations website, press </w:t>
      </w:r>
      <w:r>
        <w:rPr>
          <w:rFonts w:ascii="sans-serif" w:eastAsia="sans-serif" w:hAnsi="sans-serif" w:cs="sans-serif"/>
          <w:color w:val="000000"/>
          <w:sz w:val="20"/>
          <w:szCs w:val="20"/>
        </w:rPr>
        <w:t>releases, SEC filings and public conference calls and webcasts. We also use the following social media channels as a means of disclosing information about the company, our products, our planned financial and other announcements and attendance at upcoming i</w:t>
      </w:r>
      <w:r>
        <w:rPr>
          <w:rFonts w:ascii="sans-serif" w:eastAsia="sans-serif" w:hAnsi="sans-serif" w:cs="sans-serif"/>
          <w:color w:val="000000"/>
          <w:sz w:val="20"/>
          <w:szCs w:val="20"/>
        </w:rPr>
        <w:t>nvestor and industry conferences, and other matters and for complying with our disclosure obligations under Regulation FD: </w:t>
      </w:r>
    </w:p>
    <w:p w14:paraId="3693DBC1" w14:textId="77777777" w:rsidR="003734EC" w:rsidRDefault="000E364E">
      <w:pPr>
        <w:spacing w:after="180"/>
        <w:ind w:firstLine="360"/>
        <w:jc w:val="both"/>
      </w:pPr>
      <w:r>
        <w:rPr>
          <w:rFonts w:ascii="sans-serif" w:eastAsia="sans-serif" w:hAnsi="sans-serif" w:cs="sans-serif"/>
          <w:color w:val="000000"/>
          <w:sz w:val="20"/>
          <w:szCs w:val="20"/>
        </w:rPr>
        <w:t>NVIDIA Twitter Account (https://twitter.com/nvidia)</w:t>
      </w:r>
    </w:p>
    <w:p w14:paraId="3693DBC2" w14:textId="77777777" w:rsidR="003734EC" w:rsidRDefault="000E364E">
      <w:pPr>
        <w:spacing w:after="180"/>
        <w:ind w:firstLine="360"/>
        <w:jc w:val="both"/>
      </w:pPr>
      <w:r>
        <w:rPr>
          <w:rFonts w:ascii="sans-serif" w:eastAsia="sans-serif" w:hAnsi="sans-serif" w:cs="sans-serif"/>
          <w:color w:val="000000"/>
          <w:sz w:val="20"/>
          <w:szCs w:val="20"/>
        </w:rPr>
        <w:t xml:space="preserve">NVIDIA Company Blog (http://blogs.nvidia.com) </w:t>
      </w:r>
    </w:p>
    <w:p w14:paraId="3693DBC3" w14:textId="77777777" w:rsidR="003734EC" w:rsidRDefault="000E364E">
      <w:pPr>
        <w:spacing w:after="180"/>
        <w:ind w:firstLine="360"/>
        <w:jc w:val="both"/>
      </w:pPr>
      <w:r>
        <w:rPr>
          <w:rFonts w:ascii="sans-serif" w:eastAsia="sans-serif" w:hAnsi="sans-serif" w:cs="sans-serif"/>
          <w:color w:val="000000"/>
          <w:sz w:val="20"/>
          <w:szCs w:val="20"/>
        </w:rPr>
        <w:t>NVIDIA Facebook Page (https://www</w:t>
      </w:r>
      <w:r>
        <w:rPr>
          <w:rFonts w:ascii="sans-serif" w:eastAsia="sans-serif" w:hAnsi="sans-serif" w:cs="sans-serif"/>
          <w:color w:val="000000"/>
          <w:sz w:val="20"/>
          <w:szCs w:val="20"/>
        </w:rPr>
        <w:t xml:space="preserve">.facebook.com/nvidia) </w:t>
      </w:r>
    </w:p>
    <w:p w14:paraId="3693DBC4" w14:textId="77777777" w:rsidR="003734EC" w:rsidRDefault="000E364E">
      <w:pPr>
        <w:spacing w:after="180"/>
        <w:ind w:firstLine="360"/>
        <w:jc w:val="both"/>
      </w:pPr>
      <w:r>
        <w:rPr>
          <w:rFonts w:ascii="sans-serif" w:eastAsia="sans-serif" w:hAnsi="sans-serif" w:cs="sans-serif"/>
          <w:color w:val="000000"/>
          <w:sz w:val="20"/>
          <w:szCs w:val="20"/>
        </w:rPr>
        <w:t>NVIDIA LinkedIn Page (http://www.linkedin.com/company/nvidia)</w:t>
      </w:r>
    </w:p>
    <w:p w14:paraId="3693DBC5" w14:textId="77777777" w:rsidR="003734EC" w:rsidRDefault="000E364E">
      <w:pPr>
        <w:spacing w:after="180"/>
        <w:ind w:firstLine="360"/>
        <w:jc w:val="both"/>
      </w:pPr>
      <w:r>
        <w:rPr>
          <w:rFonts w:ascii="sans-serif" w:eastAsia="sans-serif" w:hAnsi="sans-serif" w:cs="sans-serif"/>
          <w:color w:val="000000"/>
          <w:sz w:val="20"/>
          <w:szCs w:val="20"/>
        </w:rPr>
        <w:t>NVIDIA Instagram Page (https://www.instagram.com/nvidia)</w:t>
      </w:r>
    </w:p>
    <w:p w14:paraId="3693DBC6" w14:textId="77777777" w:rsidR="003734EC" w:rsidRDefault="000E364E">
      <w:pPr>
        <w:spacing w:after="180"/>
        <w:jc w:val="both"/>
      </w:pPr>
      <w:r>
        <w:rPr>
          <w:rFonts w:ascii="sans-serif" w:eastAsia="sans-serif" w:hAnsi="sans-serif" w:cs="sans-serif"/>
          <w:color w:val="000000"/>
          <w:sz w:val="20"/>
          <w:szCs w:val="20"/>
        </w:rPr>
        <w:t>In addition, investors and others can view NVIDIA videos on YouTube.</w:t>
      </w:r>
    </w:p>
    <w:p w14:paraId="3693DBC7" w14:textId="77777777" w:rsidR="003734EC" w:rsidRDefault="000E364E">
      <w:pPr>
        <w:spacing w:after="180"/>
        <w:jc w:val="both"/>
      </w:pPr>
      <w:r>
        <w:rPr>
          <w:rFonts w:ascii="sans-serif" w:eastAsia="sans-serif" w:hAnsi="sans-serif" w:cs="sans-serif"/>
          <w:color w:val="000000"/>
          <w:sz w:val="20"/>
          <w:szCs w:val="20"/>
        </w:rPr>
        <w:t xml:space="preserve">The information we post through these social </w:t>
      </w:r>
      <w:r>
        <w:rPr>
          <w:rFonts w:ascii="sans-serif" w:eastAsia="sans-serif" w:hAnsi="sans-serif" w:cs="sans-serif"/>
          <w:color w:val="000000"/>
          <w:sz w:val="20"/>
          <w:szCs w:val="20"/>
        </w:rPr>
        <w:t>media channels may be deemed material. Accordingly, investors should monitor these accounts and the blog, in addition to following our press releases, SEC filings and public conference calls and webcasts. This list may be updated from time to time. The inf</w:t>
      </w:r>
      <w:r>
        <w:rPr>
          <w:rFonts w:ascii="sans-serif" w:eastAsia="sans-serif" w:hAnsi="sans-serif" w:cs="sans-serif"/>
          <w:color w:val="000000"/>
          <w:sz w:val="20"/>
          <w:szCs w:val="20"/>
        </w:rPr>
        <w:t>ormation we post through these channels is not a part of this quarterly report on Form 10-Q. These channels may be updated from time to time on NVIDIA's investor relations website.</w:t>
      </w:r>
    </w:p>
    <w:p w14:paraId="3693DBC8" w14:textId="77777777" w:rsidR="003734EC" w:rsidRDefault="000E364E">
      <w:pPr>
        <w:spacing w:after="180"/>
        <w:jc w:val="center"/>
      </w:pPr>
      <w:r>
        <w:rPr>
          <w:rFonts w:ascii="sans-serif" w:eastAsia="sans-serif" w:hAnsi="sans-serif" w:cs="sans-serif"/>
          <w:color w:val="000000"/>
          <w:sz w:val="20"/>
          <w:szCs w:val="20"/>
        </w:rPr>
        <w:t>2</w:t>
      </w:r>
    </w:p>
    <w:p w14:paraId="3693DBC9" w14:textId="77777777" w:rsidR="003734EC" w:rsidRDefault="000E364E">
      <w:r>
        <w:pict w14:anchorId="3693FF4C">
          <v:rect id="_x0000_i1026" style="width:415.3pt;height:1.5pt" o:hralign="center" o:hrstd="t" o:hr="t" fillcolor="#a0a0a0" stroked="f"/>
        </w:pict>
      </w:r>
    </w:p>
    <w:p w14:paraId="3693DBCA" w14:textId="77777777" w:rsidR="003734EC" w:rsidRDefault="003734EC">
      <w:pPr>
        <w:spacing w:after="180"/>
        <w:jc w:val="both"/>
      </w:pPr>
    </w:p>
    <w:p w14:paraId="3693DBCB" w14:textId="77777777" w:rsidR="003734EC" w:rsidRDefault="000E364E">
      <w:pPr>
        <w:spacing w:before="240" w:after="120"/>
        <w:jc w:val="both"/>
      </w:pPr>
      <w:r>
        <w:rPr>
          <w:rFonts w:ascii="sans-serif" w:eastAsia="sans-serif" w:hAnsi="sans-serif" w:cs="sans-serif"/>
          <w:b/>
          <w:bCs/>
          <w:color w:val="76B900"/>
          <w:sz w:val="22"/>
          <w:szCs w:val="22"/>
        </w:rPr>
        <w:t>PART I. FINANCIAL INFORMATION</w:t>
      </w:r>
    </w:p>
    <w:p w14:paraId="3693DBCC" w14:textId="77777777" w:rsidR="003734EC" w:rsidRDefault="000E364E">
      <w:pPr>
        <w:spacing w:before="240" w:after="120"/>
        <w:jc w:val="both"/>
      </w:pPr>
      <w:r>
        <w:rPr>
          <w:rFonts w:ascii="sans-serif" w:eastAsia="sans-serif" w:hAnsi="sans-serif" w:cs="sans-serif"/>
          <w:b/>
          <w:bCs/>
          <w:color w:val="76B900"/>
          <w:sz w:val="22"/>
          <w:szCs w:val="22"/>
        </w:rPr>
        <w:t xml:space="preserve">ITEM 1.  FINANCIAL STATEMENTS </w:t>
      </w:r>
      <w:r>
        <w:rPr>
          <w:rFonts w:ascii="sans-serif" w:eastAsia="sans-serif" w:hAnsi="sans-serif" w:cs="sans-serif"/>
          <w:b/>
          <w:bCs/>
          <w:color w:val="76B900"/>
          <w:sz w:val="22"/>
          <w:szCs w:val="22"/>
        </w:rPr>
        <w:t>(UNAUDITED)</w:t>
      </w:r>
    </w:p>
    <w:p w14:paraId="3693DBCD" w14:textId="77777777" w:rsidR="003734EC" w:rsidRDefault="000E364E">
      <w:pPr>
        <w:jc w:val="center"/>
      </w:pPr>
      <w:r>
        <w:rPr>
          <w:rFonts w:ascii="sans-serif" w:eastAsia="sans-serif" w:hAnsi="sans-serif" w:cs="sans-serif"/>
          <w:b/>
          <w:bCs/>
          <w:color w:val="000000"/>
          <w:sz w:val="20"/>
          <w:szCs w:val="20"/>
        </w:rPr>
        <w:t>NVIDIA CORPORATION AND SUBSIDIARIES</w:t>
      </w:r>
    </w:p>
    <w:p w14:paraId="3693DBCE" w14:textId="77777777" w:rsidR="003734EC" w:rsidRDefault="000E364E">
      <w:pPr>
        <w:jc w:val="center"/>
      </w:pPr>
      <w:r>
        <w:rPr>
          <w:rFonts w:ascii="sans-serif" w:eastAsia="sans-serif" w:hAnsi="sans-serif" w:cs="sans-serif"/>
          <w:b/>
          <w:bCs/>
          <w:color w:val="000000"/>
          <w:sz w:val="20"/>
          <w:szCs w:val="20"/>
        </w:rPr>
        <w:t>CONDENSED CONSOLIDATED STATEMENTS OF INCOME</w:t>
      </w:r>
    </w:p>
    <w:p w14:paraId="3693DBCF" w14:textId="77777777" w:rsidR="003734EC" w:rsidRDefault="000E364E">
      <w:pPr>
        <w:jc w:val="center"/>
      </w:pPr>
      <w:r>
        <w:rPr>
          <w:rFonts w:ascii="sans-serif" w:eastAsia="sans-serif" w:hAnsi="sans-serif" w:cs="sans-serif"/>
          <w:b/>
          <w:bCs/>
          <w:color w:val="000000"/>
          <w:sz w:val="20"/>
          <w:szCs w:val="20"/>
        </w:rPr>
        <w:t>(In millions, except per share data)</w:t>
      </w:r>
    </w:p>
    <w:p w14:paraId="3693DBD0" w14:textId="77777777" w:rsidR="003734EC" w:rsidRDefault="000E364E">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5695"/>
        <w:gridCol w:w="83"/>
        <w:gridCol w:w="137"/>
        <w:gridCol w:w="819"/>
        <w:gridCol w:w="81"/>
        <w:gridCol w:w="36"/>
        <w:gridCol w:w="36"/>
        <w:gridCol w:w="36"/>
        <w:gridCol w:w="137"/>
        <w:gridCol w:w="791"/>
        <w:gridCol w:w="81"/>
        <w:gridCol w:w="36"/>
        <w:gridCol w:w="36"/>
        <w:gridCol w:w="36"/>
        <w:gridCol w:w="36"/>
        <w:gridCol w:w="36"/>
        <w:gridCol w:w="36"/>
        <w:gridCol w:w="36"/>
        <w:gridCol w:w="36"/>
        <w:gridCol w:w="36"/>
        <w:gridCol w:w="36"/>
      </w:tblGrid>
      <w:tr w:rsidR="003734EC" w14:paraId="3693DBE1" w14:textId="77777777">
        <w:trPr>
          <w:gridAfter w:val="6"/>
        </w:trPr>
        <w:tc>
          <w:tcPr>
            <w:tcW w:w="50" w:type="pct"/>
            <w:shd w:val="clear" w:color="auto" w:fill="auto"/>
            <w:vAlign w:val="center"/>
          </w:tcPr>
          <w:p w14:paraId="3693DBD1" w14:textId="77777777" w:rsidR="003734EC" w:rsidRDefault="003734EC">
            <w:pPr>
              <w:rPr>
                <w:rFonts w:ascii="宋体"/>
              </w:rPr>
            </w:pPr>
          </w:p>
        </w:tc>
        <w:tc>
          <w:tcPr>
            <w:tcW w:w="3591" w:type="pct"/>
            <w:shd w:val="clear" w:color="auto" w:fill="auto"/>
            <w:vAlign w:val="center"/>
          </w:tcPr>
          <w:p w14:paraId="3693DBD2" w14:textId="77777777" w:rsidR="003734EC" w:rsidRDefault="003734EC">
            <w:pPr>
              <w:rPr>
                <w:rFonts w:ascii="宋体"/>
              </w:rPr>
            </w:pPr>
          </w:p>
        </w:tc>
        <w:tc>
          <w:tcPr>
            <w:tcW w:w="50" w:type="pct"/>
            <w:shd w:val="clear" w:color="auto" w:fill="auto"/>
            <w:vAlign w:val="center"/>
          </w:tcPr>
          <w:p w14:paraId="3693DBD3" w14:textId="77777777" w:rsidR="003734EC" w:rsidRDefault="003734EC">
            <w:pPr>
              <w:rPr>
                <w:rFonts w:ascii="宋体"/>
              </w:rPr>
            </w:pPr>
          </w:p>
        </w:tc>
        <w:tc>
          <w:tcPr>
            <w:tcW w:w="50" w:type="pct"/>
            <w:shd w:val="clear" w:color="auto" w:fill="auto"/>
            <w:vAlign w:val="center"/>
          </w:tcPr>
          <w:p w14:paraId="3693DBD4" w14:textId="77777777" w:rsidR="003734EC" w:rsidRDefault="003734EC">
            <w:pPr>
              <w:rPr>
                <w:rFonts w:ascii="宋体"/>
              </w:rPr>
            </w:pPr>
          </w:p>
        </w:tc>
        <w:tc>
          <w:tcPr>
            <w:tcW w:w="535" w:type="pct"/>
            <w:shd w:val="clear" w:color="auto" w:fill="auto"/>
            <w:vAlign w:val="center"/>
          </w:tcPr>
          <w:p w14:paraId="3693DBD5" w14:textId="77777777" w:rsidR="003734EC" w:rsidRDefault="003734EC">
            <w:pPr>
              <w:rPr>
                <w:rFonts w:ascii="宋体"/>
              </w:rPr>
            </w:pPr>
          </w:p>
        </w:tc>
        <w:tc>
          <w:tcPr>
            <w:tcW w:w="50" w:type="pct"/>
            <w:shd w:val="clear" w:color="auto" w:fill="auto"/>
            <w:vAlign w:val="center"/>
          </w:tcPr>
          <w:p w14:paraId="3693DBD6" w14:textId="77777777" w:rsidR="003734EC" w:rsidRDefault="003734EC">
            <w:pPr>
              <w:rPr>
                <w:rFonts w:ascii="宋体"/>
              </w:rPr>
            </w:pPr>
          </w:p>
        </w:tc>
        <w:tc>
          <w:tcPr>
            <w:tcW w:w="5" w:type="pct"/>
            <w:shd w:val="clear" w:color="auto" w:fill="auto"/>
            <w:vAlign w:val="center"/>
          </w:tcPr>
          <w:p w14:paraId="3693DBD7" w14:textId="77777777" w:rsidR="003734EC" w:rsidRDefault="003734EC">
            <w:pPr>
              <w:rPr>
                <w:rFonts w:ascii="宋体"/>
              </w:rPr>
            </w:pPr>
          </w:p>
        </w:tc>
        <w:tc>
          <w:tcPr>
            <w:tcW w:w="26" w:type="pct"/>
            <w:shd w:val="clear" w:color="auto" w:fill="auto"/>
            <w:vAlign w:val="center"/>
          </w:tcPr>
          <w:p w14:paraId="3693DBD8" w14:textId="77777777" w:rsidR="003734EC" w:rsidRDefault="003734EC">
            <w:pPr>
              <w:rPr>
                <w:rFonts w:ascii="宋体"/>
              </w:rPr>
            </w:pPr>
          </w:p>
        </w:tc>
        <w:tc>
          <w:tcPr>
            <w:tcW w:w="5" w:type="pct"/>
            <w:shd w:val="clear" w:color="auto" w:fill="auto"/>
            <w:vAlign w:val="center"/>
          </w:tcPr>
          <w:p w14:paraId="3693DBD9" w14:textId="77777777" w:rsidR="003734EC" w:rsidRDefault="003734EC">
            <w:pPr>
              <w:rPr>
                <w:rFonts w:ascii="宋体"/>
              </w:rPr>
            </w:pPr>
          </w:p>
        </w:tc>
        <w:tc>
          <w:tcPr>
            <w:tcW w:w="50" w:type="pct"/>
            <w:shd w:val="clear" w:color="auto" w:fill="auto"/>
            <w:vAlign w:val="center"/>
          </w:tcPr>
          <w:p w14:paraId="3693DBDA" w14:textId="77777777" w:rsidR="003734EC" w:rsidRDefault="003734EC">
            <w:pPr>
              <w:rPr>
                <w:rFonts w:ascii="宋体"/>
              </w:rPr>
            </w:pPr>
          </w:p>
        </w:tc>
        <w:tc>
          <w:tcPr>
            <w:tcW w:w="536" w:type="pct"/>
            <w:shd w:val="clear" w:color="auto" w:fill="auto"/>
            <w:vAlign w:val="center"/>
          </w:tcPr>
          <w:p w14:paraId="3693DBDB" w14:textId="77777777" w:rsidR="003734EC" w:rsidRDefault="003734EC">
            <w:pPr>
              <w:rPr>
                <w:rFonts w:ascii="宋体"/>
              </w:rPr>
            </w:pPr>
          </w:p>
        </w:tc>
        <w:tc>
          <w:tcPr>
            <w:tcW w:w="50" w:type="pct"/>
            <w:shd w:val="clear" w:color="auto" w:fill="auto"/>
            <w:vAlign w:val="center"/>
          </w:tcPr>
          <w:p w14:paraId="3693DBDC" w14:textId="77777777" w:rsidR="003734EC" w:rsidRDefault="003734EC">
            <w:pPr>
              <w:rPr>
                <w:rFonts w:ascii="宋体"/>
              </w:rPr>
            </w:pPr>
          </w:p>
        </w:tc>
        <w:tc>
          <w:tcPr>
            <w:tcW w:w="0" w:type="auto"/>
            <w:shd w:val="clear" w:color="auto" w:fill="auto"/>
            <w:vAlign w:val="center"/>
          </w:tcPr>
          <w:p w14:paraId="3693DBDD" w14:textId="77777777" w:rsidR="003734EC" w:rsidRDefault="003734EC">
            <w:pPr>
              <w:rPr>
                <w:rFonts w:ascii="宋体"/>
                <w:vanish/>
              </w:rPr>
            </w:pPr>
          </w:p>
        </w:tc>
        <w:tc>
          <w:tcPr>
            <w:tcW w:w="0" w:type="auto"/>
            <w:shd w:val="clear" w:color="auto" w:fill="auto"/>
            <w:vAlign w:val="center"/>
          </w:tcPr>
          <w:p w14:paraId="3693DBDE" w14:textId="77777777" w:rsidR="003734EC" w:rsidRDefault="003734EC">
            <w:pPr>
              <w:rPr>
                <w:rFonts w:ascii="宋体"/>
                <w:vanish/>
              </w:rPr>
            </w:pPr>
          </w:p>
        </w:tc>
        <w:tc>
          <w:tcPr>
            <w:tcW w:w="0" w:type="auto"/>
            <w:shd w:val="clear" w:color="auto" w:fill="auto"/>
            <w:vAlign w:val="center"/>
          </w:tcPr>
          <w:p w14:paraId="3693DBDF" w14:textId="77777777" w:rsidR="003734EC" w:rsidRDefault="003734EC">
            <w:pPr>
              <w:rPr>
                <w:rFonts w:ascii="宋体"/>
                <w:vanish/>
              </w:rPr>
            </w:pPr>
          </w:p>
        </w:tc>
        <w:tc>
          <w:tcPr>
            <w:tcW w:w="0" w:type="auto"/>
            <w:shd w:val="clear" w:color="auto" w:fill="auto"/>
            <w:vAlign w:val="center"/>
          </w:tcPr>
          <w:p w14:paraId="3693DBE0" w14:textId="77777777" w:rsidR="003734EC" w:rsidRDefault="003734EC">
            <w:pPr>
              <w:rPr>
                <w:rFonts w:ascii="宋体"/>
                <w:vanish/>
              </w:rPr>
            </w:pPr>
          </w:p>
        </w:tc>
      </w:tr>
      <w:tr w:rsidR="003734EC" w14:paraId="3693DBEA" w14:textId="77777777">
        <w:tc>
          <w:tcPr>
            <w:tcW w:w="0" w:type="auto"/>
            <w:gridSpan w:val="3"/>
            <w:shd w:val="clear" w:color="auto" w:fill="auto"/>
            <w:tcMar>
              <w:top w:w="40" w:type="dxa"/>
              <w:left w:w="20" w:type="dxa"/>
              <w:bottom w:w="40" w:type="dxa"/>
              <w:right w:w="20" w:type="dxa"/>
            </w:tcMar>
            <w:vAlign w:val="bottom"/>
          </w:tcPr>
          <w:p w14:paraId="3693DBE2"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DBE3"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DBE4" w14:textId="77777777" w:rsidR="003734EC" w:rsidRDefault="003734EC">
            <w:pPr>
              <w:rPr>
                <w:rFonts w:ascii="宋体"/>
                <w:vanish/>
              </w:rPr>
            </w:pPr>
          </w:p>
        </w:tc>
        <w:tc>
          <w:tcPr>
            <w:tcW w:w="0" w:type="auto"/>
            <w:shd w:val="clear" w:color="auto" w:fill="auto"/>
            <w:vAlign w:val="center"/>
          </w:tcPr>
          <w:p w14:paraId="3693DBE5" w14:textId="77777777" w:rsidR="003734EC" w:rsidRDefault="003734EC">
            <w:pPr>
              <w:rPr>
                <w:rFonts w:ascii="宋体"/>
                <w:vanish/>
              </w:rPr>
            </w:pPr>
          </w:p>
        </w:tc>
        <w:tc>
          <w:tcPr>
            <w:tcW w:w="0" w:type="auto"/>
            <w:shd w:val="clear" w:color="auto" w:fill="auto"/>
            <w:vAlign w:val="center"/>
          </w:tcPr>
          <w:p w14:paraId="3693DBE6" w14:textId="77777777" w:rsidR="003734EC" w:rsidRDefault="003734EC">
            <w:pPr>
              <w:rPr>
                <w:rFonts w:ascii="宋体"/>
                <w:vanish/>
              </w:rPr>
            </w:pPr>
          </w:p>
        </w:tc>
        <w:tc>
          <w:tcPr>
            <w:tcW w:w="0" w:type="auto"/>
            <w:shd w:val="clear" w:color="auto" w:fill="auto"/>
            <w:vAlign w:val="center"/>
          </w:tcPr>
          <w:p w14:paraId="3693DBE7" w14:textId="77777777" w:rsidR="003734EC" w:rsidRDefault="003734EC">
            <w:pPr>
              <w:rPr>
                <w:rFonts w:ascii="宋体"/>
                <w:vanish/>
              </w:rPr>
            </w:pPr>
          </w:p>
        </w:tc>
        <w:tc>
          <w:tcPr>
            <w:tcW w:w="0" w:type="auto"/>
            <w:gridSpan w:val="3"/>
            <w:shd w:val="clear" w:color="auto" w:fill="auto"/>
            <w:vAlign w:val="center"/>
          </w:tcPr>
          <w:p w14:paraId="3693DBE8" w14:textId="77777777" w:rsidR="003734EC" w:rsidRDefault="003734EC">
            <w:pPr>
              <w:rPr>
                <w:rFonts w:ascii="宋体"/>
                <w:vanish/>
              </w:rPr>
            </w:pPr>
          </w:p>
        </w:tc>
        <w:tc>
          <w:tcPr>
            <w:tcW w:w="0" w:type="auto"/>
            <w:gridSpan w:val="3"/>
            <w:shd w:val="clear" w:color="auto" w:fill="auto"/>
            <w:vAlign w:val="center"/>
          </w:tcPr>
          <w:p w14:paraId="3693DBE9" w14:textId="77777777" w:rsidR="003734EC" w:rsidRDefault="003734EC">
            <w:pPr>
              <w:rPr>
                <w:rFonts w:ascii="宋体"/>
                <w:vanish/>
              </w:rPr>
            </w:pPr>
          </w:p>
        </w:tc>
      </w:tr>
      <w:tr w:rsidR="003734EC" w14:paraId="3693DBF9" w14:textId="77777777">
        <w:tc>
          <w:tcPr>
            <w:tcW w:w="0" w:type="auto"/>
            <w:gridSpan w:val="3"/>
            <w:shd w:val="clear" w:color="auto" w:fill="auto"/>
            <w:tcMar>
              <w:top w:w="40" w:type="dxa"/>
              <w:left w:w="20" w:type="dxa"/>
              <w:bottom w:w="40" w:type="dxa"/>
              <w:right w:w="20" w:type="dxa"/>
            </w:tcMar>
            <w:vAlign w:val="bottom"/>
          </w:tcPr>
          <w:p w14:paraId="3693DBE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DBEC"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tcBorders>
              <w:top w:val="single" w:sz="8" w:space="0" w:color="000000"/>
            </w:tcBorders>
            <w:shd w:val="clear" w:color="auto" w:fill="auto"/>
            <w:tcMar>
              <w:left w:w="20" w:type="dxa"/>
              <w:right w:w="20" w:type="dxa"/>
            </w:tcMar>
            <w:vAlign w:val="bottom"/>
          </w:tcPr>
          <w:p w14:paraId="3693DBED"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DBEE" w14:textId="77777777" w:rsidR="003734EC" w:rsidRDefault="000E364E">
            <w:pPr>
              <w:jc w:val="center"/>
              <w:textAlignment w:val="bottom"/>
            </w:pPr>
            <w:r>
              <w:rPr>
                <w:rFonts w:ascii="sans-serif" w:eastAsia="sans-serif" w:hAnsi="sans-serif" w:cs="sans-serif"/>
                <w:b/>
                <w:bCs/>
                <w:color w:val="000000"/>
                <w:sz w:val="20"/>
                <w:szCs w:val="20"/>
              </w:rPr>
              <w:t>April 28,</w:t>
            </w:r>
          </w:p>
        </w:tc>
        <w:tc>
          <w:tcPr>
            <w:tcW w:w="0" w:type="auto"/>
            <w:shd w:val="clear" w:color="auto" w:fill="auto"/>
            <w:vAlign w:val="center"/>
          </w:tcPr>
          <w:p w14:paraId="3693DBEF" w14:textId="77777777" w:rsidR="003734EC" w:rsidRDefault="003734EC">
            <w:pPr>
              <w:rPr>
                <w:rFonts w:ascii="宋体"/>
                <w:vanish/>
              </w:rPr>
            </w:pPr>
          </w:p>
        </w:tc>
        <w:tc>
          <w:tcPr>
            <w:tcW w:w="0" w:type="auto"/>
            <w:shd w:val="clear" w:color="auto" w:fill="auto"/>
            <w:vAlign w:val="center"/>
          </w:tcPr>
          <w:p w14:paraId="3693DBF0" w14:textId="77777777" w:rsidR="003734EC" w:rsidRDefault="003734EC">
            <w:pPr>
              <w:rPr>
                <w:rFonts w:ascii="宋体"/>
                <w:vanish/>
              </w:rPr>
            </w:pPr>
          </w:p>
        </w:tc>
        <w:tc>
          <w:tcPr>
            <w:tcW w:w="0" w:type="auto"/>
            <w:shd w:val="clear" w:color="auto" w:fill="auto"/>
            <w:vAlign w:val="center"/>
          </w:tcPr>
          <w:p w14:paraId="3693DBF1" w14:textId="77777777" w:rsidR="003734EC" w:rsidRDefault="003734EC">
            <w:pPr>
              <w:rPr>
                <w:rFonts w:ascii="宋体"/>
                <w:vanish/>
              </w:rPr>
            </w:pPr>
          </w:p>
        </w:tc>
        <w:tc>
          <w:tcPr>
            <w:tcW w:w="0" w:type="auto"/>
            <w:shd w:val="clear" w:color="auto" w:fill="auto"/>
            <w:vAlign w:val="center"/>
          </w:tcPr>
          <w:p w14:paraId="3693DBF2" w14:textId="77777777" w:rsidR="003734EC" w:rsidRDefault="003734EC">
            <w:pPr>
              <w:rPr>
                <w:rFonts w:ascii="宋体"/>
                <w:vanish/>
              </w:rPr>
            </w:pPr>
          </w:p>
        </w:tc>
        <w:tc>
          <w:tcPr>
            <w:tcW w:w="0" w:type="auto"/>
            <w:shd w:val="clear" w:color="auto" w:fill="auto"/>
            <w:vAlign w:val="center"/>
          </w:tcPr>
          <w:p w14:paraId="3693DBF3" w14:textId="77777777" w:rsidR="003734EC" w:rsidRDefault="003734EC">
            <w:pPr>
              <w:rPr>
                <w:rFonts w:ascii="宋体"/>
              </w:rPr>
            </w:pPr>
          </w:p>
        </w:tc>
        <w:tc>
          <w:tcPr>
            <w:tcW w:w="0" w:type="auto"/>
            <w:shd w:val="clear" w:color="auto" w:fill="auto"/>
            <w:vAlign w:val="center"/>
          </w:tcPr>
          <w:p w14:paraId="3693DBF4" w14:textId="77777777" w:rsidR="003734EC" w:rsidRDefault="003734EC">
            <w:pPr>
              <w:rPr>
                <w:rFonts w:ascii="宋体"/>
              </w:rPr>
            </w:pPr>
          </w:p>
        </w:tc>
        <w:tc>
          <w:tcPr>
            <w:tcW w:w="0" w:type="auto"/>
            <w:shd w:val="clear" w:color="auto" w:fill="auto"/>
            <w:vAlign w:val="center"/>
          </w:tcPr>
          <w:p w14:paraId="3693DBF5" w14:textId="77777777" w:rsidR="003734EC" w:rsidRDefault="003734EC">
            <w:pPr>
              <w:rPr>
                <w:rFonts w:ascii="宋体"/>
              </w:rPr>
            </w:pPr>
          </w:p>
        </w:tc>
        <w:tc>
          <w:tcPr>
            <w:tcW w:w="0" w:type="auto"/>
            <w:shd w:val="clear" w:color="auto" w:fill="auto"/>
            <w:vAlign w:val="center"/>
          </w:tcPr>
          <w:p w14:paraId="3693DBF6" w14:textId="77777777" w:rsidR="003734EC" w:rsidRDefault="003734EC">
            <w:pPr>
              <w:rPr>
                <w:rFonts w:ascii="宋体"/>
              </w:rPr>
            </w:pPr>
          </w:p>
        </w:tc>
        <w:tc>
          <w:tcPr>
            <w:tcW w:w="0" w:type="auto"/>
            <w:shd w:val="clear" w:color="auto" w:fill="auto"/>
            <w:vAlign w:val="center"/>
          </w:tcPr>
          <w:p w14:paraId="3693DBF7" w14:textId="77777777" w:rsidR="003734EC" w:rsidRDefault="003734EC">
            <w:pPr>
              <w:rPr>
                <w:rFonts w:ascii="宋体"/>
              </w:rPr>
            </w:pPr>
          </w:p>
        </w:tc>
        <w:tc>
          <w:tcPr>
            <w:tcW w:w="0" w:type="auto"/>
            <w:shd w:val="clear" w:color="auto" w:fill="auto"/>
            <w:vAlign w:val="center"/>
          </w:tcPr>
          <w:p w14:paraId="3693DBF8" w14:textId="77777777" w:rsidR="003734EC" w:rsidRDefault="003734EC">
            <w:pPr>
              <w:rPr>
                <w:rFonts w:ascii="宋体"/>
              </w:rPr>
            </w:pPr>
          </w:p>
        </w:tc>
      </w:tr>
      <w:tr w:rsidR="003734EC" w14:paraId="3693DC08" w14:textId="77777777">
        <w:tc>
          <w:tcPr>
            <w:tcW w:w="0" w:type="auto"/>
            <w:gridSpan w:val="3"/>
            <w:shd w:val="clear" w:color="auto" w:fill="auto"/>
            <w:tcMar>
              <w:left w:w="20" w:type="dxa"/>
              <w:right w:w="20" w:type="dxa"/>
            </w:tcMar>
            <w:vAlign w:val="bottom"/>
          </w:tcPr>
          <w:p w14:paraId="3693DBF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BFB"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DBF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BFD" w14:textId="77777777" w:rsidR="003734EC" w:rsidRDefault="000E364E">
            <w:pPr>
              <w:jc w:val="center"/>
              <w:textAlignment w:val="bottom"/>
            </w:pPr>
            <w:r>
              <w:rPr>
                <w:rFonts w:ascii="sans-serif" w:eastAsia="sans-serif" w:hAnsi="sans-serif" w:cs="sans-serif"/>
                <w:b/>
                <w:bCs/>
                <w:color w:val="000000"/>
                <w:sz w:val="20"/>
                <w:szCs w:val="20"/>
              </w:rPr>
              <w:t>2019</w:t>
            </w:r>
          </w:p>
        </w:tc>
        <w:tc>
          <w:tcPr>
            <w:tcW w:w="0" w:type="auto"/>
            <w:shd w:val="clear" w:color="auto" w:fill="auto"/>
            <w:vAlign w:val="center"/>
          </w:tcPr>
          <w:p w14:paraId="3693DBFE" w14:textId="77777777" w:rsidR="003734EC" w:rsidRDefault="003734EC">
            <w:pPr>
              <w:rPr>
                <w:rFonts w:ascii="宋体"/>
                <w:vanish/>
              </w:rPr>
            </w:pPr>
          </w:p>
        </w:tc>
        <w:tc>
          <w:tcPr>
            <w:tcW w:w="0" w:type="auto"/>
            <w:shd w:val="clear" w:color="auto" w:fill="auto"/>
            <w:vAlign w:val="center"/>
          </w:tcPr>
          <w:p w14:paraId="3693DBFF" w14:textId="77777777" w:rsidR="003734EC" w:rsidRDefault="003734EC">
            <w:pPr>
              <w:rPr>
                <w:rFonts w:ascii="宋体"/>
                <w:vanish/>
              </w:rPr>
            </w:pPr>
          </w:p>
        </w:tc>
        <w:tc>
          <w:tcPr>
            <w:tcW w:w="0" w:type="auto"/>
            <w:shd w:val="clear" w:color="auto" w:fill="auto"/>
            <w:vAlign w:val="center"/>
          </w:tcPr>
          <w:p w14:paraId="3693DC00" w14:textId="77777777" w:rsidR="003734EC" w:rsidRDefault="003734EC">
            <w:pPr>
              <w:rPr>
                <w:rFonts w:ascii="宋体"/>
                <w:vanish/>
              </w:rPr>
            </w:pPr>
          </w:p>
        </w:tc>
        <w:tc>
          <w:tcPr>
            <w:tcW w:w="0" w:type="auto"/>
            <w:shd w:val="clear" w:color="auto" w:fill="auto"/>
            <w:vAlign w:val="center"/>
          </w:tcPr>
          <w:p w14:paraId="3693DC01" w14:textId="77777777" w:rsidR="003734EC" w:rsidRDefault="003734EC">
            <w:pPr>
              <w:rPr>
                <w:rFonts w:ascii="宋体"/>
                <w:vanish/>
              </w:rPr>
            </w:pPr>
          </w:p>
        </w:tc>
        <w:tc>
          <w:tcPr>
            <w:tcW w:w="0" w:type="auto"/>
            <w:shd w:val="clear" w:color="auto" w:fill="auto"/>
            <w:vAlign w:val="center"/>
          </w:tcPr>
          <w:p w14:paraId="3693DC02" w14:textId="77777777" w:rsidR="003734EC" w:rsidRDefault="003734EC">
            <w:pPr>
              <w:rPr>
                <w:rFonts w:ascii="宋体"/>
              </w:rPr>
            </w:pPr>
          </w:p>
        </w:tc>
        <w:tc>
          <w:tcPr>
            <w:tcW w:w="0" w:type="auto"/>
            <w:shd w:val="clear" w:color="auto" w:fill="auto"/>
            <w:vAlign w:val="center"/>
          </w:tcPr>
          <w:p w14:paraId="3693DC03" w14:textId="77777777" w:rsidR="003734EC" w:rsidRDefault="003734EC">
            <w:pPr>
              <w:rPr>
                <w:rFonts w:ascii="宋体"/>
              </w:rPr>
            </w:pPr>
          </w:p>
        </w:tc>
        <w:tc>
          <w:tcPr>
            <w:tcW w:w="0" w:type="auto"/>
            <w:shd w:val="clear" w:color="auto" w:fill="auto"/>
            <w:vAlign w:val="center"/>
          </w:tcPr>
          <w:p w14:paraId="3693DC04" w14:textId="77777777" w:rsidR="003734EC" w:rsidRDefault="003734EC">
            <w:pPr>
              <w:rPr>
                <w:rFonts w:ascii="宋体"/>
              </w:rPr>
            </w:pPr>
          </w:p>
        </w:tc>
        <w:tc>
          <w:tcPr>
            <w:tcW w:w="0" w:type="auto"/>
            <w:shd w:val="clear" w:color="auto" w:fill="auto"/>
            <w:vAlign w:val="center"/>
          </w:tcPr>
          <w:p w14:paraId="3693DC05" w14:textId="77777777" w:rsidR="003734EC" w:rsidRDefault="003734EC">
            <w:pPr>
              <w:rPr>
                <w:rFonts w:ascii="宋体"/>
              </w:rPr>
            </w:pPr>
          </w:p>
        </w:tc>
        <w:tc>
          <w:tcPr>
            <w:tcW w:w="0" w:type="auto"/>
            <w:shd w:val="clear" w:color="auto" w:fill="auto"/>
            <w:vAlign w:val="center"/>
          </w:tcPr>
          <w:p w14:paraId="3693DC06" w14:textId="77777777" w:rsidR="003734EC" w:rsidRDefault="003734EC">
            <w:pPr>
              <w:rPr>
                <w:rFonts w:ascii="宋体"/>
              </w:rPr>
            </w:pPr>
          </w:p>
        </w:tc>
        <w:tc>
          <w:tcPr>
            <w:tcW w:w="0" w:type="auto"/>
            <w:shd w:val="clear" w:color="auto" w:fill="auto"/>
            <w:vAlign w:val="center"/>
          </w:tcPr>
          <w:p w14:paraId="3693DC07" w14:textId="77777777" w:rsidR="003734EC" w:rsidRDefault="003734EC">
            <w:pPr>
              <w:rPr>
                <w:rFonts w:ascii="宋体"/>
              </w:rPr>
            </w:pPr>
          </w:p>
        </w:tc>
      </w:tr>
      <w:tr w:rsidR="003734EC" w14:paraId="3693DC17" w14:textId="77777777">
        <w:trPr>
          <w:trHeight w:val="300"/>
        </w:trPr>
        <w:tc>
          <w:tcPr>
            <w:tcW w:w="0" w:type="auto"/>
            <w:gridSpan w:val="3"/>
            <w:shd w:val="clear" w:color="auto" w:fill="auto"/>
            <w:tcMar>
              <w:left w:w="20" w:type="dxa"/>
              <w:right w:w="20" w:type="dxa"/>
            </w:tcMar>
            <w:vAlign w:val="bottom"/>
          </w:tcPr>
          <w:p w14:paraId="3693DC09"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DC0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DC0B"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DC0C" w14:textId="77777777" w:rsidR="003734EC" w:rsidRDefault="003734EC">
            <w:pPr>
              <w:rPr>
                <w:rFonts w:ascii="宋体"/>
              </w:rPr>
            </w:pPr>
          </w:p>
        </w:tc>
        <w:tc>
          <w:tcPr>
            <w:tcW w:w="0" w:type="auto"/>
            <w:shd w:val="clear" w:color="auto" w:fill="auto"/>
            <w:vAlign w:val="center"/>
          </w:tcPr>
          <w:p w14:paraId="3693DC0D" w14:textId="77777777" w:rsidR="003734EC" w:rsidRDefault="003734EC">
            <w:pPr>
              <w:rPr>
                <w:rFonts w:ascii="宋体"/>
                <w:vanish/>
              </w:rPr>
            </w:pPr>
          </w:p>
        </w:tc>
        <w:tc>
          <w:tcPr>
            <w:tcW w:w="0" w:type="auto"/>
            <w:shd w:val="clear" w:color="auto" w:fill="auto"/>
            <w:vAlign w:val="center"/>
          </w:tcPr>
          <w:p w14:paraId="3693DC0E" w14:textId="77777777" w:rsidR="003734EC" w:rsidRDefault="003734EC">
            <w:pPr>
              <w:rPr>
                <w:rFonts w:ascii="宋体"/>
                <w:vanish/>
              </w:rPr>
            </w:pPr>
          </w:p>
        </w:tc>
        <w:tc>
          <w:tcPr>
            <w:tcW w:w="0" w:type="auto"/>
            <w:shd w:val="clear" w:color="auto" w:fill="auto"/>
            <w:vAlign w:val="center"/>
          </w:tcPr>
          <w:p w14:paraId="3693DC0F" w14:textId="77777777" w:rsidR="003734EC" w:rsidRDefault="003734EC">
            <w:pPr>
              <w:rPr>
                <w:rFonts w:ascii="宋体"/>
                <w:vanish/>
              </w:rPr>
            </w:pPr>
          </w:p>
        </w:tc>
        <w:tc>
          <w:tcPr>
            <w:tcW w:w="0" w:type="auto"/>
            <w:shd w:val="clear" w:color="auto" w:fill="auto"/>
            <w:vAlign w:val="center"/>
          </w:tcPr>
          <w:p w14:paraId="3693DC10" w14:textId="77777777" w:rsidR="003734EC" w:rsidRDefault="003734EC">
            <w:pPr>
              <w:rPr>
                <w:rFonts w:ascii="宋体"/>
                <w:vanish/>
              </w:rPr>
            </w:pPr>
          </w:p>
        </w:tc>
        <w:tc>
          <w:tcPr>
            <w:tcW w:w="0" w:type="auto"/>
            <w:shd w:val="clear" w:color="auto" w:fill="auto"/>
            <w:vAlign w:val="center"/>
          </w:tcPr>
          <w:p w14:paraId="3693DC11" w14:textId="77777777" w:rsidR="003734EC" w:rsidRDefault="003734EC">
            <w:pPr>
              <w:rPr>
                <w:rFonts w:ascii="宋体"/>
              </w:rPr>
            </w:pPr>
          </w:p>
        </w:tc>
        <w:tc>
          <w:tcPr>
            <w:tcW w:w="0" w:type="auto"/>
            <w:shd w:val="clear" w:color="auto" w:fill="auto"/>
            <w:vAlign w:val="center"/>
          </w:tcPr>
          <w:p w14:paraId="3693DC12" w14:textId="77777777" w:rsidR="003734EC" w:rsidRDefault="003734EC">
            <w:pPr>
              <w:rPr>
                <w:rFonts w:ascii="宋体"/>
              </w:rPr>
            </w:pPr>
          </w:p>
        </w:tc>
        <w:tc>
          <w:tcPr>
            <w:tcW w:w="0" w:type="auto"/>
            <w:shd w:val="clear" w:color="auto" w:fill="auto"/>
            <w:vAlign w:val="center"/>
          </w:tcPr>
          <w:p w14:paraId="3693DC13" w14:textId="77777777" w:rsidR="003734EC" w:rsidRDefault="003734EC">
            <w:pPr>
              <w:rPr>
                <w:rFonts w:ascii="宋体"/>
              </w:rPr>
            </w:pPr>
          </w:p>
        </w:tc>
        <w:tc>
          <w:tcPr>
            <w:tcW w:w="0" w:type="auto"/>
            <w:shd w:val="clear" w:color="auto" w:fill="auto"/>
            <w:vAlign w:val="center"/>
          </w:tcPr>
          <w:p w14:paraId="3693DC14" w14:textId="77777777" w:rsidR="003734EC" w:rsidRDefault="003734EC">
            <w:pPr>
              <w:rPr>
                <w:rFonts w:ascii="宋体"/>
              </w:rPr>
            </w:pPr>
          </w:p>
        </w:tc>
        <w:tc>
          <w:tcPr>
            <w:tcW w:w="0" w:type="auto"/>
            <w:shd w:val="clear" w:color="auto" w:fill="auto"/>
            <w:vAlign w:val="center"/>
          </w:tcPr>
          <w:p w14:paraId="3693DC15" w14:textId="77777777" w:rsidR="003734EC" w:rsidRDefault="003734EC">
            <w:pPr>
              <w:rPr>
                <w:rFonts w:ascii="宋体"/>
              </w:rPr>
            </w:pPr>
          </w:p>
        </w:tc>
        <w:tc>
          <w:tcPr>
            <w:tcW w:w="0" w:type="auto"/>
            <w:shd w:val="clear" w:color="auto" w:fill="auto"/>
            <w:vAlign w:val="center"/>
          </w:tcPr>
          <w:p w14:paraId="3693DC16" w14:textId="77777777" w:rsidR="003734EC" w:rsidRDefault="003734EC">
            <w:pPr>
              <w:rPr>
                <w:rFonts w:ascii="宋体"/>
              </w:rPr>
            </w:pPr>
          </w:p>
        </w:tc>
      </w:tr>
      <w:tr w:rsidR="003734EC" w14:paraId="3693DC2A" w14:textId="77777777">
        <w:tc>
          <w:tcPr>
            <w:tcW w:w="0" w:type="auto"/>
            <w:gridSpan w:val="3"/>
            <w:shd w:val="clear" w:color="auto" w:fill="E2EFD9"/>
            <w:tcMar>
              <w:top w:w="40" w:type="dxa"/>
              <w:left w:w="20" w:type="dxa"/>
              <w:bottom w:w="40" w:type="dxa"/>
              <w:right w:w="20" w:type="dxa"/>
            </w:tcMar>
            <w:vAlign w:val="bottom"/>
          </w:tcPr>
          <w:p w14:paraId="3693DC18" w14:textId="77777777" w:rsidR="003734EC" w:rsidRDefault="000E364E">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tcMar>
            <w:vAlign w:val="bottom"/>
          </w:tcPr>
          <w:p w14:paraId="3693DC1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C1A"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shd w:val="clear" w:color="auto" w:fill="E2EFD9"/>
            <w:tcMar>
              <w:top w:w="40" w:type="dxa"/>
              <w:bottom w:w="40" w:type="dxa"/>
              <w:right w:w="20" w:type="dxa"/>
            </w:tcMar>
            <w:vAlign w:val="bottom"/>
          </w:tcPr>
          <w:p w14:paraId="3693DC1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1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DC1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C1E"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shd w:val="clear" w:color="auto" w:fill="E2EFD9"/>
            <w:tcMar>
              <w:top w:w="40" w:type="dxa"/>
              <w:bottom w:w="40" w:type="dxa"/>
              <w:right w:w="20" w:type="dxa"/>
            </w:tcMar>
            <w:vAlign w:val="bottom"/>
          </w:tcPr>
          <w:p w14:paraId="3693DC1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20" w14:textId="77777777" w:rsidR="003734EC" w:rsidRDefault="003734EC">
            <w:pPr>
              <w:rPr>
                <w:rFonts w:ascii="宋体"/>
                <w:vanish/>
              </w:rPr>
            </w:pPr>
          </w:p>
        </w:tc>
        <w:tc>
          <w:tcPr>
            <w:tcW w:w="0" w:type="auto"/>
            <w:shd w:val="clear" w:color="auto" w:fill="auto"/>
            <w:vAlign w:val="center"/>
          </w:tcPr>
          <w:p w14:paraId="3693DC21" w14:textId="77777777" w:rsidR="003734EC" w:rsidRDefault="003734EC">
            <w:pPr>
              <w:rPr>
                <w:rFonts w:ascii="宋体"/>
                <w:vanish/>
              </w:rPr>
            </w:pPr>
          </w:p>
        </w:tc>
        <w:tc>
          <w:tcPr>
            <w:tcW w:w="0" w:type="auto"/>
            <w:shd w:val="clear" w:color="auto" w:fill="auto"/>
            <w:vAlign w:val="center"/>
          </w:tcPr>
          <w:p w14:paraId="3693DC22" w14:textId="77777777" w:rsidR="003734EC" w:rsidRDefault="003734EC">
            <w:pPr>
              <w:rPr>
                <w:rFonts w:ascii="宋体"/>
                <w:vanish/>
              </w:rPr>
            </w:pPr>
          </w:p>
        </w:tc>
        <w:tc>
          <w:tcPr>
            <w:tcW w:w="0" w:type="auto"/>
            <w:shd w:val="clear" w:color="auto" w:fill="auto"/>
            <w:vAlign w:val="center"/>
          </w:tcPr>
          <w:p w14:paraId="3693DC23" w14:textId="77777777" w:rsidR="003734EC" w:rsidRDefault="003734EC">
            <w:pPr>
              <w:rPr>
                <w:rFonts w:ascii="宋体"/>
                <w:vanish/>
              </w:rPr>
            </w:pPr>
          </w:p>
        </w:tc>
        <w:tc>
          <w:tcPr>
            <w:tcW w:w="0" w:type="auto"/>
            <w:shd w:val="clear" w:color="auto" w:fill="auto"/>
            <w:vAlign w:val="center"/>
          </w:tcPr>
          <w:p w14:paraId="3693DC24" w14:textId="77777777" w:rsidR="003734EC" w:rsidRDefault="003734EC">
            <w:pPr>
              <w:rPr>
                <w:rFonts w:ascii="宋体"/>
              </w:rPr>
            </w:pPr>
          </w:p>
        </w:tc>
        <w:tc>
          <w:tcPr>
            <w:tcW w:w="0" w:type="auto"/>
            <w:shd w:val="clear" w:color="auto" w:fill="auto"/>
            <w:vAlign w:val="center"/>
          </w:tcPr>
          <w:p w14:paraId="3693DC25" w14:textId="77777777" w:rsidR="003734EC" w:rsidRDefault="003734EC">
            <w:pPr>
              <w:rPr>
                <w:rFonts w:ascii="宋体"/>
              </w:rPr>
            </w:pPr>
          </w:p>
        </w:tc>
        <w:tc>
          <w:tcPr>
            <w:tcW w:w="0" w:type="auto"/>
            <w:shd w:val="clear" w:color="auto" w:fill="auto"/>
            <w:vAlign w:val="center"/>
          </w:tcPr>
          <w:p w14:paraId="3693DC26" w14:textId="77777777" w:rsidR="003734EC" w:rsidRDefault="003734EC">
            <w:pPr>
              <w:rPr>
                <w:rFonts w:ascii="宋体"/>
              </w:rPr>
            </w:pPr>
          </w:p>
        </w:tc>
        <w:tc>
          <w:tcPr>
            <w:tcW w:w="0" w:type="auto"/>
            <w:shd w:val="clear" w:color="auto" w:fill="auto"/>
            <w:vAlign w:val="center"/>
          </w:tcPr>
          <w:p w14:paraId="3693DC27" w14:textId="77777777" w:rsidR="003734EC" w:rsidRDefault="003734EC">
            <w:pPr>
              <w:rPr>
                <w:rFonts w:ascii="宋体"/>
              </w:rPr>
            </w:pPr>
          </w:p>
        </w:tc>
        <w:tc>
          <w:tcPr>
            <w:tcW w:w="0" w:type="auto"/>
            <w:shd w:val="clear" w:color="auto" w:fill="auto"/>
            <w:vAlign w:val="center"/>
          </w:tcPr>
          <w:p w14:paraId="3693DC28" w14:textId="77777777" w:rsidR="003734EC" w:rsidRDefault="003734EC">
            <w:pPr>
              <w:rPr>
                <w:rFonts w:ascii="宋体"/>
              </w:rPr>
            </w:pPr>
          </w:p>
        </w:tc>
        <w:tc>
          <w:tcPr>
            <w:tcW w:w="0" w:type="auto"/>
            <w:shd w:val="clear" w:color="auto" w:fill="auto"/>
            <w:vAlign w:val="center"/>
          </w:tcPr>
          <w:p w14:paraId="3693DC29" w14:textId="77777777" w:rsidR="003734EC" w:rsidRDefault="003734EC">
            <w:pPr>
              <w:rPr>
                <w:rFonts w:ascii="宋体"/>
              </w:rPr>
            </w:pPr>
          </w:p>
        </w:tc>
      </w:tr>
      <w:tr w:rsidR="003734EC" w14:paraId="3693DC3B" w14:textId="77777777">
        <w:tc>
          <w:tcPr>
            <w:tcW w:w="0" w:type="auto"/>
            <w:gridSpan w:val="3"/>
            <w:shd w:val="clear" w:color="auto" w:fill="FFFFFF"/>
            <w:tcMar>
              <w:top w:w="40" w:type="dxa"/>
              <w:left w:w="495" w:type="dxa"/>
              <w:bottom w:w="40" w:type="dxa"/>
              <w:right w:w="20" w:type="dxa"/>
            </w:tcMar>
            <w:vAlign w:val="bottom"/>
          </w:tcPr>
          <w:p w14:paraId="3693DC2B" w14:textId="77777777" w:rsidR="003734EC" w:rsidRDefault="000E364E">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3693DC2C" w14:textId="77777777" w:rsidR="003734EC" w:rsidRDefault="000E364E">
            <w:pPr>
              <w:jc w:val="right"/>
              <w:textAlignment w:val="bottom"/>
            </w:pPr>
            <w:r>
              <w:rPr>
                <w:rFonts w:ascii="sans-serif" w:eastAsia="sans-serif" w:hAnsi="sans-serif" w:cs="sans-serif"/>
                <w:color w:val="000000"/>
                <w:sz w:val="20"/>
                <w:szCs w:val="20"/>
              </w:rPr>
              <w:t>1,076 </w:t>
            </w:r>
          </w:p>
        </w:tc>
        <w:tc>
          <w:tcPr>
            <w:tcW w:w="0" w:type="auto"/>
            <w:shd w:val="clear" w:color="auto" w:fill="FFFFFF"/>
            <w:tcMar>
              <w:top w:w="40" w:type="dxa"/>
              <w:bottom w:w="40" w:type="dxa"/>
              <w:right w:w="20" w:type="dxa"/>
            </w:tcMar>
            <w:vAlign w:val="bottom"/>
          </w:tcPr>
          <w:p w14:paraId="3693DC2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2E"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C2F" w14:textId="77777777" w:rsidR="003734EC" w:rsidRDefault="000E364E">
            <w:pPr>
              <w:jc w:val="right"/>
              <w:textAlignment w:val="bottom"/>
            </w:pPr>
            <w:r>
              <w:rPr>
                <w:rFonts w:ascii="sans-serif" w:eastAsia="sans-serif" w:hAnsi="sans-serif" w:cs="sans-serif"/>
                <w:color w:val="000000"/>
                <w:sz w:val="20"/>
                <w:szCs w:val="20"/>
              </w:rPr>
              <w:t>924 </w:t>
            </w:r>
          </w:p>
        </w:tc>
        <w:tc>
          <w:tcPr>
            <w:tcW w:w="0" w:type="auto"/>
            <w:shd w:val="clear" w:color="auto" w:fill="FFFFFF"/>
            <w:tcMar>
              <w:top w:w="40" w:type="dxa"/>
              <w:bottom w:w="40" w:type="dxa"/>
              <w:right w:w="20" w:type="dxa"/>
            </w:tcMar>
            <w:vAlign w:val="bottom"/>
          </w:tcPr>
          <w:p w14:paraId="3693DC3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31" w14:textId="77777777" w:rsidR="003734EC" w:rsidRDefault="003734EC">
            <w:pPr>
              <w:rPr>
                <w:rFonts w:ascii="宋体"/>
                <w:vanish/>
              </w:rPr>
            </w:pPr>
          </w:p>
        </w:tc>
        <w:tc>
          <w:tcPr>
            <w:tcW w:w="0" w:type="auto"/>
            <w:shd w:val="clear" w:color="auto" w:fill="auto"/>
            <w:vAlign w:val="center"/>
          </w:tcPr>
          <w:p w14:paraId="3693DC32" w14:textId="77777777" w:rsidR="003734EC" w:rsidRDefault="003734EC">
            <w:pPr>
              <w:rPr>
                <w:rFonts w:ascii="宋体"/>
                <w:vanish/>
              </w:rPr>
            </w:pPr>
          </w:p>
        </w:tc>
        <w:tc>
          <w:tcPr>
            <w:tcW w:w="0" w:type="auto"/>
            <w:shd w:val="clear" w:color="auto" w:fill="auto"/>
            <w:vAlign w:val="center"/>
          </w:tcPr>
          <w:p w14:paraId="3693DC33" w14:textId="77777777" w:rsidR="003734EC" w:rsidRDefault="003734EC">
            <w:pPr>
              <w:rPr>
                <w:rFonts w:ascii="宋体"/>
                <w:vanish/>
              </w:rPr>
            </w:pPr>
          </w:p>
        </w:tc>
        <w:tc>
          <w:tcPr>
            <w:tcW w:w="0" w:type="auto"/>
            <w:shd w:val="clear" w:color="auto" w:fill="auto"/>
            <w:vAlign w:val="center"/>
          </w:tcPr>
          <w:p w14:paraId="3693DC34" w14:textId="77777777" w:rsidR="003734EC" w:rsidRDefault="003734EC">
            <w:pPr>
              <w:rPr>
                <w:rFonts w:ascii="宋体"/>
                <w:vanish/>
              </w:rPr>
            </w:pPr>
          </w:p>
        </w:tc>
        <w:tc>
          <w:tcPr>
            <w:tcW w:w="0" w:type="auto"/>
            <w:shd w:val="clear" w:color="auto" w:fill="auto"/>
            <w:vAlign w:val="center"/>
          </w:tcPr>
          <w:p w14:paraId="3693DC35" w14:textId="77777777" w:rsidR="003734EC" w:rsidRDefault="003734EC">
            <w:pPr>
              <w:rPr>
                <w:rFonts w:ascii="宋体"/>
              </w:rPr>
            </w:pPr>
          </w:p>
        </w:tc>
        <w:tc>
          <w:tcPr>
            <w:tcW w:w="0" w:type="auto"/>
            <w:shd w:val="clear" w:color="auto" w:fill="auto"/>
            <w:vAlign w:val="center"/>
          </w:tcPr>
          <w:p w14:paraId="3693DC36" w14:textId="77777777" w:rsidR="003734EC" w:rsidRDefault="003734EC">
            <w:pPr>
              <w:rPr>
                <w:rFonts w:ascii="宋体"/>
              </w:rPr>
            </w:pPr>
          </w:p>
        </w:tc>
        <w:tc>
          <w:tcPr>
            <w:tcW w:w="0" w:type="auto"/>
            <w:shd w:val="clear" w:color="auto" w:fill="auto"/>
            <w:vAlign w:val="center"/>
          </w:tcPr>
          <w:p w14:paraId="3693DC37" w14:textId="77777777" w:rsidR="003734EC" w:rsidRDefault="003734EC">
            <w:pPr>
              <w:rPr>
                <w:rFonts w:ascii="宋体"/>
              </w:rPr>
            </w:pPr>
          </w:p>
        </w:tc>
        <w:tc>
          <w:tcPr>
            <w:tcW w:w="0" w:type="auto"/>
            <w:shd w:val="clear" w:color="auto" w:fill="auto"/>
            <w:vAlign w:val="center"/>
          </w:tcPr>
          <w:p w14:paraId="3693DC38" w14:textId="77777777" w:rsidR="003734EC" w:rsidRDefault="003734EC">
            <w:pPr>
              <w:rPr>
                <w:rFonts w:ascii="宋体"/>
              </w:rPr>
            </w:pPr>
          </w:p>
        </w:tc>
        <w:tc>
          <w:tcPr>
            <w:tcW w:w="0" w:type="auto"/>
            <w:shd w:val="clear" w:color="auto" w:fill="auto"/>
            <w:vAlign w:val="center"/>
          </w:tcPr>
          <w:p w14:paraId="3693DC39" w14:textId="77777777" w:rsidR="003734EC" w:rsidRDefault="003734EC">
            <w:pPr>
              <w:rPr>
                <w:rFonts w:ascii="宋体"/>
              </w:rPr>
            </w:pPr>
          </w:p>
        </w:tc>
        <w:tc>
          <w:tcPr>
            <w:tcW w:w="0" w:type="auto"/>
            <w:shd w:val="clear" w:color="auto" w:fill="auto"/>
            <w:vAlign w:val="center"/>
          </w:tcPr>
          <w:p w14:paraId="3693DC3A" w14:textId="77777777" w:rsidR="003734EC" w:rsidRDefault="003734EC">
            <w:pPr>
              <w:rPr>
                <w:rFonts w:ascii="宋体"/>
              </w:rPr>
            </w:pPr>
          </w:p>
        </w:tc>
      </w:tr>
      <w:tr w:rsidR="003734EC" w14:paraId="3693DC4C" w14:textId="77777777">
        <w:tc>
          <w:tcPr>
            <w:tcW w:w="0" w:type="auto"/>
            <w:gridSpan w:val="3"/>
            <w:shd w:val="clear" w:color="auto" w:fill="E2EFD9"/>
            <w:tcMar>
              <w:top w:w="40" w:type="dxa"/>
              <w:left w:w="20" w:type="dxa"/>
              <w:bottom w:w="40" w:type="dxa"/>
              <w:right w:w="20" w:type="dxa"/>
            </w:tcMar>
            <w:vAlign w:val="bottom"/>
          </w:tcPr>
          <w:p w14:paraId="3693DC3C" w14:textId="77777777" w:rsidR="003734EC" w:rsidRDefault="000E364E">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3D" w14:textId="77777777" w:rsidR="003734EC" w:rsidRDefault="000E364E">
            <w:pPr>
              <w:jc w:val="right"/>
              <w:textAlignment w:val="bottom"/>
            </w:pPr>
            <w:r>
              <w:rPr>
                <w:rFonts w:ascii="sans-serif" w:eastAsia="sans-serif" w:hAnsi="sans-serif" w:cs="sans-serif"/>
                <w:color w:val="000000"/>
                <w:sz w:val="20"/>
                <w:szCs w:val="20"/>
              </w:rPr>
              <w:t>2,004 </w:t>
            </w:r>
          </w:p>
        </w:tc>
        <w:tc>
          <w:tcPr>
            <w:tcW w:w="0" w:type="auto"/>
            <w:tcBorders>
              <w:top w:val="single" w:sz="8" w:space="0" w:color="000000"/>
            </w:tcBorders>
            <w:shd w:val="clear" w:color="auto" w:fill="E2EFD9"/>
            <w:tcMar>
              <w:top w:w="40" w:type="dxa"/>
              <w:bottom w:w="40" w:type="dxa"/>
              <w:right w:w="20" w:type="dxa"/>
            </w:tcMar>
            <w:vAlign w:val="bottom"/>
          </w:tcPr>
          <w:p w14:paraId="3693DC3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3F"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40" w14:textId="77777777" w:rsidR="003734EC" w:rsidRDefault="000E364E">
            <w:pPr>
              <w:jc w:val="right"/>
              <w:textAlignment w:val="bottom"/>
            </w:pPr>
            <w:r>
              <w:rPr>
                <w:rFonts w:ascii="sans-serif" w:eastAsia="sans-serif" w:hAnsi="sans-serif" w:cs="sans-serif"/>
                <w:color w:val="000000"/>
                <w:sz w:val="20"/>
                <w:szCs w:val="20"/>
              </w:rPr>
              <w:t>1,296 </w:t>
            </w:r>
          </w:p>
        </w:tc>
        <w:tc>
          <w:tcPr>
            <w:tcW w:w="0" w:type="auto"/>
            <w:tcBorders>
              <w:top w:val="single" w:sz="8" w:space="0" w:color="000000"/>
            </w:tcBorders>
            <w:shd w:val="clear" w:color="auto" w:fill="E2EFD9"/>
            <w:tcMar>
              <w:top w:w="40" w:type="dxa"/>
              <w:bottom w:w="40" w:type="dxa"/>
              <w:right w:w="20" w:type="dxa"/>
            </w:tcMar>
            <w:vAlign w:val="bottom"/>
          </w:tcPr>
          <w:p w14:paraId="3693DC4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42" w14:textId="77777777" w:rsidR="003734EC" w:rsidRDefault="003734EC">
            <w:pPr>
              <w:rPr>
                <w:rFonts w:ascii="宋体"/>
                <w:vanish/>
              </w:rPr>
            </w:pPr>
          </w:p>
        </w:tc>
        <w:tc>
          <w:tcPr>
            <w:tcW w:w="0" w:type="auto"/>
            <w:shd w:val="clear" w:color="auto" w:fill="auto"/>
            <w:vAlign w:val="center"/>
          </w:tcPr>
          <w:p w14:paraId="3693DC43" w14:textId="77777777" w:rsidR="003734EC" w:rsidRDefault="003734EC">
            <w:pPr>
              <w:rPr>
                <w:rFonts w:ascii="宋体"/>
                <w:vanish/>
              </w:rPr>
            </w:pPr>
          </w:p>
        </w:tc>
        <w:tc>
          <w:tcPr>
            <w:tcW w:w="0" w:type="auto"/>
            <w:shd w:val="clear" w:color="auto" w:fill="auto"/>
            <w:vAlign w:val="center"/>
          </w:tcPr>
          <w:p w14:paraId="3693DC44" w14:textId="77777777" w:rsidR="003734EC" w:rsidRDefault="003734EC">
            <w:pPr>
              <w:rPr>
                <w:rFonts w:ascii="宋体"/>
                <w:vanish/>
              </w:rPr>
            </w:pPr>
          </w:p>
        </w:tc>
        <w:tc>
          <w:tcPr>
            <w:tcW w:w="0" w:type="auto"/>
            <w:shd w:val="clear" w:color="auto" w:fill="auto"/>
            <w:vAlign w:val="center"/>
          </w:tcPr>
          <w:p w14:paraId="3693DC45" w14:textId="77777777" w:rsidR="003734EC" w:rsidRDefault="003734EC">
            <w:pPr>
              <w:rPr>
                <w:rFonts w:ascii="宋体"/>
                <w:vanish/>
              </w:rPr>
            </w:pPr>
          </w:p>
        </w:tc>
        <w:tc>
          <w:tcPr>
            <w:tcW w:w="0" w:type="auto"/>
            <w:shd w:val="clear" w:color="auto" w:fill="auto"/>
            <w:vAlign w:val="center"/>
          </w:tcPr>
          <w:p w14:paraId="3693DC46" w14:textId="77777777" w:rsidR="003734EC" w:rsidRDefault="003734EC">
            <w:pPr>
              <w:rPr>
                <w:rFonts w:ascii="宋体"/>
              </w:rPr>
            </w:pPr>
          </w:p>
        </w:tc>
        <w:tc>
          <w:tcPr>
            <w:tcW w:w="0" w:type="auto"/>
            <w:shd w:val="clear" w:color="auto" w:fill="auto"/>
            <w:vAlign w:val="center"/>
          </w:tcPr>
          <w:p w14:paraId="3693DC47" w14:textId="77777777" w:rsidR="003734EC" w:rsidRDefault="003734EC">
            <w:pPr>
              <w:rPr>
                <w:rFonts w:ascii="宋体"/>
              </w:rPr>
            </w:pPr>
          </w:p>
        </w:tc>
        <w:tc>
          <w:tcPr>
            <w:tcW w:w="0" w:type="auto"/>
            <w:shd w:val="clear" w:color="auto" w:fill="auto"/>
            <w:vAlign w:val="center"/>
          </w:tcPr>
          <w:p w14:paraId="3693DC48" w14:textId="77777777" w:rsidR="003734EC" w:rsidRDefault="003734EC">
            <w:pPr>
              <w:rPr>
                <w:rFonts w:ascii="宋体"/>
              </w:rPr>
            </w:pPr>
          </w:p>
        </w:tc>
        <w:tc>
          <w:tcPr>
            <w:tcW w:w="0" w:type="auto"/>
            <w:shd w:val="clear" w:color="auto" w:fill="auto"/>
            <w:vAlign w:val="center"/>
          </w:tcPr>
          <w:p w14:paraId="3693DC49" w14:textId="77777777" w:rsidR="003734EC" w:rsidRDefault="003734EC">
            <w:pPr>
              <w:rPr>
                <w:rFonts w:ascii="宋体"/>
              </w:rPr>
            </w:pPr>
          </w:p>
        </w:tc>
        <w:tc>
          <w:tcPr>
            <w:tcW w:w="0" w:type="auto"/>
            <w:shd w:val="clear" w:color="auto" w:fill="auto"/>
            <w:vAlign w:val="center"/>
          </w:tcPr>
          <w:p w14:paraId="3693DC4A" w14:textId="77777777" w:rsidR="003734EC" w:rsidRDefault="003734EC">
            <w:pPr>
              <w:rPr>
                <w:rFonts w:ascii="宋体"/>
              </w:rPr>
            </w:pPr>
          </w:p>
        </w:tc>
        <w:tc>
          <w:tcPr>
            <w:tcW w:w="0" w:type="auto"/>
            <w:shd w:val="clear" w:color="auto" w:fill="auto"/>
            <w:vAlign w:val="center"/>
          </w:tcPr>
          <w:p w14:paraId="3693DC4B" w14:textId="77777777" w:rsidR="003734EC" w:rsidRDefault="003734EC">
            <w:pPr>
              <w:rPr>
                <w:rFonts w:ascii="宋体"/>
              </w:rPr>
            </w:pPr>
          </w:p>
        </w:tc>
      </w:tr>
      <w:tr w:rsidR="003734EC" w14:paraId="3693DC5D" w14:textId="77777777">
        <w:tc>
          <w:tcPr>
            <w:tcW w:w="0" w:type="auto"/>
            <w:gridSpan w:val="3"/>
            <w:shd w:val="clear" w:color="auto" w:fill="FFFFFF"/>
            <w:tcMar>
              <w:top w:w="40" w:type="dxa"/>
              <w:left w:w="20" w:type="dxa"/>
              <w:bottom w:w="40" w:type="dxa"/>
              <w:right w:w="20" w:type="dxa"/>
            </w:tcMar>
            <w:vAlign w:val="bottom"/>
          </w:tcPr>
          <w:p w14:paraId="3693DC4D" w14:textId="77777777" w:rsidR="003734EC" w:rsidRDefault="000E364E">
            <w:pPr>
              <w:textAlignment w:val="bottom"/>
            </w:pPr>
            <w:r>
              <w:rPr>
                <w:rFonts w:ascii="sans-serif" w:eastAsia="sans-serif" w:hAnsi="sans-serif" w:cs="sans-serif"/>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14:paraId="3693DC4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C4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5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C51"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C5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53" w14:textId="77777777" w:rsidR="003734EC" w:rsidRDefault="003734EC">
            <w:pPr>
              <w:rPr>
                <w:rFonts w:ascii="宋体"/>
                <w:vanish/>
              </w:rPr>
            </w:pPr>
          </w:p>
        </w:tc>
        <w:tc>
          <w:tcPr>
            <w:tcW w:w="0" w:type="auto"/>
            <w:shd w:val="clear" w:color="auto" w:fill="auto"/>
            <w:vAlign w:val="center"/>
          </w:tcPr>
          <w:p w14:paraId="3693DC54" w14:textId="77777777" w:rsidR="003734EC" w:rsidRDefault="003734EC">
            <w:pPr>
              <w:rPr>
                <w:rFonts w:ascii="宋体"/>
                <w:vanish/>
              </w:rPr>
            </w:pPr>
          </w:p>
        </w:tc>
        <w:tc>
          <w:tcPr>
            <w:tcW w:w="0" w:type="auto"/>
            <w:shd w:val="clear" w:color="auto" w:fill="auto"/>
            <w:vAlign w:val="center"/>
          </w:tcPr>
          <w:p w14:paraId="3693DC55" w14:textId="77777777" w:rsidR="003734EC" w:rsidRDefault="003734EC">
            <w:pPr>
              <w:rPr>
                <w:rFonts w:ascii="宋体"/>
                <w:vanish/>
              </w:rPr>
            </w:pPr>
          </w:p>
        </w:tc>
        <w:tc>
          <w:tcPr>
            <w:tcW w:w="0" w:type="auto"/>
            <w:shd w:val="clear" w:color="auto" w:fill="auto"/>
            <w:vAlign w:val="center"/>
          </w:tcPr>
          <w:p w14:paraId="3693DC56" w14:textId="77777777" w:rsidR="003734EC" w:rsidRDefault="003734EC">
            <w:pPr>
              <w:rPr>
                <w:rFonts w:ascii="宋体"/>
                <w:vanish/>
              </w:rPr>
            </w:pPr>
          </w:p>
        </w:tc>
        <w:tc>
          <w:tcPr>
            <w:tcW w:w="0" w:type="auto"/>
            <w:shd w:val="clear" w:color="auto" w:fill="auto"/>
            <w:vAlign w:val="center"/>
          </w:tcPr>
          <w:p w14:paraId="3693DC57" w14:textId="77777777" w:rsidR="003734EC" w:rsidRDefault="003734EC">
            <w:pPr>
              <w:rPr>
                <w:rFonts w:ascii="宋体"/>
              </w:rPr>
            </w:pPr>
          </w:p>
        </w:tc>
        <w:tc>
          <w:tcPr>
            <w:tcW w:w="0" w:type="auto"/>
            <w:shd w:val="clear" w:color="auto" w:fill="auto"/>
            <w:vAlign w:val="center"/>
          </w:tcPr>
          <w:p w14:paraId="3693DC58" w14:textId="77777777" w:rsidR="003734EC" w:rsidRDefault="003734EC">
            <w:pPr>
              <w:rPr>
                <w:rFonts w:ascii="宋体"/>
              </w:rPr>
            </w:pPr>
          </w:p>
        </w:tc>
        <w:tc>
          <w:tcPr>
            <w:tcW w:w="0" w:type="auto"/>
            <w:shd w:val="clear" w:color="auto" w:fill="auto"/>
            <w:vAlign w:val="center"/>
          </w:tcPr>
          <w:p w14:paraId="3693DC59" w14:textId="77777777" w:rsidR="003734EC" w:rsidRDefault="003734EC">
            <w:pPr>
              <w:rPr>
                <w:rFonts w:ascii="宋体"/>
              </w:rPr>
            </w:pPr>
          </w:p>
        </w:tc>
        <w:tc>
          <w:tcPr>
            <w:tcW w:w="0" w:type="auto"/>
            <w:shd w:val="clear" w:color="auto" w:fill="auto"/>
            <w:vAlign w:val="center"/>
          </w:tcPr>
          <w:p w14:paraId="3693DC5A" w14:textId="77777777" w:rsidR="003734EC" w:rsidRDefault="003734EC">
            <w:pPr>
              <w:rPr>
                <w:rFonts w:ascii="宋体"/>
              </w:rPr>
            </w:pPr>
          </w:p>
        </w:tc>
        <w:tc>
          <w:tcPr>
            <w:tcW w:w="0" w:type="auto"/>
            <w:shd w:val="clear" w:color="auto" w:fill="auto"/>
            <w:vAlign w:val="center"/>
          </w:tcPr>
          <w:p w14:paraId="3693DC5B" w14:textId="77777777" w:rsidR="003734EC" w:rsidRDefault="003734EC">
            <w:pPr>
              <w:rPr>
                <w:rFonts w:ascii="宋体"/>
              </w:rPr>
            </w:pPr>
          </w:p>
        </w:tc>
        <w:tc>
          <w:tcPr>
            <w:tcW w:w="0" w:type="auto"/>
            <w:shd w:val="clear" w:color="auto" w:fill="auto"/>
            <w:vAlign w:val="center"/>
          </w:tcPr>
          <w:p w14:paraId="3693DC5C" w14:textId="77777777" w:rsidR="003734EC" w:rsidRDefault="003734EC">
            <w:pPr>
              <w:rPr>
                <w:rFonts w:ascii="宋体"/>
              </w:rPr>
            </w:pPr>
          </w:p>
        </w:tc>
      </w:tr>
      <w:tr w:rsidR="003734EC" w14:paraId="3693DC6E" w14:textId="77777777">
        <w:tc>
          <w:tcPr>
            <w:tcW w:w="0" w:type="auto"/>
            <w:gridSpan w:val="3"/>
            <w:shd w:val="clear" w:color="auto" w:fill="E2EFD9"/>
            <w:tcMar>
              <w:top w:w="40" w:type="dxa"/>
              <w:left w:w="495" w:type="dxa"/>
              <w:bottom w:w="40" w:type="dxa"/>
              <w:right w:w="20" w:type="dxa"/>
            </w:tcMar>
            <w:vAlign w:val="bottom"/>
          </w:tcPr>
          <w:p w14:paraId="3693DC5E" w14:textId="77777777" w:rsidR="003734EC" w:rsidRDefault="000E364E">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3693DC5F" w14:textId="77777777" w:rsidR="003734EC" w:rsidRDefault="000E364E">
            <w:pPr>
              <w:jc w:val="right"/>
              <w:textAlignment w:val="bottom"/>
            </w:pPr>
            <w:r>
              <w:rPr>
                <w:rFonts w:ascii="sans-serif" w:eastAsia="sans-serif" w:hAnsi="sans-serif" w:cs="sans-serif"/>
                <w:color w:val="000000"/>
                <w:sz w:val="20"/>
                <w:szCs w:val="20"/>
              </w:rPr>
              <w:t>735 </w:t>
            </w:r>
          </w:p>
        </w:tc>
        <w:tc>
          <w:tcPr>
            <w:tcW w:w="0" w:type="auto"/>
            <w:shd w:val="clear" w:color="auto" w:fill="E2EFD9"/>
            <w:tcMar>
              <w:top w:w="40" w:type="dxa"/>
              <w:bottom w:w="40" w:type="dxa"/>
              <w:right w:w="20" w:type="dxa"/>
            </w:tcMar>
            <w:vAlign w:val="bottom"/>
          </w:tcPr>
          <w:p w14:paraId="3693DC6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6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C62" w14:textId="77777777" w:rsidR="003734EC" w:rsidRDefault="000E364E">
            <w:pPr>
              <w:jc w:val="right"/>
              <w:textAlignment w:val="bottom"/>
            </w:pPr>
            <w:r>
              <w:rPr>
                <w:rFonts w:ascii="sans-serif" w:eastAsia="sans-serif" w:hAnsi="sans-serif" w:cs="sans-serif"/>
                <w:color w:val="000000"/>
                <w:sz w:val="20"/>
                <w:szCs w:val="20"/>
              </w:rPr>
              <w:t>674 </w:t>
            </w:r>
          </w:p>
        </w:tc>
        <w:tc>
          <w:tcPr>
            <w:tcW w:w="0" w:type="auto"/>
            <w:shd w:val="clear" w:color="auto" w:fill="E2EFD9"/>
            <w:tcMar>
              <w:top w:w="40" w:type="dxa"/>
              <w:bottom w:w="40" w:type="dxa"/>
              <w:right w:w="20" w:type="dxa"/>
            </w:tcMar>
            <w:vAlign w:val="bottom"/>
          </w:tcPr>
          <w:p w14:paraId="3693DC6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64" w14:textId="77777777" w:rsidR="003734EC" w:rsidRDefault="003734EC">
            <w:pPr>
              <w:rPr>
                <w:rFonts w:ascii="宋体"/>
                <w:vanish/>
              </w:rPr>
            </w:pPr>
          </w:p>
        </w:tc>
        <w:tc>
          <w:tcPr>
            <w:tcW w:w="0" w:type="auto"/>
            <w:shd w:val="clear" w:color="auto" w:fill="auto"/>
            <w:vAlign w:val="center"/>
          </w:tcPr>
          <w:p w14:paraId="3693DC65" w14:textId="77777777" w:rsidR="003734EC" w:rsidRDefault="003734EC">
            <w:pPr>
              <w:rPr>
                <w:rFonts w:ascii="宋体"/>
                <w:vanish/>
              </w:rPr>
            </w:pPr>
          </w:p>
        </w:tc>
        <w:tc>
          <w:tcPr>
            <w:tcW w:w="0" w:type="auto"/>
            <w:shd w:val="clear" w:color="auto" w:fill="auto"/>
            <w:vAlign w:val="center"/>
          </w:tcPr>
          <w:p w14:paraId="3693DC66" w14:textId="77777777" w:rsidR="003734EC" w:rsidRDefault="003734EC">
            <w:pPr>
              <w:rPr>
                <w:rFonts w:ascii="宋体"/>
                <w:vanish/>
              </w:rPr>
            </w:pPr>
          </w:p>
        </w:tc>
        <w:tc>
          <w:tcPr>
            <w:tcW w:w="0" w:type="auto"/>
            <w:shd w:val="clear" w:color="auto" w:fill="auto"/>
            <w:vAlign w:val="center"/>
          </w:tcPr>
          <w:p w14:paraId="3693DC67" w14:textId="77777777" w:rsidR="003734EC" w:rsidRDefault="003734EC">
            <w:pPr>
              <w:rPr>
                <w:rFonts w:ascii="宋体"/>
                <w:vanish/>
              </w:rPr>
            </w:pPr>
          </w:p>
        </w:tc>
        <w:tc>
          <w:tcPr>
            <w:tcW w:w="0" w:type="auto"/>
            <w:shd w:val="clear" w:color="auto" w:fill="auto"/>
            <w:vAlign w:val="center"/>
          </w:tcPr>
          <w:p w14:paraId="3693DC68" w14:textId="77777777" w:rsidR="003734EC" w:rsidRDefault="003734EC">
            <w:pPr>
              <w:rPr>
                <w:rFonts w:ascii="宋体"/>
              </w:rPr>
            </w:pPr>
          </w:p>
        </w:tc>
        <w:tc>
          <w:tcPr>
            <w:tcW w:w="0" w:type="auto"/>
            <w:shd w:val="clear" w:color="auto" w:fill="auto"/>
            <w:vAlign w:val="center"/>
          </w:tcPr>
          <w:p w14:paraId="3693DC69" w14:textId="77777777" w:rsidR="003734EC" w:rsidRDefault="003734EC">
            <w:pPr>
              <w:rPr>
                <w:rFonts w:ascii="宋体"/>
              </w:rPr>
            </w:pPr>
          </w:p>
        </w:tc>
        <w:tc>
          <w:tcPr>
            <w:tcW w:w="0" w:type="auto"/>
            <w:shd w:val="clear" w:color="auto" w:fill="auto"/>
            <w:vAlign w:val="center"/>
          </w:tcPr>
          <w:p w14:paraId="3693DC6A" w14:textId="77777777" w:rsidR="003734EC" w:rsidRDefault="003734EC">
            <w:pPr>
              <w:rPr>
                <w:rFonts w:ascii="宋体"/>
              </w:rPr>
            </w:pPr>
          </w:p>
        </w:tc>
        <w:tc>
          <w:tcPr>
            <w:tcW w:w="0" w:type="auto"/>
            <w:shd w:val="clear" w:color="auto" w:fill="auto"/>
            <w:vAlign w:val="center"/>
          </w:tcPr>
          <w:p w14:paraId="3693DC6B" w14:textId="77777777" w:rsidR="003734EC" w:rsidRDefault="003734EC">
            <w:pPr>
              <w:rPr>
                <w:rFonts w:ascii="宋体"/>
              </w:rPr>
            </w:pPr>
          </w:p>
        </w:tc>
        <w:tc>
          <w:tcPr>
            <w:tcW w:w="0" w:type="auto"/>
            <w:shd w:val="clear" w:color="auto" w:fill="auto"/>
            <w:vAlign w:val="center"/>
          </w:tcPr>
          <w:p w14:paraId="3693DC6C" w14:textId="77777777" w:rsidR="003734EC" w:rsidRDefault="003734EC">
            <w:pPr>
              <w:rPr>
                <w:rFonts w:ascii="宋体"/>
              </w:rPr>
            </w:pPr>
          </w:p>
        </w:tc>
        <w:tc>
          <w:tcPr>
            <w:tcW w:w="0" w:type="auto"/>
            <w:shd w:val="clear" w:color="auto" w:fill="auto"/>
            <w:vAlign w:val="center"/>
          </w:tcPr>
          <w:p w14:paraId="3693DC6D" w14:textId="77777777" w:rsidR="003734EC" w:rsidRDefault="003734EC">
            <w:pPr>
              <w:rPr>
                <w:rFonts w:ascii="宋体"/>
              </w:rPr>
            </w:pPr>
          </w:p>
        </w:tc>
      </w:tr>
      <w:tr w:rsidR="003734EC" w14:paraId="3693DC7F" w14:textId="77777777">
        <w:tc>
          <w:tcPr>
            <w:tcW w:w="0" w:type="auto"/>
            <w:gridSpan w:val="3"/>
            <w:shd w:val="clear" w:color="auto" w:fill="FFFFFF"/>
            <w:tcMar>
              <w:top w:w="40" w:type="dxa"/>
              <w:left w:w="495" w:type="dxa"/>
              <w:bottom w:w="40" w:type="dxa"/>
              <w:right w:w="20" w:type="dxa"/>
            </w:tcMar>
            <w:vAlign w:val="bottom"/>
          </w:tcPr>
          <w:p w14:paraId="3693DC6F" w14:textId="77777777" w:rsidR="003734EC" w:rsidRDefault="000E364E">
            <w:pPr>
              <w:textAlignment w:val="bottom"/>
            </w:pPr>
            <w:r>
              <w:rPr>
                <w:rFonts w:ascii="sans-serif" w:eastAsia="sans-serif" w:hAnsi="sans-serif" w:cs="sans-serif"/>
                <w:color w:val="000000"/>
                <w:sz w:val="20"/>
                <w:szCs w:val="20"/>
              </w:rPr>
              <w:t xml:space="preserve">Sales, general and </w:t>
            </w:r>
            <w:r>
              <w:rPr>
                <w:rFonts w:ascii="sans-serif" w:eastAsia="sans-serif" w:hAnsi="sans-serif" w:cs="sans-serif"/>
                <w:color w:val="000000"/>
                <w:sz w:val="20"/>
                <w:szCs w:val="20"/>
              </w:rPr>
              <w:t>administrative</w:t>
            </w:r>
          </w:p>
        </w:tc>
        <w:tc>
          <w:tcPr>
            <w:tcW w:w="0" w:type="auto"/>
            <w:gridSpan w:val="2"/>
            <w:shd w:val="clear" w:color="auto" w:fill="FFFFFF"/>
            <w:tcMar>
              <w:top w:w="40" w:type="dxa"/>
              <w:left w:w="20" w:type="dxa"/>
              <w:bottom w:w="40" w:type="dxa"/>
              <w:right w:w="0" w:type="dxa"/>
            </w:tcMar>
            <w:vAlign w:val="bottom"/>
          </w:tcPr>
          <w:p w14:paraId="3693DC70" w14:textId="77777777" w:rsidR="003734EC" w:rsidRDefault="000E364E">
            <w:pPr>
              <w:jc w:val="right"/>
              <w:textAlignment w:val="bottom"/>
            </w:pPr>
            <w:r>
              <w:rPr>
                <w:rFonts w:ascii="sans-serif" w:eastAsia="sans-serif" w:hAnsi="sans-serif" w:cs="sans-serif"/>
                <w:color w:val="000000"/>
                <w:sz w:val="20"/>
                <w:szCs w:val="20"/>
              </w:rPr>
              <w:t>293 </w:t>
            </w:r>
          </w:p>
        </w:tc>
        <w:tc>
          <w:tcPr>
            <w:tcW w:w="0" w:type="auto"/>
            <w:shd w:val="clear" w:color="auto" w:fill="FFFFFF"/>
            <w:tcMar>
              <w:top w:w="40" w:type="dxa"/>
              <w:bottom w:w="40" w:type="dxa"/>
              <w:right w:w="20" w:type="dxa"/>
            </w:tcMar>
            <w:vAlign w:val="bottom"/>
          </w:tcPr>
          <w:p w14:paraId="3693DC7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7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C73" w14:textId="77777777" w:rsidR="003734EC" w:rsidRDefault="000E364E">
            <w:pPr>
              <w:jc w:val="right"/>
              <w:textAlignment w:val="bottom"/>
            </w:pPr>
            <w:r>
              <w:rPr>
                <w:rFonts w:ascii="sans-serif" w:eastAsia="sans-serif" w:hAnsi="sans-serif" w:cs="sans-serif"/>
                <w:color w:val="000000"/>
                <w:sz w:val="20"/>
                <w:szCs w:val="20"/>
              </w:rPr>
              <w:t>264 </w:t>
            </w:r>
          </w:p>
        </w:tc>
        <w:tc>
          <w:tcPr>
            <w:tcW w:w="0" w:type="auto"/>
            <w:shd w:val="clear" w:color="auto" w:fill="FFFFFF"/>
            <w:tcMar>
              <w:top w:w="40" w:type="dxa"/>
              <w:bottom w:w="40" w:type="dxa"/>
              <w:right w:w="20" w:type="dxa"/>
            </w:tcMar>
            <w:vAlign w:val="bottom"/>
          </w:tcPr>
          <w:p w14:paraId="3693DC7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75" w14:textId="77777777" w:rsidR="003734EC" w:rsidRDefault="003734EC">
            <w:pPr>
              <w:rPr>
                <w:rFonts w:ascii="宋体"/>
                <w:vanish/>
              </w:rPr>
            </w:pPr>
          </w:p>
        </w:tc>
        <w:tc>
          <w:tcPr>
            <w:tcW w:w="0" w:type="auto"/>
            <w:shd w:val="clear" w:color="auto" w:fill="auto"/>
            <w:vAlign w:val="center"/>
          </w:tcPr>
          <w:p w14:paraId="3693DC76" w14:textId="77777777" w:rsidR="003734EC" w:rsidRDefault="003734EC">
            <w:pPr>
              <w:rPr>
                <w:rFonts w:ascii="宋体"/>
                <w:vanish/>
              </w:rPr>
            </w:pPr>
          </w:p>
        </w:tc>
        <w:tc>
          <w:tcPr>
            <w:tcW w:w="0" w:type="auto"/>
            <w:shd w:val="clear" w:color="auto" w:fill="auto"/>
            <w:vAlign w:val="center"/>
          </w:tcPr>
          <w:p w14:paraId="3693DC77" w14:textId="77777777" w:rsidR="003734EC" w:rsidRDefault="003734EC">
            <w:pPr>
              <w:rPr>
                <w:rFonts w:ascii="宋体"/>
                <w:vanish/>
              </w:rPr>
            </w:pPr>
          </w:p>
        </w:tc>
        <w:tc>
          <w:tcPr>
            <w:tcW w:w="0" w:type="auto"/>
            <w:shd w:val="clear" w:color="auto" w:fill="auto"/>
            <w:vAlign w:val="center"/>
          </w:tcPr>
          <w:p w14:paraId="3693DC78" w14:textId="77777777" w:rsidR="003734EC" w:rsidRDefault="003734EC">
            <w:pPr>
              <w:rPr>
                <w:rFonts w:ascii="宋体"/>
                <w:vanish/>
              </w:rPr>
            </w:pPr>
          </w:p>
        </w:tc>
        <w:tc>
          <w:tcPr>
            <w:tcW w:w="0" w:type="auto"/>
            <w:shd w:val="clear" w:color="auto" w:fill="auto"/>
            <w:vAlign w:val="center"/>
          </w:tcPr>
          <w:p w14:paraId="3693DC79" w14:textId="77777777" w:rsidR="003734EC" w:rsidRDefault="003734EC">
            <w:pPr>
              <w:rPr>
                <w:rFonts w:ascii="宋体"/>
              </w:rPr>
            </w:pPr>
          </w:p>
        </w:tc>
        <w:tc>
          <w:tcPr>
            <w:tcW w:w="0" w:type="auto"/>
            <w:shd w:val="clear" w:color="auto" w:fill="auto"/>
            <w:vAlign w:val="center"/>
          </w:tcPr>
          <w:p w14:paraId="3693DC7A" w14:textId="77777777" w:rsidR="003734EC" w:rsidRDefault="003734EC">
            <w:pPr>
              <w:rPr>
                <w:rFonts w:ascii="宋体"/>
              </w:rPr>
            </w:pPr>
          </w:p>
        </w:tc>
        <w:tc>
          <w:tcPr>
            <w:tcW w:w="0" w:type="auto"/>
            <w:shd w:val="clear" w:color="auto" w:fill="auto"/>
            <w:vAlign w:val="center"/>
          </w:tcPr>
          <w:p w14:paraId="3693DC7B" w14:textId="77777777" w:rsidR="003734EC" w:rsidRDefault="003734EC">
            <w:pPr>
              <w:rPr>
                <w:rFonts w:ascii="宋体"/>
              </w:rPr>
            </w:pPr>
          </w:p>
        </w:tc>
        <w:tc>
          <w:tcPr>
            <w:tcW w:w="0" w:type="auto"/>
            <w:shd w:val="clear" w:color="auto" w:fill="auto"/>
            <w:vAlign w:val="center"/>
          </w:tcPr>
          <w:p w14:paraId="3693DC7C" w14:textId="77777777" w:rsidR="003734EC" w:rsidRDefault="003734EC">
            <w:pPr>
              <w:rPr>
                <w:rFonts w:ascii="宋体"/>
              </w:rPr>
            </w:pPr>
          </w:p>
        </w:tc>
        <w:tc>
          <w:tcPr>
            <w:tcW w:w="0" w:type="auto"/>
            <w:shd w:val="clear" w:color="auto" w:fill="auto"/>
            <w:vAlign w:val="center"/>
          </w:tcPr>
          <w:p w14:paraId="3693DC7D" w14:textId="77777777" w:rsidR="003734EC" w:rsidRDefault="003734EC">
            <w:pPr>
              <w:rPr>
                <w:rFonts w:ascii="宋体"/>
              </w:rPr>
            </w:pPr>
          </w:p>
        </w:tc>
        <w:tc>
          <w:tcPr>
            <w:tcW w:w="0" w:type="auto"/>
            <w:shd w:val="clear" w:color="auto" w:fill="auto"/>
            <w:vAlign w:val="center"/>
          </w:tcPr>
          <w:p w14:paraId="3693DC7E" w14:textId="77777777" w:rsidR="003734EC" w:rsidRDefault="003734EC">
            <w:pPr>
              <w:rPr>
                <w:rFonts w:ascii="宋体"/>
              </w:rPr>
            </w:pPr>
          </w:p>
        </w:tc>
      </w:tr>
      <w:tr w:rsidR="003734EC" w14:paraId="3693DC8E" w14:textId="77777777">
        <w:trPr>
          <w:hidden/>
        </w:trPr>
        <w:tc>
          <w:tcPr>
            <w:tcW w:w="0" w:type="auto"/>
            <w:gridSpan w:val="3"/>
            <w:shd w:val="clear" w:color="auto" w:fill="auto"/>
            <w:vAlign w:val="center"/>
          </w:tcPr>
          <w:p w14:paraId="3693DC80" w14:textId="77777777" w:rsidR="003734EC" w:rsidRDefault="003734EC">
            <w:pPr>
              <w:rPr>
                <w:rFonts w:ascii="宋体"/>
                <w:vanish/>
              </w:rPr>
            </w:pPr>
          </w:p>
        </w:tc>
        <w:tc>
          <w:tcPr>
            <w:tcW w:w="0" w:type="auto"/>
            <w:gridSpan w:val="3"/>
            <w:shd w:val="clear" w:color="auto" w:fill="auto"/>
            <w:vAlign w:val="center"/>
          </w:tcPr>
          <w:p w14:paraId="3693DC81" w14:textId="77777777" w:rsidR="003734EC" w:rsidRDefault="003734EC">
            <w:pPr>
              <w:rPr>
                <w:rFonts w:ascii="宋体"/>
                <w:vanish/>
              </w:rPr>
            </w:pPr>
          </w:p>
        </w:tc>
        <w:tc>
          <w:tcPr>
            <w:tcW w:w="0" w:type="auto"/>
            <w:gridSpan w:val="3"/>
            <w:shd w:val="clear" w:color="auto" w:fill="auto"/>
            <w:vAlign w:val="center"/>
          </w:tcPr>
          <w:p w14:paraId="3693DC82" w14:textId="77777777" w:rsidR="003734EC" w:rsidRDefault="003734EC">
            <w:pPr>
              <w:rPr>
                <w:rFonts w:ascii="宋体"/>
                <w:vanish/>
              </w:rPr>
            </w:pPr>
          </w:p>
        </w:tc>
        <w:tc>
          <w:tcPr>
            <w:tcW w:w="0" w:type="auto"/>
            <w:gridSpan w:val="3"/>
            <w:shd w:val="clear" w:color="auto" w:fill="auto"/>
            <w:vAlign w:val="center"/>
          </w:tcPr>
          <w:p w14:paraId="3693DC83" w14:textId="77777777" w:rsidR="003734EC" w:rsidRDefault="003734EC">
            <w:pPr>
              <w:rPr>
                <w:rFonts w:ascii="宋体"/>
                <w:vanish/>
              </w:rPr>
            </w:pPr>
          </w:p>
        </w:tc>
        <w:tc>
          <w:tcPr>
            <w:tcW w:w="0" w:type="auto"/>
            <w:shd w:val="clear" w:color="auto" w:fill="auto"/>
            <w:vAlign w:val="center"/>
          </w:tcPr>
          <w:p w14:paraId="3693DC84" w14:textId="77777777" w:rsidR="003734EC" w:rsidRDefault="003734EC">
            <w:pPr>
              <w:rPr>
                <w:rFonts w:ascii="宋体"/>
                <w:vanish/>
              </w:rPr>
            </w:pPr>
          </w:p>
        </w:tc>
        <w:tc>
          <w:tcPr>
            <w:tcW w:w="0" w:type="auto"/>
            <w:shd w:val="clear" w:color="auto" w:fill="auto"/>
            <w:vAlign w:val="center"/>
          </w:tcPr>
          <w:p w14:paraId="3693DC85" w14:textId="77777777" w:rsidR="003734EC" w:rsidRDefault="003734EC">
            <w:pPr>
              <w:rPr>
                <w:rFonts w:ascii="宋体"/>
                <w:vanish/>
              </w:rPr>
            </w:pPr>
          </w:p>
        </w:tc>
        <w:tc>
          <w:tcPr>
            <w:tcW w:w="0" w:type="auto"/>
            <w:shd w:val="clear" w:color="auto" w:fill="auto"/>
            <w:vAlign w:val="center"/>
          </w:tcPr>
          <w:p w14:paraId="3693DC86" w14:textId="77777777" w:rsidR="003734EC" w:rsidRDefault="003734EC">
            <w:pPr>
              <w:rPr>
                <w:rFonts w:ascii="宋体"/>
                <w:vanish/>
              </w:rPr>
            </w:pPr>
          </w:p>
        </w:tc>
        <w:tc>
          <w:tcPr>
            <w:tcW w:w="0" w:type="auto"/>
            <w:shd w:val="clear" w:color="auto" w:fill="auto"/>
            <w:vAlign w:val="center"/>
          </w:tcPr>
          <w:p w14:paraId="3693DC87" w14:textId="77777777" w:rsidR="003734EC" w:rsidRDefault="003734EC">
            <w:pPr>
              <w:rPr>
                <w:rFonts w:ascii="宋体"/>
                <w:vanish/>
              </w:rPr>
            </w:pPr>
          </w:p>
        </w:tc>
        <w:tc>
          <w:tcPr>
            <w:tcW w:w="0" w:type="auto"/>
            <w:shd w:val="clear" w:color="auto" w:fill="auto"/>
            <w:vAlign w:val="center"/>
          </w:tcPr>
          <w:p w14:paraId="3693DC88" w14:textId="77777777" w:rsidR="003734EC" w:rsidRDefault="003734EC">
            <w:pPr>
              <w:rPr>
                <w:rFonts w:ascii="宋体"/>
              </w:rPr>
            </w:pPr>
          </w:p>
        </w:tc>
        <w:tc>
          <w:tcPr>
            <w:tcW w:w="0" w:type="auto"/>
            <w:shd w:val="clear" w:color="auto" w:fill="auto"/>
            <w:vAlign w:val="center"/>
          </w:tcPr>
          <w:p w14:paraId="3693DC89" w14:textId="77777777" w:rsidR="003734EC" w:rsidRDefault="003734EC">
            <w:pPr>
              <w:rPr>
                <w:rFonts w:ascii="宋体"/>
              </w:rPr>
            </w:pPr>
          </w:p>
        </w:tc>
        <w:tc>
          <w:tcPr>
            <w:tcW w:w="0" w:type="auto"/>
            <w:shd w:val="clear" w:color="auto" w:fill="auto"/>
            <w:vAlign w:val="center"/>
          </w:tcPr>
          <w:p w14:paraId="3693DC8A" w14:textId="77777777" w:rsidR="003734EC" w:rsidRDefault="003734EC">
            <w:pPr>
              <w:rPr>
                <w:rFonts w:ascii="宋体"/>
              </w:rPr>
            </w:pPr>
          </w:p>
        </w:tc>
        <w:tc>
          <w:tcPr>
            <w:tcW w:w="0" w:type="auto"/>
            <w:shd w:val="clear" w:color="auto" w:fill="auto"/>
            <w:vAlign w:val="center"/>
          </w:tcPr>
          <w:p w14:paraId="3693DC8B" w14:textId="77777777" w:rsidR="003734EC" w:rsidRDefault="003734EC">
            <w:pPr>
              <w:rPr>
                <w:rFonts w:ascii="宋体"/>
              </w:rPr>
            </w:pPr>
          </w:p>
        </w:tc>
        <w:tc>
          <w:tcPr>
            <w:tcW w:w="0" w:type="auto"/>
            <w:shd w:val="clear" w:color="auto" w:fill="auto"/>
            <w:vAlign w:val="center"/>
          </w:tcPr>
          <w:p w14:paraId="3693DC8C" w14:textId="77777777" w:rsidR="003734EC" w:rsidRDefault="003734EC">
            <w:pPr>
              <w:rPr>
                <w:rFonts w:ascii="宋体"/>
              </w:rPr>
            </w:pPr>
          </w:p>
        </w:tc>
        <w:tc>
          <w:tcPr>
            <w:tcW w:w="0" w:type="auto"/>
            <w:shd w:val="clear" w:color="auto" w:fill="auto"/>
            <w:vAlign w:val="center"/>
          </w:tcPr>
          <w:p w14:paraId="3693DC8D" w14:textId="77777777" w:rsidR="003734EC" w:rsidRDefault="003734EC">
            <w:pPr>
              <w:rPr>
                <w:rFonts w:ascii="宋体"/>
              </w:rPr>
            </w:pPr>
          </w:p>
        </w:tc>
      </w:tr>
      <w:tr w:rsidR="003734EC" w14:paraId="3693DC9F" w14:textId="77777777">
        <w:tc>
          <w:tcPr>
            <w:tcW w:w="0" w:type="auto"/>
            <w:gridSpan w:val="3"/>
            <w:shd w:val="clear" w:color="auto" w:fill="E2EFD9"/>
            <w:tcMar>
              <w:top w:w="40" w:type="dxa"/>
              <w:left w:w="855" w:type="dxa"/>
              <w:bottom w:w="40" w:type="dxa"/>
              <w:right w:w="20" w:type="dxa"/>
            </w:tcMar>
            <w:vAlign w:val="bottom"/>
          </w:tcPr>
          <w:p w14:paraId="3693DC8F" w14:textId="77777777" w:rsidR="003734EC" w:rsidRDefault="000E364E">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90" w14:textId="77777777" w:rsidR="003734EC" w:rsidRDefault="000E364E">
            <w:pPr>
              <w:jc w:val="right"/>
              <w:textAlignment w:val="bottom"/>
            </w:pPr>
            <w:r>
              <w:rPr>
                <w:rFonts w:ascii="sans-serif" w:eastAsia="sans-serif" w:hAnsi="sans-serif" w:cs="sans-serif"/>
                <w:color w:val="000000"/>
                <w:sz w:val="20"/>
                <w:szCs w:val="20"/>
              </w:rPr>
              <w:t>1,028 </w:t>
            </w:r>
          </w:p>
        </w:tc>
        <w:tc>
          <w:tcPr>
            <w:tcW w:w="0" w:type="auto"/>
            <w:tcBorders>
              <w:top w:val="single" w:sz="8" w:space="0" w:color="000000"/>
            </w:tcBorders>
            <w:shd w:val="clear" w:color="auto" w:fill="E2EFD9"/>
            <w:tcMar>
              <w:top w:w="40" w:type="dxa"/>
              <w:bottom w:w="40" w:type="dxa"/>
              <w:right w:w="20" w:type="dxa"/>
            </w:tcMar>
            <w:vAlign w:val="bottom"/>
          </w:tcPr>
          <w:p w14:paraId="3693DC9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92"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93" w14:textId="77777777" w:rsidR="003734EC" w:rsidRDefault="000E364E">
            <w:pPr>
              <w:jc w:val="right"/>
              <w:textAlignment w:val="bottom"/>
            </w:pPr>
            <w:r>
              <w:rPr>
                <w:rFonts w:ascii="sans-serif" w:eastAsia="sans-serif" w:hAnsi="sans-serif" w:cs="sans-serif"/>
                <w:color w:val="000000"/>
                <w:sz w:val="20"/>
                <w:szCs w:val="20"/>
              </w:rPr>
              <w:t>938 </w:t>
            </w:r>
          </w:p>
        </w:tc>
        <w:tc>
          <w:tcPr>
            <w:tcW w:w="0" w:type="auto"/>
            <w:tcBorders>
              <w:top w:val="single" w:sz="8" w:space="0" w:color="000000"/>
            </w:tcBorders>
            <w:shd w:val="clear" w:color="auto" w:fill="E2EFD9"/>
            <w:tcMar>
              <w:top w:w="40" w:type="dxa"/>
              <w:bottom w:w="40" w:type="dxa"/>
              <w:right w:w="20" w:type="dxa"/>
            </w:tcMar>
            <w:vAlign w:val="bottom"/>
          </w:tcPr>
          <w:p w14:paraId="3693DC9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95" w14:textId="77777777" w:rsidR="003734EC" w:rsidRDefault="003734EC">
            <w:pPr>
              <w:rPr>
                <w:rFonts w:ascii="宋体"/>
                <w:vanish/>
              </w:rPr>
            </w:pPr>
          </w:p>
        </w:tc>
        <w:tc>
          <w:tcPr>
            <w:tcW w:w="0" w:type="auto"/>
            <w:shd w:val="clear" w:color="auto" w:fill="auto"/>
            <w:vAlign w:val="center"/>
          </w:tcPr>
          <w:p w14:paraId="3693DC96" w14:textId="77777777" w:rsidR="003734EC" w:rsidRDefault="003734EC">
            <w:pPr>
              <w:rPr>
                <w:rFonts w:ascii="宋体"/>
                <w:vanish/>
              </w:rPr>
            </w:pPr>
          </w:p>
        </w:tc>
        <w:tc>
          <w:tcPr>
            <w:tcW w:w="0" w:type="auto"/>
            <w:shd w:val="clear" w:color="auto" w:fill="auto"/>
            <w:vAlign w:val="center"/>
          </w:tcPr>
          <w:p w14:paraId="3693DC97" w14:textId="77777777" w:rsidR="003734EC" w:rsidRDefault="003734EC">
            <w:pPr>
              <w:rPr>
                <w:rFonts w:ascii="宋体"/>
                <w:vanish/>
              </w:rPr>
            </w:pPr>
          </w:p>
        </w:tc>
        <w:tc>
          <w:tcPr>
            <w:tcW w:w="0" w:type="auto"/>
            <w:shd w:val="clear" w:color="auto" w:fill="auto"/>
            <w:vAlign w:val="center"/>
          </w:tcPr>
          <w:p w14:paraId="3693DC98" w14:textId="77777777" w:rsidR="003734EC" w:rsidRDefault="003734EC">
            <w:pPr>
              <w:rPr>
                <w:rFonts w:ascii="宋体"/>
                <w:vanish/>
              </w:rPr>
            </w:pPr>
          </w:p>
        </w:tc>
        <w:tc>
          <w:tcPr>
            <w:tcW w:w="0" w:type="auto"/>
            <w:shd w:val="clear" w:color="auto" w:fill="auto"/>
            <w:vAlign w:val="center"/>
          </w:tcPr>
          <w:p w14:paraId="3693DC99" w14:textId="77777777" w:rsidR="003734EC" w:rsidRDefault="003734EC">
            <w:pPr>
              <w:rPr>
                <w:rFonts w:ascii="宋体"/>
              </w:rPr>
            </w:pPr>
          </w:p>
        </w:tc>
        <w:tc>
          <w:tcPr>
            <w:tcW w:w="0" w:type="auto"/>
            <w:shd w:val="clear" w:color="auto" w:fill="auto"/>
            <w:vAlign w:val="center"/>
          </w:tcPr>
          <w:p w14:paraId="3693DC9A" w14:textId="77777777" w:rsidR="003734EC" w:rsidRDefault="003734EC">
            <w:pPr>
              <w:rPr>
                <w:rFonts w:ascii="宋体"/>
              </w:rPr>
            </w:pPr>
          </w:p>
        </w:tc>
        <w:tc>
          <w:tcPr>
            <w:tcW w:w="0" w:type="auto"/>
            <w:shd w:val="clear" w:color="auto" w:fill="auto"/>
            <w:vAlign w:val="center"/>
          </w:tcPr>
          <w:p w14:paraId="3693DC9B" w14:textId="77777777" w:rsidR="003734EC" w:rsidRDefault="003734EC">
            <w:pPr>
              <w:rPr>
                <w:rFonts w:ascii="宋体"/>
              </w:rPr>
            </w:pPr>
          </w:p>
        </w:tc>
        <w:tc>
          <w:tcPr>
            <w:tcW w:w="0" w:type="auto"/>
            <w:shd w:val="clear" w:color="auto" w:fill="auto"/>
            <w:vAlign w:val="center"/>
          </w:tcPr>
          <w:p w14:paraId="3693DC9C" w14:textId="77777777" w:rsidR="003734EC" w:rsidRDefault="003734EC">
            <w:pPr>
              <w:rPr>
                <w:rFonts w:ascii="宋体"/>
              </w:rPr>
            </w:pPr>
          </w:p>
        </w:tc>
        <w:tc>
          <w:tcPr>
            <w:tcW w:w="0" w:type="auto"/>
            <w:shd w:val="clear" w:color="auto" w:fill="auto"/>
            <w:vAlign w:val="center"/>
          </w:tcPr>
          <w:p w14:paraId="3693DC9D" w14:textId="77777777" w:rsidR="003734EC" w:rsidRDefault="003734EC">
            <w:pPr>
              <w:rPr>
                <w:rFonts w:ascii="宋体"/>
              </w:rPr>
            </w:pPr>
          </w:p>
        </w:tc>
        <w:tc>
          <w:tcPr>
            <w:tcW w:w="0" w:type="auto"/>
            <w:shd w:val="clear" w:color="auto" w:fill="auto"/>
            <w:vAlign w:val="center"/>
          </w:tcPr>
          <w:p w14:paraId="3693DC9E" w14:textId="77777777" w:rsidR="003734EC" w:rsidRDefault="003734EC">
            <w:pPr>
              <w:rPr>
                <w:rFonts w:ascii="宋体"/>
              </w:rPr>
            </w:pPr>
          </w:p>
        </w:tc>
      </w:tr>
      <w:tr w:rsidR="003734EC" w14:paraId="3693DCB0" w14:textId="77777777">
        <w:tc>
          <w:tcPr>
            <w:tcW w:w="0" w:type="auto"/>
            <w:gridSpan w:val="3"/>
            <w:shd w:val="clear" w:color="auto" w:fill="FFFFFF"/>
            <w:tcMar>
              <w:top w:w="40" w:type="dxa"/>
              <w:left w:w="20" w:type="dxa"/>
              <w:bottom w:w="40" w:type="dxa"/>
              <w:right w:w="20" w:type="dxa"/>
            </w:tcMar>
            <w:vAlign w:val="bottom"/>
          </w:tcPr>
          <w:p w14:paraId="3693DCA0" w14:textId="77777777" w:rsidR="003734EC" w:rsidRDefault="000E364E">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CA1" w14:textId="77777777" w:rsidR="003734EC" w:rsidRDefault="000E364E">
            <w:pPr>
              <w:jc w:val="right"/>
              <w:textAlignment w:val="bottom"/>
            </w:pPr>
            <w:r>
              <w:rPr>
                <w:rFonts w:ascii="sans-serif" w:eastAsia="sans-serif" w:hAnsi="sans-serif" w:cs="sans-serif"/>
                <w:color w:val="000000"/>
                <w:sz w:val="20"/>
                <w:szCs w:val="20"/>
              </w:rPr>
              <w:t>976 </w:t>
            </w:r>
          </w:p>
        </w:tc>
        <w:tc>
          <w:tcPr>
            <w:tcW w:w="0" w:type="auto"/>
            <w:tcBorders>
              <w:top w:val="single" w:sz="8" w:space="0" w:color="000000"/>
            </w:tcBorders>
            <w:shd w:val="clear" w:color="auto" w:fill="FFFFFF"/>
            <w:tcMar>
              <w:top w:w="40" w:type="dxa"/>
              <w:bottom w:w="40" w:type="dxa"/>
              <w:right w:w="20" w:type="dxa"/>
            </w:tcMar>
            <w:vAlign w:val="bottom"/>
          </w:tcPr>
          <w:p w14:paraId="3693DCA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A3"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CA4" w14:textId="77777777" w:rsidR="003734EC" w:rsidRDefault="000E364E">
            <w:pPr>
              <w:jc w:val="right"/>
              <w:textAlignment w:val="bottom"/>
            </w:pPr>
            <w:r>
              <w:rPr>
                <w:rFonts w:ascii="sans-serif" w:eastAsia="sans-serif" w:hAnsi="sans-serif" w:cs="sans-serif"/>
                <w:color w:val="000000"/>
                <w:sz w:val="20"/>
                <w:szCs w:val="20"/>
              </w:rPr>
              <w:t>358 </w:t>
            </w:r>
          </w:p>
        </w:tc>
        <w:tc>
          <w:tcPr>
            <w:tcW w:w="0" w:type="auto"/>
            <w:tcBorders>
              <w:top w:val="single" w:sz="8" w:space="0" w:color="000000"/>
            </w:tcBorders>
            <w:shd w:val="clear" w:color="auto" w:fill="FFFFFF"/>
            <w:tcMar>
              <w:top w:w="40" w:type="dxa"/>
              <w:bottom w:w="40" w:type="dxa"/>
              <w:right w:w="20" w:type="dxa"/>
            </w:tcMar>
            <w:vAlign w:val="bottom"/>
          </w:tcPr>
          <w:p w14:paraId="3693DCA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A6" w14:textId="77777777" w:rsidR="003734EC" w:rsidRDefault="003734EC">
            <w:pPr>
              <w:rPr>
                <w:rFonts w:ascii="宋体"/>
                <w:vanish/>
              </w:rPr>
            </w:pPr>
          </w:p>
        </w:tc>
        <w:tc>
          <w:tcPr>
            <w:tcW w:w="0" w:type="auto"/>
            <w:shd w:val="clear" w:color="auto" w:fill="auto"/>
            <w:vAlign w:val="center"/>
          </w:tcPr>
          <w:p w14:paraId="3693DCA7" w14:textId="77777777" w:rsidR="003734EC" w:rsidRDefault="003734EC">
            <w:pPr>
              <w:rPr>
                <w:rFonts w:ascii="宋体"/>
                <w:vanish/>
              </w:rPr>
            </w:pPr>
          </w:p>
        </w:tc>
        <w:tc>
          <w:tcPr>
            <w:tcW w:w="0" w:type="auto"/>
            <w:shd w:val="clear" w:color="auto" w:fill="auto"/>
            <w:vAlign w:val="center"/>
          </w:tcPr>
          <w:p w14:paraId="3693DCA8" w14:textId="77777777" w:rsidR="003734EC" w:rsidRDefault="003734EC">
            <w:pPr>
              <w:rPr>
                <w:rFonts w:ascii="宋体"/>
                <w:vanish/>
              </w:rPr>
            </w:pPr>
          </w:p>
        </w:tc>
        <w:tc>
          <w:tcPr>
            <w:tcW w:w="0" w:type="auto"/>
            <w:shd w:val="clear" w:color="auto" w:fill="auto"/>
            <w:vAlign w:val="center"/>
          </w:tcPr>
          <w:p w14:paraId="3693DCA9" w14:textId="77777777" w:rsidR="003734EC" w:rsidRDefault="003734EC">
            <w:pPr>
              <w:rPr>
                <w:rFonts w:ascii="宋体"/>
                <w:vanish/>
              </w:rPr>
            </w:pPr>
          </w:p>
        </w:tc>
        <w:tc>
          <w:tcPr>
            <w:tcW w:w="0" w:type="auto"/>
            <w:shd w:val="clear" w:color="auto" w:fill="auto"/>
            <w:vAlign w:val="center"/>
          </w:tcPr>
          <w:p w14:paraId="3693DCAA" w14:textId="77777777" w:rsidR="003734EC" w:rsidRDefault="003734EC">
            <w:pPr>
              <w:rPr>
                <w:rFonts w:ascii="宋体"/>
              </w:rPr>
            </w:pPr>
          </w:p>
        </w:tc>
        <w:tc>
          <w:tcPr>
            <w:tcW w:w="0" w:type="auto"/>
            <w:shd w:val="clear" w:color="auto" w:fill="auto"/>
            <w:vAlign w:val="center"/>
          </w:tcPr>
          <w:p w14:paraId="3693DCAB" w14:textId="77777777" w:rsidR="003734EC" w:rsidRDefault="003734EC">
            <w:pPr>
              <w:rPr>
                <w:rFonts w:ascii="宋体"/>
              </w:rPr>
            </w:pPr>
          </w:p>
        </w:tc>
        <w:tc>
          <w:tcPr>
            <w:tcW w:w="0" w:type="auto"/>
            <w:shd w:val="clear" w:color="auto" w:fill="auto"/>
            <w:vAlign w:val="center"/>
          </w:tcPr>
          <w:p w14:paraId="3693DCAC" w14:textId="77777777" w:rsidR="003734EC" w:rsidRDefault="003734EC">
            <w:pPr>
              <w:rPr>
                <w:rFonts w:ascii="宋体"/>
              </w:rPr>
            </w:pPr>
          </w:p>
        </w:tc>
        <w:tc>
          <w:tcPr>
            <w:tcW w:w="0" w:type="auto"/>
            <w:shd w:val="clear" w:color="auto" w:fill="auto"/>
            <w:vAlign w:val="center"/>
          </w:tcPr>
          <w:p w14:paraId="3693DCAD" w14:textId="77777777" w:rsidR="003734EC" w:rsidRDefault="003734EC">
            <w:pPr>
              <w:rPr>
                <w:rFonts w:ascii="宋体"/>
              </w:rPr>
            </w:pPr>
          </w:p>
        </w:tc>
        <w:tc>
          <w:tcPr>
            <w:tcW w:w="0" w:type="auto"/>
            <w:shd w:val="clear" w:color="auto" w:fill="auto"/>
            <w:vAlign w:val="center"/>
          </w:tcPr>
          <w:p w14:paraId="3693DCAE" w14:textId="77777777" w:rsidR="003734EC" w:rsidRDefault="003734EC">
            <w:pPr>
              <w:rPr>
                <w:rFonts w:ascii="宋体"/>
              </w:rPr>
            </w:pPr>
          </w:p>
        </w:tc>
        <w:tc>
          <w:tcPr>
            <w:tcW w:w="0" w:type="auto"/>
            <w:shd w:val="clear" w:color="auto" w:fill="auto"/>
            <w:vAlign w:val="center"/>
          </w:tcPr>
          <w:p w14:paraId="3693DCAF" w14:textId="77777777" w:rsidR="003734EC" w:rsidRDefault="003734EC">
            <w:pPr>
              <w:rPr>
                <w:rFonts w:ascii="宋体"/>
              </w:rPr>
            </w:pPr>
          </w:p>
        </w:tc>
      </w:tr>
      <w:tr w:rsidR="003734EC" w14:paraId="3693DCC1" w14:textId="77777777">
        <w:tc>
          <w:tcPr>
            <w:tcW w:w="0" w:type="auto"/>
            <w:gridSpan w:val="3"/>
            <w:shd w:val="clear" w:color="auto" w:fill="E2EFD9"/>
            <w:tcMar>
              <w:top w:w="40" w:type="dxa"/>
              <w:left w:w="495" w:type="dxa"/>
              <w:bottom w:w="40" w:type="dxa"/>
              <w:right w:w="20" w:type="dxa"/>
            </w:tcMar>
            <w:vAlign w:val="bottom"/>
          </w:tcPr>
          <w:p w14:paraId="3693DCB1" w14:textId="77777777" w:rsidR="003734EC" w:rsidRDefault="000E364E">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3693DCB2" w14:textId="77777777" w:rsidR="003734EC" w:rsidRDefault="000E364E">
            <w:pPr>
              <w:jc w:val="right"/>
              <w:textAlignment w:val="bottom"/>
            </w:pPr>
            <w:r>
              <w:rPr>
                <w:rFonts w:ascii="sans-serif" w:eastAsia="sans-serif" w:hAnsi="sans-serif" w:cs="sans-serif"/>
                <w:color w:val="000000"/>
                <w:sz w:val="20"/>
                <w:szCs w:val="20"/>
              </w:rPr>
              <w:t>31 </w:t>
            </w:r>
          </w:p>
        </w:tc>
        <w:tc>
          <w:tcPr>
            <w:tcW w:w="0" w:type="auto"/>
            <w:shd w:val="clear" w:color="auto" w:fill="E2EFD9"/>
            <w:tcMar>
              <w:top w:w="40" w:type="dxa"/>
              <w:bottom w:w="40" w:type="dxa"/>
              <w:right w:w="20" w:type="dxa"/>
            </w:tcMar>
            <w:vAlign w:val="bottom"/>
          </w:tcPr>
          <w:p w14:paraId="3693DCB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B4"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CB5" w14:textId="77777777" w:rsidR="003734EC" w:rsidRDefault="000E364E">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bottom w:w="40" w:type="dxa"/>
              <w:right w:w="20" w:type="dxa"/>
            </w:tcMar>
            <w:vAlign w:val="bottom"/>
          </w:tcPr>
          <w:p w14:paraId="3693DCB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B7" w14:textId="77777777" w:rsidR="003734EC" w:rsidRDefault="003734EC">
            <w:pPr>
              <w:rPr>
                <w:rFonts w:ascii="宋体"/>
                <w:vanish/>
              </w:rPr>
            </w:pPr>
          </w:p>
        </w:tc>
        <w:tc>
          <w:tcPr>
            <w:tcW w:w="0" w:type="auto"/>
            <w:shd w:val="clear" w:color="auto" w:fill="auto"/>
            <w:vAlign w:val="center"/>
          </w:tcPr>
          <w:p w14:paraId="3693DCB8" w14:textId="77777777" w:rsidR="003734EC" w:rsidRDefault="003734EC">
            <w:pPr>
              <w:rPr>
                <w:rFonts w:ascii="宋体"/>
                <w:vanish/>
              </w:rPr>
            </w:pPr>
          </w:p>
        </w:tc>
        <w:tc>
          <w:tcPr>
            <w:tcW w:w="0" w:type="auto"/>
            <w:shd w:val="clear" w:color="auto" w:fill="auto"/>
            <w:vAlign w:val="center"/>
          </w:tcPr>
          <w:p w14:paraId="3693DCB9" w14:textId="77777777" w:rsidR="003734EC" w:rsidRDefault="003734EC">
            <w:pPr>
              <w:rPr>
                <w:rFonts w:ascii="宋体"/>
                <w:vanish/>
              </w:rPr>
            </w:pPr>
          </w:p>
        </w:tc>
        <w:tc>
          <w:tcPr>
            <w:tcW w:w="0" w:type="auto"/>
            <w:shd w:val="clear" w:color="auto" w:fill="auto"/>
            <w:vAlign w:val="center"/>
          </w:tcPr>
          <w:p w14:paraId="3693DCBA" w14:textId="77777777" w:rsidR="003734EC" w:rsidRDefault="003734EC">
            <w:pPr>
              <w:rPr>
                <w:rFonts w:ascii="宋体"/>
                <w:vanish/>
              </w:rPr>
            </w:pPr>
          </w:p>
        </w:tc>
        <w:tc>
          <w:tcPr>
            <w:tcW w:w="0" w:type="auto"/>
            <w:shd w:val="clear" w:color="auto" w:fill="auto"/>
            <w:vAlign w:val="center"/>
          </w:tcPr>
          <w:p w14:paraId="3693DCBB" w14:textId="77777777" w:rsidR="003734EC" w:rsidRDefault="003734EC">
            <w:pPr>
              <w:rPr>
                <w:rFonts w:ascii="宋体"/>
              </w:rPr>
            </w:pPr>
          </w:p>
        </w:tc>
        <w:tc>
          <w:tcPr>
            <w:tcW w:w="0" w:type="auto"/>
            <w:shd w:val="clear" w:color="auto" w:fill="auto"/>
            <w:vAlign w:val="center"/>
          </w:tcPr>
          <w:p w14:paraId="3693DCBC" w14:textId="77777777" w:rsidR="003734EC" w:rsidRDefault="003734EC">
            <w:pPr>
              <w:rPr>
                <w:rFonts w:ascii="宋体"/>
              </w:rPr>
            </w:pPr>
          </w:p>
        </w:tc>
        <w:tc>
          <w:tcPr>
            <w:tcW w:w="0" w:type="auto"/>
            <w:shd w:val="clear" w:color="auto" w:fill="auto"/>
            <w:vAlign w:val="center"/>
          </w:tcPr>
          <w:p w14:paraId="3693DCBD" w14:textId="77777777" w:rsidR="003734EC" w:rsidRDefault="003734EC">
            <w:pPr>
              <w:rPr>
                <w:rFonts w:ascii="宋体"/>
              </w:rPr>
            </w:pPr>
          </w:p>
        </w:tc>
        <w:tc>
          <w:tcPr>
            <w:tcW w:w="0" w:type="auto"/>
            <w:shd w:val="clear" w:color="auto" w:fill="auto"/>
            <w:vAlign w:val="center"/>
          </w:tcPr>
          <w:p w14:paraId="3693DCBE" w14:textId="77777777" w:rsidR="003734EC" w:rsidRDefault="003734EC">
            <w:pPr>
              <w:rPr>
                <w:rFonts w:ascii="宋体"/>
              </w:rPr>
            </w:pPr>
          </w:p>
        </w:tc>
        <w:tc>
          <w:tcPr>
            <w:tcW w:w="0" w:type="auto"/>
            <w:shd w:val="clear" w:color="auto" w:fill="auto"/>
            <w:vAlign w:val="center"/>
          </w:tcPr>
          <w:p w14:paraId="3693DCBF" w14:textId="77777777" w:rsidR="003734EC" w:rsidRDefault="003734EC">
            <w:pPr>
              <w:rPr>
                <w:rFonts w:ascii="宋体"/>
              </w:rPr>
            </w:pPr>
          </w:p>
        </w:tc>
        <w:tc>
          <w:tcPr>
            <w:tcW w:w="0" w:type="auto"/>
            <w:shd w:val="clear" w:color="auto" w:fill="auto"/>
            <w:vAlign w:val="center"/>
          </w:tcPr>
          <w:p w14:paraId="3693DCC0" w14:textId="77777777" w:rsidR="003734EC" w:rsidRDefault="003734EC">
            <w:pPr>
              <w:rPr>
                <w:rFonts w:ascii="宋体"/>
              </w:rPr>
            </w:pPr>
          </w:p>
        </w:tc>
      </w:tr>
      <w:tr w:rsidR="003734EC" w14:paraId="3693DCD2" w14:textId="77777777">
        <w:tc>
          <w:tcPr>
            <w:tcW w:w="0" w:type="auto"/>
            <w:gridSpan w:val="3"/>
            <w:shd w:val="clear" w:color="auto" w:fill="FFFFFF"/>
            <w:tcMar>
              <w:top w:w="40" w:type="dxa"/>
              <w:left w:w="495" w:type="dxa"/>
              <w:bottom w:w="40" w:type="dxa"/>
              <w:right w:w="20" w:type="dxa"/>
            </w:tcMar>
            <w:vAlign w:val="bottom"/>
          </w:tcPr>
          <w:p w14:paraId="3693DCC2" w14:textId="77777777" w:rsidR="003734EC" w:rsidRDefault="000E364E">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3693DCC3" w14:textId="77777777" w:rsidR="003734EC" w:rsidRDefault="000E364E">
            <w:pPr>
              <w:jc w:val="right"/>
              <w:textAlignment w:val="bottom"/>
            </w:pPr>
            <w:r>
              <w:rPr>
                <w:rFonts w:ascii="sans-serif" w:eastAsia="sans-serif" w:hAnsi="sans-serif" w:cs="sans-serif"/>
                <w:color w:val="000000"/>
                <w:sz w:val="20"/>
                <w:szCs w:val="20"/>
              </w:rPr>
              <w:t>(25)</w:t>
            </w:r>
          </w:p>
        </w:tc>
        <w:tc>
          <w:tcPr>
            <w:tcW w:w="0" w:type="auto"/>
            <w:shd w:val="clear" w:color="auto" w:fill="FFFFFF"/>
            <w:tcMar>
              <w:top w:w="40" w:type="dxa"/>
              <w:bottom w:w="40" w:type="dxa"/>
              <w:right w:w="20" w:type="dxa"/>
            </w:tcMar>
            <w:vAlign w:val="bottom"/>
          </w:tcPr>
          <w:p w14:paraId="3693DCC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C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CC6" w14:textId="77777777" w:rsidR="003734EC" w:rsidRDefault="000E364E">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bottom w:w="40" w:type="dxa"/>
              <w:right w:w="20" w:type="dxa"/>
            </w:tcMar>
            <w:vAlign w:val="bottom"/>
          </w:tcPr>
          <w:p w14:paraId="3693DCC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C8" w14:textId="77777777" w:rsidR="003734EC" w:rsidRDefault="003734EC">
            <w:pPr>
              <w:rPr>
                <w:rFonts w:ascii="宋体"/>
                <w:vanish/>
              </w:rPr>
            </w:pPr>
          </w:p>
        </w:tc>
        <w:tc>
          <w:tcPr>
            <w:tcW w:w="0" w:type="auto"/>
            <w:shd w:val="clear" w:color="auto" w:fill="auto"/>
            <w:vAlign w:val="center"/>
          </w:tcPr>
          <w:p w14:paraId="3693DCC9" w14:textId="77777777" w:rsidR="003734EC" w:rsidRDefault="003734EC">
            <w:pPr>
              <w:rPr>
                <w:rFonts w:ascii="宋体"/>
                <w:vanish/>
              </w:rPr>
            </w:pPr>
          </w:p>
        </w:tc>
        <w:tc>
          <w:tcPr>
            <w:tcW w:w="0" w:type="auto"/>
            <w:shd w:val="clear" w:color="auto" w:fill="auto"/>
            <w:vAlign w:val="center"/>
          </w:tcPr>
          <w:p w14:paraId="3693DCCA" w14:textId="77777777" w:rsidR="003734EC" w:rsidRDefault="003734EC">
            <w:pPr>
              <w:rPr>
                <w:rFonts w:ascii="宋体"/>
                <w:vanish/>
              </w:rPr>
            </w:pPr>
          </w:p>
        </w:tc>
        <w:tc>
          <w:tcPr>
            <w:tcW w:w="0" w:type="auto"/>
            <w:shd w:val="clear" w:color="auto" w:fill="auto"/>
            <w:vAlign w:val="center"/>
          </w:tcPr>
          <w:p w14:paraId="3693DCCB" w14:textId="77777777" w:rsidR="003734EC" w:rsidRDefault="003734EC">
            <w:pPr>
              <w:rPr>
                <w:rFonts w:ascii="宋体"/>
                <w:vanish/>
              </w:rPr>
            </w:pPr>
          </w:p>
        </w:tc>
        <w:tc>
          <w:tcPr>
            <w:tcW w:w="0" w:type="auto"/>
            <w:shd w:val="clear" w:color="auto" w:fill="auto"/>
            <w:vAlign w:val="center"/>
          </w:tcPr>
          <w:p w14:paraId="3693DCCC" w14:textId="77777777" w:rsidR="003734EC" w:rsidRDefault="003734EC">
            <w:pPr>
              <w:rPr>
                <w:rFonts w:ascii="宋体"/>
              </w:rPr>
            </w:pPr>
          </w:p>
        </w:tc>
        <w:tc>
          <w:tcPr>
            <w:tcW w:w="0" w:type="auto"/>
            <w:shd w:val="clear" w:color="auto" w:fill="auto"/>
            <w:vAlign w:val="center"/>
          </w:tcPr>
          <w:p w14:paraId="3693DCCD" w14:textId="77777777" w:rsidR="003734EC" w:rsidRDefault="003734EC">
            <w:pPr>
              <w:rPr>
                <w:rFonts w:ascii="宋体"/>
              </w:rPr>
            </w:pPr>
          </w:p>
        </w:tc>
        <w:tc>
          <w:tcPr>
            <w:tcW w:w="0" w:type="auto"/>
            <w:shd w:val="clear" w:color="auto" w:fill="auto"/>
            <w:vAlign w:val="center"/>
          </w:tcPr>
          <w:p w14:paraId="3693DCCE" w14:textId="77777777" w:rsidR="003734EC" w:rsidRDefault="003734EC">
            <w:pPr>
              <w:rPr>
                <w:rFonts w:ascii="宋体"/>
              </w:rPr>
            </w:pPr>
          </w:p>
        </w:tc>
        <w:tc>
          <w:tcPr>
            <w:tcW w:w="0" w:type="auto"/>
            <w:shd w:val="clear" w:color="auto" w:fill="auto"/>
            <w:vAlign w:val="center"/>
          </w:tcPr>
          <w:p w14:paraId="3693DCCF" w14:textId="77777777" w:rsidR="003734EC" w:rsidRDefault="003734EC">
            <w:pPr>
              <w:rPr>
                <w:rFonts w:ascii="宋体"/>
              </w:rPr>
            </w:pPr>
          </w:p>
        </w:tc>
        <w:tc>
          <w:tcPr>
            <w:tcW w:w="0" w:type="auto"/>
            <w:shd w:val="clear" w:color="auto" w:fill="auto"/>
            <w:vAlign w:val="center"/>
          </w:tcPr>
          <w:p w14:paraId="3693DCD0" w14:textId="77777777" w:rsidR="003734EC" w:rsidRDefault="003734EC">
            <w:pPr>
              <w:rPr>
                <w:rFonts w:ascii="宋体"/>
              </w:rPr>
            </w:pPr>
          </w:p>
        </w:tc>
        <w:tc>
          <w:tcPr>
            <w:tcW w:w="0" w:type="auto"/>
            <w:shd w:val="clear" w:color="auto" w:fill="auto"/>
            <w:vAlign w:val="center"/>
          </w:tcPr>
          <w:p w14:paraId="3693DCD1" w14:textId="77777777" w:rsidR="003734EC" w:rsidRDefault="003734EC">
            <w:pPr>
              <w:rPr>
                <w:rFonts w:ascii="宋体"/>
              </w:rPr>
            </w:pPr>
          </w:p>
        </w:tc>
      </w:tr>
      <w:tr w:rsidR="003734EC" w14:paraId="3693DCE3" w14:textId="77777777">
        <w:tc>
          <w:tcPr>
            <w:tcW w:w="0" w:type="auto"/>
            <w:gridSpan w:val="3"/>
            <w:shd w:val="clear" w:color="auto" w:fill="E2EFD9"/>
            <w:tcMar>
              <w:top w:w="40" w:type="dxa"/>
              <w:left w:w="495" w:type="dxa"/>
              <w:bottom w:w="40" w:type="dxa"/>
              <w:right w:w="20" w:type="dxa"/>
            </w:tcMar>
            <w:vAlign w:val="bottom"/>
          </w:tcPr>
          <w:p w14:paraId="3693DCD3" w14:textId="77777777" w:rsidR="003734EC" w:rsidRDefault="000E364E">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3693DCD4"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bottom w:w="40" w:type="dxa"/>
              <w:right w:w="20" w:type="dxa"/>
            </w:tcMar>
            <w:vAlign w:val="bottom"/>
          </w:tcPr>
          <w:p w14:paraId="3693DCD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D6"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CD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DCD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D9" w14:textId="77777777" w:rsidR="003734EC" w:rsidRDefault="003734EC">
            <w:pPr>
              <w:rPr>
                <w:rFonts w:ascii="宋体"/>
                <w:vanish/>
              </w:rPr>
            </w:pPr>
          </w:p>
        </w:tc>
        <w:tc>
          <w:tcPr>
            <w:tcW w:w="0" w:type="auto"/>
            <w:shd w:val="clear" w:color="auto" w:fill="auto"/>
            <w:vAlign w:val="center"/>
          </w:tcPr>
          <w:p w14:paraId="3693DCDA" w14:textId="77777777" w:rsidR="003734EC" w:rsidRDefault="003734EC">
            <w:pPr>
              <w:rPr>
                <w:rFonts w:ascii="宋体"/>
                <w:vanish/>
              </w:rPr>
            </w:pPr>
          </w:p>
        </w:tc>
        <w:tc>
          <w:tcPr>
            <w:tcW w:w="0" w:type="auto"/>
            <w:shd w:val="clear" w:color="auto" w:fill="auto"/>
            <w:vAlign w:val="center"/>
          </w:tcPr>
          <w:p w14:paraId="3693DCDB" w14:textId="77777777" w:rsidR="003734EC" w:rsidRDefault="003734EC">
            <w:pPr>
              <w:rPr>
                <w:rFonts w:ascii="宋体"/>
                <w:vanish/>
              </w:rPr>
            </w:pPr>
          </w:p>
        </w:tc>
        <w:tc>
          <w:tcPr>
            <w:tcW w:w="0" w:type="auto"/>
            <w:shd w:val="clear" w:color="auto" w:fill="auto"/>
            <w:vAlign w:val="center"/>
          </w:tcPr>
          <w:p w14:paraId="3693DCDC" w14:textId="77777777" w:rsidR="003734EC" w:rsidRDefault="003734EC">
            <w:pPr>
              <w:rPr>
                <w:rFonts w:ascii="宋体"/>
                <w:vanish/>
              </w:rPr>
            </w:pPr>
          </w:p>
        </w:tc>
        <w:tc>
          <w:tcPr>
            <w:tcW w:w="0" w:type="auto"/>
            <w:shd w:val="clear" w:color="auto" w:fill="auto"/>
            <w:vAlign w:val="center"/>
          </w:tcPr>
          <w:p w14:paraId="3693DCDD" w14:textId="77777777" w:rsidR="003734EC" w:rsidRDefault="003734EC">
            <w:pPr>
              <w:rPr>
                <w:rFonts w:ascii="宋体"/>
              </w:rPr>
            </w:pPr>
          </w:p>
        </w:tc>
        <w:tc>
          <w:tcPr>
            <w:tcW w:w="0" w:type="auto"/>
            <w:shd w:val="clear" w:color="auto" w:fill="auto"/>
            <w:vAlign w:val="center"/>
          </w:tcPr>
          <w:p w14:paraId="3693DCDE" w14:textId="77777777" w:rsidR="003734EC" w:rsidRDefault="003734EC">
            <w:pPr>
              <w:rPr>
                <w:rFonts w:ascii="宋体"/>
              </w:rPr>
            </w:pPr>
          </w:p>
        </w:tc>
        <w:tc>
          <w:tcPr>
            <w:tcW w:w="0" w:type="auto"/>
            <w:shd w:val="clear" w:color="auto" w:fill="auto"/>
            <w:vAlign w:val="center"/>
          </w:tcPr>
          <w:p w14:paraId="3693DCDF" w14:textId="77777777" w:rsidR="003734EC" w:rsidRDefault="003734EC">
            <w:pPr>
              <w:rPr>
                <w:rFonts w:ascii="宋体"/>
              </w:rPr>
            </w:pPr>
          </w:p>
        </w:tc>
        <w:tc>
          <w:tcPr>
            <w:tcW w:w="0" w:type="auto"/>
            <w:shd w:val="clear" w:color="auto" w:fill="auto"/>
            <w:vAlign w:val="center"/>
          </w:tcPr>
          <w:p w14:paraId="3693DCE0" w14:textId="77777777" w:rsidR="003734EC" w:rsidRDefault="003734EC">
            <w:pPr>
              <w:rPr>
                <w:rFonts w:ascii="宋体"/>
              </w:rPr>
            </w:pPr>
          </w:p>
        </w:tc>
        <w:tc>
          <w:tcPr>
            <w:tcW w:w="0" w:type="auto"/>
            <w:shd w:val="clear" w:color="auto" w:fill="auto"/>
            <w:vAlign w:val="center"/>
          </w:tcPr>
          <w:p w14:paraId="3693DCE1" w14:textId="77777777" w:rsidR="003734EC" w:rsidRDefault="003734EC">
            <w:pPr>
              <w:rPr>
                <w:rFonts w:ascii="宋体"/>
              </w:rPr>
            </w:pPr>
          </w:p>
        </w:tc>
        <w:tc>
          <w:tcPr>
            <w:tcW w:w="0" w:type="auto"/>
            <w:shd w:val="clear" w:color="auto" w:fill="auto"/>
            <w:vAlign w:val="center"/>
          </w:tcPr>
          <w:p w14:paraId="3693DCE2" w14:textId="77777777" w:rsidR="003734EC" w:rsidRDefault="003734EC">
            <w:pPr>
              <w:rPr>
                <w:rFonts w:ascii="宋体"/>
              </w:rPr>
            </w:pPr>
          </w:p>
        </w:tc>
      </w:tr>
      <w:tr w:rsidR="003734EC" w14:paraId="3693DCF4" w14:textId="77777777">
        <w:tc>
          <w:tcPr>
            <w:tcW w:w="0" w:type="auto"/>
            <w:gridSpan w:val="3"/>
            <w:shd w:val="clear" w:color="auto" w:fill="FFFFFF"/>
            <w:tcMar>
              <w:top w:w="40" w:type="dxa"/>
              <w:left w:w="855" w:type="dxa"/>
              <w:bottom w:w="40" w:type="dxa"/>
              <w:right w:w="20" w:type="dxa"/>
            </w:tcMar>
            <w:vAlign w:val="bottom"/>
          </w:tcPr>
          <w:p w14:paraId="3693DCE4" w14:textId="77777777" w:rsidR="003734EC" w:rsidRDefault="000E364E">
            <w:pPr>
              <w:textAlignment w:val="bottom"/>
            </w:pPr>
            <w:r>
              <w:rPr>
                <w:rFonts w:ascii="sans-serif" w:eastAsia="sans-serif" w:hAnsi="sans-serif" w:cs="sans-serif"/>
                <w:color w:val="000000"/>
                <w:sz w:val="20"/>
                <w:szCs w:val="20"/>
              </w:rPr>
              <w:t>Other income,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CE5" w14:textId="77777777" w:rsidR="003734EC" w:rsidRDefault="000E364E">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FFFFFF"/>
            <w:tcMar>
              <w:top w:w="40" w:type="dxa"/>
              <w:bottom w:w="40" w:type="dxa"/>
              <w:right w:w="20" w:type="dxa"/>
            </w:tcMar>
            <w:vAlign w:val="bottom"/>
          </w:tcPr>
          <w:p w14:paraId="3693DCE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CE7"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CE8" w14:textId="77777777" w:rsidR="003734EC" w:rsidRDefault="000E364E">
            <w:pPr>
              <w:jc w:val="right"/>
              <w:textAlignment w:val="bottom"/>
            </w:pPr>
            <w:r>
              <w:rPr>
                <w:rFonts w:ascii="sans-serif" w:eastAsia="sans-serif" w:hAnsi="sans-serif" w:cs="sans-serif"/>
                <w:color w:val="000000"/>
                <w:sz w:val="20"/>
                <w:szCs w:val="20"/>
              </w:rPr>
              <w:t>31 </w:t>
            </w:r>
          </w:p>
        </w:tc>
        <w:tc>
          <w:tcPr>
            <w:tcW w:w="0" w:type="auto"/>
            <w:tcBorders>
              <w:top w:val="single" w:sz="8" w:space="0" w:color="000000"/>
            </w:tcBorders>
            <w:shd w:val="clear" w:color="auto" w:fill="FFFFFF"/>
            <w:tcMar>
              <w:top w:w="40" w:type="dxa"/>
              <w:bottom w:w="40" w:type="dxa"/>
              <w:right w:w="20" w:type="dxa"/>
            </w:tcMar>
            <w:vAlign w:val="bottom"/>
          </w:tcPr>
          <w:p w14:paraId="3693DCE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EA" w14:textId="77777777" w:rsidR="003734EC" w:rsidRDefault="003734EC">
            <w:pPr>
              <w:rPr>
                <w:rFonts w:ascii="宋体"/>
                <w:vanish/>
              </w:rPr>
            </w:pPr>
          </w:p>
        </w:tc>
        <w:tc>
          <w:tcPr>
            <w:tcW w:w="0" w:type="auto"/>
            <w:shd w:val="clear" w:color="auto" w:fill="auto"/>
            <w:vAlign w:val="center"/>
          </w:tcPr>
          <w:p w14:paraId="3693DCEB" w14:textId="77777777" w:rsidR="003734EC" w:rsidRDefault="003734EC">
            <w:pPr>
              <w:rPr>
                <w:rFonts w:ascii="宋体"/>
                <w:vanish/>
              </w:rPr>
            </w:pPr>
          </w:p>
        </w:tc>
        <w:tc>
          <w:tcPr>
            <w:tcW w:w="0" w:type="auto"/>
            <w:shd w:val="clear" w:color="auto" w:fill="auto"/>
            <w:vAlign w:val="center"/>
          </w:tcPr>
          <w:p w14:paraId="3693DCEC" w14:textId="77777777" w:rsidR="003734EC" w:rsidRDefault="003734EC">
            <w:pPr>
              <w:rPr>
                <w:rFonts w:ascii="宋体"/>
                <w:vanish/>
              </w:rPr>
            </w:pPr>
          </w:p>
        </w:tc>
        <w:tc>
          <w:tcPr>
            <w:tcW w:w="0" w:type="auto"/>
            <w:shd w:val="clear" w:color="auto" w:fill="auto"/>
            <w:vAlign w:val="center"/>
          </w:tcPr>
          <w:p w14:paraId="3693DCED" w14:textId="77777777" w:rsidR="003734EC" w:rsidRDefault="003734EC">
            <w:pPr>
              <w:rPr>
                <w:rFonts w:ascii="宋体"/>
                <w:vanish/>
              </w:rPr>
            </w:pPr>
          </w:p>
        </w:tc>
        <w:tc>
          <w:tcPr>
            <w:tcW w:w="0" w:type="auto"/>
            <w:shd w:val="clear" w:color="auto" w:fill="auto"/>
            <w:vAlign w:val="center"/>
          </w:tcPr>
          <w:p w14:paraId="3693DCEE" w14:textId="77777777" w:rsidR="003734EC" w:rsidRDefault="003734EC">
            <w:pPr>
              <w:rPr>
                <w:rFonts w:ascii="宋体"/>
              </w:rPr>
            </w:pPr>
          </w:p>
        </w:tc>
        <w:tc>
          <w:tcPr>
            <w:tcW w:w="0" w:type="auto"/>
            <w:shd w:val="clear" w:color="auto" w:fill="auto"/>
            <w:vAlign w:val="center"/>
          </w:tcPr>
          <w:p w14:paraId="3693DCEF" w14:textId="77777777" w:rsidR="003734EC" w:rsidRDefault="003734EC">
            <w:pPr>
              <w:rPr>
                <w:rFonts w:ascii="宋体"/>
              </w:rPr>
            </w:pPr>
          </w:p>
        </w:tc>
        <w:tc>
          <w:tcPr>
            <w:tcW w:w="0" w:type="auto"/>
            <w:shd w:val="clear" w:color="auto" w:fill="auto"/>
            <w:vAlign w:val="center"/>
          </w:tcPr>
          <w:p w14:paraId="3693DCF0" w14:textId="77777777" w:rsidR="003734EC" w:rsidRDefault="003734EC">
            <w:pPr>
              <w:rPr>
                <w:rFonts w:ascii="宋体"/>
              </w:rPr>
            </w:pPr>
          </w:p>
        </w:tc>
        <w:tc>
          <w:tcPr>
            <w:tcW w:w="0" w:type="auto"/>
            <w:shd w:val="clear" w:color="auto" w:fill="auto"/>
            <w:vAlign w:val="center"/>
          </w:tcPr>
          <w:p w14:paraId="3693DCF1" w14:textId="77777777" w:rsidR="003734EC" w:rsidRDefault="003734EC">
            <w:pPr>
              <w:rPr>
                <w:rFonts w:ascii="宋体"/>
              </w:rPr>
            </w:pPr>
          </w:p>
        </w:tc>
        <w:tc>
          <w:tcPr>
            <w:tcW w:w="0" w:type="auto"/>
            <w:shd w:val="clear" w:color="auto" w:fill="auto"/>
            <w:vAlign w:val="center"/>
          </w:tcPr>
          <w:p w14:paraId="3693DCF2" w14:textId="77777777" w:rsidR="003734EC" w:rsidRDefault="003734EC">
            <w:pPr>
              <w:rPr>
                <w:rFonts w:ascii="宋体"/>
              </w:rPr>
            </w:pPr>
          </w:p>
        </w:tc>
        <w:tc>
          <w:tcPr>
            <w:tcW w:w="0" w:type="auto"/>
            <w:shd w:val="clear" w:color="auto" w:fill="auto"/>
            <w:vAlign w:val="center"/>
          </w:tcPr>
          <w:p w14:paraId="3693DCF3" w14:textId="77777777" w:rsidR="003734EC" w:rsidRDefault="003734EC">
            <w:pPr>
              <w:rPr>
                <w:rFonts w:ascii="宋体"/>
              </w:rPr>
            </w:pPr>
          </w:p>
        </w:tc>
      </w:tr>
      <w:tr w:rsidR="003734EC" w14:paraId="3693DD06" w14:textId="77777777">
        <w:tc>
          <w:tcPr>
            <w:tcW w:w="0" w:type="auto"/>
            <w:gridSpan w:val="2"/>
            <w:shd w:val="clear" w:color="auto" w:fill="E2EFD9"/>
            <w:tcMar>
              <w:top w:w="40" w:type="dxa"/>
              <w:left w:w="20" w:type="dxa"/>
              <w:bottom w:w="40" w:type="dxa"/>
              <w:right w:w="0" w:type="dxa"/>
            </w:tcMar>
            <w:vAlign w:val="bottom"/>
          </w:tcPr>
          <w:p w14:paraId="3693DCF5" w14:textId="77777777" w:rsidR="003734EC" w:rsidRDefault="000E364E">
            <w:pPr>
              <w:textAlignment w:val="bottom"/>
            </w:pPr>
            <w:r>
              <w:rPr>
                <w:rFonts w:ascii="sans-serif" w:eastAsia="sans-serif" w:hAnsi="sans-serif" w:cs="sans-serif"/>
                <w:color w:val="000000"/>
                <w:sz w:val="20"/>
                <w:szCs w:val="20"/>
              </w:rPr>
              <w:t>Income before income tax </w:t>
            </w:r>
          </w:p>
        </w:tc>
        <w:tc>
          <w:tcPr>
            <w:tcW w:w="0" w:type="auto"/>
            <w:shd w:val="clear" w:color="auto" w:fill="E2EFD9"/>
            <w:tcMar>
              <w:top w:w="40" w:type="dxa"/>
              <w:bottom w:w="40" w:type="dxa"/>
              <w:right w:w="20" w:type="dxa"/>
            </w:tcMar>
            <w:vAlign w:val="bottom"/>
          </w:tcPr>
          <w:p w14:paraId="3693DCF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F7" w14:textId="77777777" w:rsidR="003734EC" w:rsidRDefault="000E364E">
            <w:pPr>
              <w:jc w:val="right"/>
              <w:textAlignment w:val="bottom"/>
            </w:pPr>
            <w:r>
              <w:rPr>
                <w:rFonts w:ascii="sans-serif" w:eastAsia="sans-serif" w:hAnsi="sans-serif" w:cs="sans-serif"/>
                <w:color w:val="000000"/>
                <w:sz w:val="20"/>
                <w:szCs w:val="20"/>
              </w:rPr>
              <w:t>981 </w:t>
            </w:r>
          </w:p>
        </w:tc>
        <w:tc>
          <w:tcPr>
            <w:tcW w:w="0" w:type="auto"/>
            <w:tcBorders>
              <w:top w:val="single" w:sz="8" w:space="0" w:color="000000"/>
            </w:tcBorders>
            <w:shd w:val="clear" w:color="auto" w:fill="E2EFD9"/>
            <w:tcMar>
              <w:top w:w="40" w:type="dxa"/>
              <w:bottom w:w="40" w:type="dxa"/>
              <w:right w:w="20" w:type="dxa"/>
            </w:tcMar>
            <w:vAlign w:val="bottom"/>
          </w:tcPr>
          <w:p w14:paraId="3693DCF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CF9"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CFA" w14:textId="77777777" w:rsidR="003734EC" w:rsidRDefault="000E364E">
            <w:pPr>
              <w:jc w:val="right"/>
              <w:textAlignment w:val="bottom"/>
            </w:pPr>
            <w:r>
              <w:rPr>
                <w:rFonts w:ascii="sans-serif" w:eastAsia="sans-serif" w:hAnsi="sans-serif" w:cs="sans-serif"/>
                <w:color w:val="000000"/>
                <w:sz w:val="20"/>
                <w:szCs w:val="20"/>
              </w:rPr>
              <w:t>389 </w:t>
            </w:r>
          </w:p>
        </w:tc>
        <w:tc>
          <w:tcPr>
            <w:tcW w:w="0" w:type="auto"/>
            <w:tcBorders>
              <w:top w:val="single" w:sz="8" w:space="0" w:color="000000"/>
            </w:tcBorders>
            <w:shd w:val="clear" w:color="auto" w:fill="E2EFD9"/>
            <w:tcMar>
              <w:top w:w="40" w:type="dxa"/>
              <w:bottom w:w="40" w:type="dxa"/>
              <w:right w:w="20" w:type="dxa"/>
            </w:tcMar>
            <w:vAlign w:val="bottom"/>
          </w:tcPr>
          <w:p w14:paraId="3693DCF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CFC" w14:textId="77777777" w:rsidR="003734EC" w:rsidRDefault="003734EC">
            <w:pPr>
              <w:rPr>
                <w:rFonts w:ascii="宋体"/>
                <w:vanish/>
              </w:rPr>
            </w:pPr>
          </w:p>
        </w:tc>
        <w:tc>
          <w:tcPr>
            <w:tcW w:w="0" w:type="auto"/>
            <w:shd w:val="clear" w:color="auto" w:fill="auto"/>
            <w:vAlign w:val="center"/>
          </w:tcPr>
          <w:p w14:paraId="3693DCFD" w14:textId="77777777" w:rsidR="003734EC" w:rsidRDefault="003734EC">
            <w:pPr>
              <w:rPr>
                <w:rFonts w:ascii="宋体"/>
                <w:vanish/>
              </w:rPr>
            </w:pPr>
          </w:p>
        </w:tc>
        <w:tc>
          <w:tcPr>
            <w:tcW w:w="0" w:type="auto"/>
            <w:shd w:val="clear" w:color="auto" w:fill="auto"/>
            <w:vAlign w:val="center"/>
          </w:tcPr>
          <w:p w14:paraId="3693DCFE" w14:textId="77777777" w:rsidR="003734EC" w:rsidRDefault="003734EC">
            <w:pPr>
              <w:rPr>
                <w:rFonts w:ascii="宋体"/>
                <w:vanish/>
              </w:rPr>
            </w:pPr>
          </w:p>
        </w:tc>
        <w:tc>
          <w:tcPr>
            <w:tcW w:w="0" w:type="auto"/>
            <w:shd w:val="clear" w:color="auto" w:fill="auto"/>
            <w:vAlign w:val="center"/>
          </w:tcPr>
          <w:p w14:paraId="3693DCFF" w14:textId="77777777" w:rsidR="003734EC" w:rsidRDefault="003734EC">
            <w:pPr>
              <w:rPr>
                <w:rFonts w:ascii="宋体"/>
                <w:vanish/>
              </w:rPr>
            </w:pPr>
          </w:p>
        </w:tc>
        <w:tc>
          <w:tcPr>
            <w:tcW w:w="0" w:type="auto"/>
            <w:shd w:val="clear" w:color="auto" w:fill="auto"/>
            <w:vAlign w:val="center"/>
          </w:tcPr>
          <w:p w14:paraId="3693DD00" w14:textId="77777777" w:rsidR="003734EC" w:rsidRDefault="003734EC">
            <w:pPr>
              <w:rPr>
                <w:rFonts w:ascii="宋体"/>
              </w:rPr>
            </w:pPr>
          </w:p>
        </w:tc>
        <w:tc>
          <w:tcPr>
            <w:tcW w:w="0" w:type="auto"/>
            <w:shd w:val="clear" w:color="auto" w:fill="auto"/>
            <w:vAlign w:val="center"/>
          </w:tcPr>
          <w:p w14:paraId="3693DD01" w14:textId="77777777" w:rsidR="003734EC" w:rsidRDefault="003734EC">
            <w:pPr>
              <w:rPr>
                <w:rFonts w:ascii="宋体"/>
              </w:rPr>
            </w:pPr>
          </w:p>
        </w:tc>
        <w:tc>
          <w:tcPr>
            <w:tcW w:w="0" w:type="auto"/>
            <w:shd w:val="clear" w:color="auto" w:fill="auto"/>
            <w:vAlign w:val="center"/>
          </w:tcPr>
          <w:p w14:paraId="3693DD02" w14:textId="77777777" w:rsidR="003734EC" w:rsidRDefault="003734EC">
            <w:pPr>
              <w:rPr>
                <w:rFonts w:ascii="宋体"/>
              </w:rPr>
            </w:pPr>
          </w:p>
        </w:tc>
        <w:tc>
          <w:tcPr>
            <w:tcW w:w="0" w:type="auto"/>
            <w:shd w:val="clear" w:color="auto" w:fill="auto"/>
            <w:vAlign w:val="center"/>
          </w:tcPr>
          <w:p w14:paraId="3693DD03" w14:textId="77777777" w:rsidR="003734EC" w:rsidRDefault="003734EC">
            <w:pPr>
              <w:rPr>
                <w:rFonts w:ascii="宋体"/>
              </w:rPr>
            </w:pPr>
          </w:p>
        </w:tc>
        <w:tc>
          <w:tcPr>
            <w:tcW w:w="0" w:type="auto"/>
            <w:shd w:val="clear" w:color="auto" w:fill="auto"/>
            <w:vAlign w:val="center"/>
          </w:tcPr>
          <w:p w14:paraId="3693DD04" w14:textId="77777777" w:rsidR="003734EC" w:rsidRDefault="003734EC">
            <w:pPr>
              <w:rPr>
                <w:rFonts w:ascii="宋体"/>
              </w:rPr>
            </w:pPr>
          </w:p>
        </w:tc>
        <w:tc>
          <w:tcPr>
            <w:tcW w:w="0" w:type="auto"/>
            <w:shd w:val="clear" w:color="auto" w:fill="auto"/>
            <w:vAlign w:val="center"/>
          </w:tcPr>
          <w:p w14:paraId="3693DD05" w14:textId="77777777" w:rsidR="003734EC" w:rsidRDefault="003734EC">
            <w:pPr>
              <w:rPr>
                <w:rFonts w:ascii="宋体"/>
              </w:rPr>
            </w:pPr>
          </w:p>
        </w:tc>
      </w:tr>
      <w:tr w:rsidR="003734EC" w14:paraId="3693DD18" w14:textId="77777777">
        <w:tc>
          <w:tcPr>
            <w:tcW w:w="0" w:type="auto"/>
            <w:gridSpan w:val="2"/>
            <w:shd w:val="clear" w:color="auto" w:fill="FFFFFF"/>
            <w:tcMar>
              <w:top w:w="40" w:type="dxa"/>
              <w:left w:w="20" w:type="dxa"/>
              <w:bottom w:w="40" w:type="dxa"/>
              <w:right w:w="0" w:type="dxa"/>
            </w:tcMar>
            <w:vAlign w:val="bottom"/>
          </w:tcPr>
          <w:p w14:paraId="3693DD07" w14:textId="77777777" w:rsidR="003734EC" w:rsidRDefault="000E364E">
            <w:pPr>
              <w:textAlignment w:val="bottom"/>
            </w:pPr>
            <w:r>
              <w:rPr>
                <w:rFonts w:ascii="sans-serif" w:eastAsia="sans-serif" w:hAnsi="sans-serif" w:cs="sans-serif"/>
                <w:color w:val="000000"/>
                <w:sz w:val="20"/>
                <w:szCs w:val="20"/>
              </w:rPr>
              <w:t>Income tax expense (benefit)</w:t>
            </w:r>
          </w:p>
        </w:tc>
        <w:tc>
          <w:tcPr>
            <w:tcW w:w="0" w:type="auto"/>
            <w:shd w:val="clear" w:color="auto" w:fill="FFFFFF"/>
            <w:tcMar>
              <w:top w:w="40" w:type="dxa"/>
              <w:bottom w:w="40" w:type="dxa"/>
              <w:right w:w="20" w:type="dxa"/>
            </w:tcMar>
            <w:vAlign w:val="bottom"/>
          </w:tcPr>
          <w:p w14:paraId="3693DD0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693DD09" w14:textId="77777777" w:rsidR="003734EC" w:rsidRDefault="000E364E">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bottom w:w="40" w:type="dxa"/>
              <w:right w:w="20" w:type="dxa"/>
            </w:tcMar>
            <w:vAlign w:val="bottom"/>
          </w:tcPr>
          <w:p w14:paraId="3693DD0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D0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D0C" w14:textId="77777777" w:rsidR="003734EC" w:rsidRDefault="000E364E">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bottom w:w="40" w:type="dxa"/>
              <w:right w:w="20" w:type="dxa"/>
            </w:tcMar>
            <w:vAlign w:val="bottom"/>
          </w:tcPr>
          <w:p w14:paraId="3693DD0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0E" w14:textId="77777777" w:rsidR="003734EC" w:rsidRDefault="003734EC">
            <w:pPr>
              <w:rPr>
                <w:rFonts w:ascii="宋体"/>
                <w:vanish/>
              </w:rPr>
            </w:pPr>
          </w:p>
        </w:tc>
        <w:tc>
          <w:tcPr>
            <w:tcW w:w="0" w:type="auto"/>
            <w:shd w:val="clear" w:color="auto" w:fill="auto"/>
            <w:vAlign w:val="center"/>
          </w:tcPr>
          <w:p w14:paraId="3693DD0F" w14:textId="77777777" w:rsidR="003734EC" w:rsidRDefault="003734EC">
            <w:pPr>
              <w:rPr>
                <w:rFonts w:ascii="宋体"/>
                <w:vanish/>
              </w:rPr>
            </w:pPr>
          </w:p>
        </w:tc>
        <w:tc>
          <w:tcPr>
            <w:tcW w:w="0" w:type="auto"/>
            <w:shd w:val="clear" w:color="auto" w:fill="auto"/>
            <w:vAlign w:val="center"/>
          </w:tcPr>
          <w:p w14:paraId="3693DD10" w14:textId="77777777" w:rsidR="003734EC" w:rsidRDefault="003734EC">
            <w:pPr>
              <w:rPr>
                <w:rFonts w:ascii="宋体"/>
                <w:vanish/>
              </w:rPr>
            </w:pPr>
          </w:p>
        </w:tc>
        <w:tc>
          <w:tcPr>
            <w:tcW w:w="0" w:type="auto"/>
            <w:shd w:val="clear" w:color="auto" w:fill="auto"/>
            <w:vAlign w:val="center"/>
          </w:tcPr>
          <w:p w14:paraId="3693DD11" w14:textId="77777777" w:rsidR="003734EC" w:rsidRDefault="003734EC">
            <w:pPr>
              <w:rPr>
                <w:rFonts w:ascii="宋体"/>
                <w:vanish/>
              </w:rPr>
            </w:pPr>
          </w:p>
        </w:tc>
        <w:tc>
          <w:tcPr>
            <w:tcW w:w="0" w:type="auto"/>
            <w:shd w:val="clear" w:color="auto" w:fill="auto"/>
            <w:vAlign w:val="center"/>
          </w:tcPr>
          <w:p w14:paraId="3693DD12" w14:textId="77777777" w:rsidR="003734EC" w:rsidRDefault="003734EC">
            <w:pPr>
              <w:rPr>
                <w:rFonts w:ascii="宋体"/>
              </w:rPr>
            </w:pPr>
          </w:p>
        </w:tc>
        <w:tc>
          <w:tcPr>
            <w:tcW w:w="0" w:type="auto"/>
            <w:shd w:val="clear" w:color="auto" w:fill="auto"/>
            <w:vAlign w:val="center"/>
          </w:tcPr>
          <w:p w14:paraId="3693DD13" w14:textId="77777777" w:rsidR="003734EC" w:rsidRDefault="003734EC">
            <w:pPr>
              <w:rPr>
                <w:rFonts w:ascii="宋体"/>
              </w:rPr>
            </w:pPr>
          </w:p>
        </w:tc>
        <w:tc>
          <w:tcPr>
            <w:tcW w:w="0" w:type="auto"/>
            <w:shd w:val="clear" w:color="auto" w:fill="auto"/>
            <w:vAlign w:val="center"/>
          </w:tcPr>
          <w:p w14:paraId="3693DD14" w14:textId="77777777" w:rsidR="003734EC" w:rsidRDefault="003734EC">
            <w:pPr>
              <w:rPr>
                <w:rFonts w:ascii="宋体"/>
              </w:rPr>
            </w:pPr>
          </w:p>
        </w:tc>
        <w:tc>
          <w:tcPr>
            <w:tcW w:w="0" w:type="auto"/>
            <w:shd w:val="clear" w:color="auto" w:fill="auto"/>
            <w:vAlign w:val="center"/>
          </w:tcPr>
          <w:p w14:paraId="3693DD15" w14:textId="77777777" w:rsidR="003734EC" w:rsidRDefault="003734EC">
            <w:pPr>
              <w:rPr>
                <w:rFonts w:ascii="宋体"/>
              </w:rPr>
            </w:pPr>
          </w:p>
        </w:tc>
        <w:tc>
          <w:tcPr>
            <w:tcW w:w="0" w:type="auto"/>
            <w:shd w:val="clear" w:color="auto" w:fill="auto"/>
            <w:vAlign w:val="center"/>
          </w:tcPr>
          <w:p w14:paraId="3693DD16" w14:textId="77777777" w:rsidR="003734EC" w:rsidRDefault="003734EC">
            <w:pPr>
              <w:rPr>
                <w:rFonts w:ascii="宋体"/>
              </w:rPr>
            </w:pPr>
          </w:p>
        </w:tc>
        <w:tc>
          <w:tcPr>
            <w:tcW w:w="0" w:type="auto"/>
            <w:shd w:val="clear" w:color="auto" w:fill="auto"/>
            <w:vAlign w:val="center"/>
          </w:tcPr>
          <w:p w14:paraId="3693DD17" w14:textId="77777777" w:rsidR="003734EC" w:rsidRDefault="003734EC">
            <w:pPr>
              <w:rPr>
                <w:rFonts w:ascii="宋体"/>
              </w:rPr>
            </w:pPr>
          </w:p>
        </w:tc>
      </w:tr>
      <w:tr w:rsidR="003734EC" w14:paraId="3693DD2B" w14:textId="77777777">
        <w:tc>
          <w:tcPr>
            <w:tcW w:w="0" w:type="auto"/>
            <w:gridSpan w:val="3"/>
            <w:shd w:val="clear" w:color="auto" w:fill="E2EFD9"/>
            <w:tcMar>
              <w:top w:w="40" w:type="dxa"/>
              <w:left w:w="20" w:type="dxa"/>
              <w:bottom w:w="40" w:type="dxa"/>
              <w:right w:w="20" w:type="dxa"/>
            </w:tcMar>
            <w:vAlign w:val="bottom"/>
          </w:tcPr>
          <w:p w14:paraId="3693DD19" w14:textId="77777777" w:rsidR="003734EC" w:rsidRDefault="000E364E">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tcMar>
            <w:vAlign w:val="bottom"/>
          </w:tcPr>
          <w:p w14:paraId="3693DD1A"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3693DD1B" w14:textId="77777777" w:rsidR="003734EC" w:rsidRDefault="000E364E">
            <w:pPr>
              <w:jc w:val="right"/>
              <w:textAlignment w:val="bottom"/>
            </w:pPr>
            <w:r>
              <w:rPr>
                <w:rFonts w:ascii="sans-serif" w:eastAsia="sans-serif" w:hAnsi="sans-serif" w:cs="sans-serif"/>
                <w:color w:val="000000"/>
                <w:sz w:val="20"/>
                <w:szCs w:val="20"/>
              </w:rPr>
              <w:t>917 </w:t>
            </w:r>
          </w:p>
        </w:tc>
        <w:tc>
          <w:tcPr>
            <w:tcW w:w="0" w:type="auto"/>
            <w:tcBorders>
              <w:top w:val="single" w:sz="8" w:space="0" w:color="000000"/>
            </w:tcBorders>
            <w:shd w:val="clear" w:color="auto" w:fill="E2EFD9"/>
            <w:tcMar>
              <w:top w:w="40" w:type="dxa"/>
              <w:bottom w:w="40" w:type="dxa"/>
              <w:right w:w="20" w:type="dxa"/>
            </w:tcMar>
            <w:vAlign w:val="bottom"/>
          </w:tcPr>
          <w:p w14:paraId="3693DD1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D1D"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DD1E"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3693DD1F" w14:textId="77777777" w:rsidR="003734EC" w:rsidRDefault="000E364E">
            <w:pPr>
              <w:jc w:val="right"/>
              <w:textAlignment w:val="bottom"/>
            </w:pPr>
            <w:r>
              <w:rPr>
                <w:rFonts w:ascii="sans-serif" w:eastAsia="sans-serif" w:hAnsi="sans-serif" w:cs="sans-serif"/>
                <w:color w:val="000000"/>
                <w:sz w:val="20"/>
                <w:szCs w:val="20"/>
              </w:rPr>
              <w:t>394 </w:t>
            </w:r>
          </w:p>
        </w:tc>
        <w:tc>
          <w:tcPr>
            <w:tcW w:w="0" w:type="auto"/>
            <w:tcBorders>
              <w:top w:val="single" w:sz="8" w:space="0" w:color="000000"/>
            </w:tcBorders>
            <w:shd w:val="clear" w:color="auto" w:fill="E2EFD9"/>
            <w:tcMar>
              <w:top w:w="40" w:type="dxa"/>
              <w:bottom w:w="40" w:type="dxa"/>
              <w:right w:w="20" w:type="dxa"/>
            </w:tcMar>
            <w:vAlign w:val="bottom"/>
          </w:tcPr>
          <w:p w14:paraId="3693DD2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21" w14:textId="77777777" w:rsidR="003734EC" w:rsidRDefault="003734EC">
            <w:pPr>
              <w:rPr>
                <w:rFonts w:ascii="宋体"/>
                <w:vanish/>
              </w:rPr>
            </w:pPr>
          </w:p>
        </w:tc>
        <w:tc>
          <w:tcPr>
            <w:tcW w:w="0" w:type="auto"/>
            <w:shd w:val="clear" w:color="auto" w:fill="auto"/>
            <w:vAlign w:val="center"/>
          </w:tcPr>
          <w:p w14:paraId="3693DD22" w14:textId="77777777" w:rsidR="003734EC" w:rsidRDefault="003734EC">
            <w:pPr>
              <w:rPr>
                <w:rFonts w:ascii="宋体"/>
                <w:vanish/>
              </w:rPr>
            </w:pPr>
          </w:p>
        </w:tc>
        <w:tc>
          <w:tcPr>
            <w:tcW w:w="0" w:type="auto"/>
            <w:shd w:val="clear" w:color="auto" w:fill="auto"/>
            <w:vAlign w:val="center"/>
          </w:tcPr>
          <w:p w14:paraId="3693DD23" w14:textId="77777777" w:rsidR="003734EC" w:rsidRDefault="003734EC">
            <w:pPr>
              <w:rPr>
                <w:rFonts w:ascii="宋体"/>
                <w:vanish/>
              </w:rPr>
            </w:pPr>
          </w:p>
        </w:tc>
        <w:tc>
          <w:tcPr>
            <w:tcW w:w="0" w:type="auto"/>
            <w:shd w:val="clear" w:color="auto" w:fill="auto"/>
            <w:vAlign w:val="center"/>
          </w:tcPr>
          <w:p w14:paraId="3693DD24" w14:textId="77777777" w:rsidR="003734EC" w:rsidRDefault="003734EC">
            <w:pPr>
              <w:rPr>
                <w:rFonts w:ascii="宋体"/>
                <w:vanish/>
              </w:rPr>
            </w:pPr>
          </w:p>
        </w:tc>
        <w:tc>
          <w:tcPr>
            <w:tcW w:w="0" w:type="auto"/>
            <w:shd w:val="clear" w:color="auto" w:fill="auto"/>
            <w:vAlign w:val="center"/>
          </w:tcPr>
          <w:p w14:paraId="3693DD25" w14:textId="77777777" w:rsidR="003734EC" w:rsidRDefault="003734EC">
            <w:pPr>
              <w:rPr>
                <w:rFonts w:ascii="宋体"/>
              </w:rPr>
            </w:pPr>
          </w:p>
        </w:tc>
        <w:tc>
          <w:tcPr>
            <w:tcW w:w="0" w:type="auto"/>
            <w:shd w:val="clear" w:color="auto" w:fill="auto"/>
            <w:vAlign w:val="center"/>
          </w:tcPr>
          <w:p w14:paraId="3693DD26" w14:textId="77777777" w:rsidR="003734EC" w:rsidRDefault="003734EC">
            <w:pPr>
              <w:rPr>
                <w:rFonts w:ascii="宋体"/>
              </w:rPr>
            </w:pPr>
          </w:p>
        </w:tc>
        <w:tc>
          <w:tcPr>
            <w:tcW w:w="0" w:type="auto"/>
            <w:shd w:val="clear" w:color="auto" w:fill="auto"/>
            <w:vAlign w:val="center"/>
          </w:tcPr>
          <w:p w14:paraId="3693DD27" w14:textId="77777777" w:rsidR="003734EC" w:rsidRDefault="003734EC">
            <w:pPr>
              <w:rPr>
                <w:rFonts w:ascii="宋体"/>
              </w:rPr>
            </w:pPr>
          </w:p>
        </w:tc>
        <w:tc>
          <w:tcPr>
            <w:tcW w:w="0" w:type="auto"/>
            <w:shd w:val="clear" w:color="auto" w:fill="auto"/>
            <w:vAlign w:val="center"/>
          </w:tcPr>
          <w:p w14:paraId="3693DD28" w14:textId="77777777" w:rsidR="003734EC" w:rsidRDefault="003734EC">
            <w:pPr>
              <w:rPr>
                <w:rFonts w:ascii="宋体"/>
              </w:rPr>
            </w:pPr>
          </w:p>
        </w:tc>
        <w:tc>
          <w:tcPr>
            <w:tcW w:w="0" w:type="auto"/>
            <w:shd w:val="clear" w:color="auto" w:fill="auto"/>
            <w:vAlign w:val="center"/>
          </w:tcPr>
          <w:p w14:paraId="3693DD29" w14:textId="77777777" w:rsidR="003734EC" w:rsidRDefault="003734EC">
            <w:pPr>
              <w:rPr>
                <w:rFonts w:ascii="宋体"/>
              </w:rPr>
            </w:pPr>
          </w:p>
        </w:tc>
        <w:tc>
          <w:tcPr>
            <w:tcW w:w="0" w:type="auto"/>
            <w:shd w:val="clear" w:color="auto" w:fill="auto"/>
            <w:vAlign w:val="center"/>
          </w:tcPr>
          <w:p w14:paraId="3693DD2A" w14:textId="77777777" w:rsidR="003734EC" w:rsidRDefault="003734EC">
            <w:pPr>
              <w:rPr>
                <w:rFonts w:ascii="宋体"/>
              </w:rPr>
            </w:pPr>
          </w:p>
        </w:tc>
      </w:tr>
      <w:tr w:rsidR="003734EC" w14:paraId="3693DD3A" w14:textId="77777777">
        <w:trPr>
          <w:trHeight w:val="300"/>
        </w:trPr>
        <w:tc>
          <w:tcPr>
            <w:tcW w:w="0" w:type="auto"/>
            <w:gridSpan w:val="3"/>
            <w:shd w:val="clear" w:color="auto" w:fill="FFFFFF"/>
            <w:tcMar>
              <w:left w:w="20" w:type="dxa"/>
              <w:right w:w="20" w:type="dxa"/>
            </w:tcMar>
            <w:vAlign w:val="bottom"/>
          </w:tcPr>
          <w:p w14:paraId="3693DD2C"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D2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D2E"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D2F" w14:textId="77777777" w:rsidR="003734EC" w:rsidRDefault="003734EC">
            <w:pPr>
              <w:rPr>
                <w:rFonts w:ascii="宋体"/>
              </w:rPr>
            </w:pPr>
          </w:p>
        </w:tc>
        <w:tc>
          <w:tcPr>
            <w:tcW w:w="0" w:type="auto"/>
            <w:shd w:val="clear" w:color="auto" w:fill="auto"/>
            <w:vAlign w:val="center"/>
          </w:tcPr>
          <w:p w14:paraId="3693DD30" w14:textId="77777777" w:rsidR="003734EC" w:rsidRDefault="003734EC">
            <w:pPr>
              <w:rPr>
                <w:rFonts w:ascii="宋体"/>
                <w:vanish/>
              </w:rPr>
            </w:pPr>
          </w:p>
        </w:tc>
        <w:tc>
          <w:tcPr>
            <w:tcW w:w="0" w:type="auto"/>
            <w:shd w:val="clear" w:color="auto" w:fill="auto"/>
            <w:vAlign w:val="center"/>
          </w:tcPr>
          <w:p w14:paraId="3693DD31" w14:textId="77777777" w:rsidR="003734EC" w:rsidRDefault="003734EC">
            <w:pPr>
              <w:rPr>
                <w:rFonts w:ascii="宋体"/>
                <w:vanish/>
              </w:rPr>
            </w:pPr>
          </w:p>
        </w:tc>
        <w:tc>
          <w:tcPr>
            <w:tcW w:w="0" w:type="auto"/>
            <w:shd w:val="clear" w:color="auto" w:fill="auto"/>
            <w:vAlign w:val="center"/>
          </w:tcPr>
          <w:p w14:paraId="3693DD32" w14:textId="77777777" w:rsidR="003734EC" w:rsidRDefault="003734EC">
            <w:pPr>
              <w:rPr>
                <w:rFonts w:ascii="宋体"/>
                <w:vanish/>
              </w:rPr>
            </w:pPr>
          </w:p>
        </w:tc>
        <w:tc>
          <w:tcPr>
            <w:tcW w:w="0" w:type="auto"/>
            <w:shd w:val="clear" w:color="auto" w:fill="auto"/>
            <w:vAlign w:val="center"/>
          </w:tcPr>
          <w:p w14:paraId="3693DD33" w14:textId="77777777" w:rsidR="003734EC" w:rsidRDefault="003734EC">
            <w:pPr>
              <w:rPr>
                <w:rFonts w:ascii="宋体"/>
                <w:vanish/>
              </w:rPr>
            </w:pPr>
          </w:p>
        </w:tc>
        <w:tc>
          <w:tcPr>
            <w:tcW w:w="0" w:type="auto"/>
            <w:shd w:val="clear" w:color="auto" w:fill="auto"/>
            <w:vAlign w:val="center"/>
          </w:tcPr>
          <w:p w14:paraId="3693DD34" w14:textId="77777777" w:rsidR="003734EC" w:rsidRDefault="003734EC">
            <w:pPr>
              <w:rPr>
                <w:rFonts w:ascii="宋体"/>
              </w:rPr>
            </w:pPr>
          </w:p>
        </w:tc>
        <w:tc>
          <w:tcPr>
            <w:tcW w:w="0" w:type="auto"/>
            <w:shd w:val="clear" w:color="auto" w:fill="auto"/>
            <w:vAlign w:val="center"/>
          </w:tcPr>
          <w:p w14:paraId="3693DD35" w14:textId="77777777" w:rsidR="003734EC" w:rsidRDefault="003734EC">
            <w:pPr>
              <w:rPr>
                <w:rFonts w:ascii="宋体"/>
              </w:rPr>
            </w:pPr>
          </w:p>
        </w:tc>
        <w:tc>
          <w:tcPr>
            <w:tcW w:w="0" w:type="auto"/>
            <w:shd w:val="clear" w:color="auto" w:fill="auto"/>
            <w:vAlign w:val="center"/>
          </w:tcPr>
          <w:p w14:paraId="3693DD36" w14:textId="77777777" w:rsidR="003734EC" w:rsidRDefault="003734EC">
            <w:pPr>
              <w:rPr>
                <w:rFonts w:ascii="宋体"/>
              </w:rPr>
            </w:pPr>
          </w:p>
        </w:tc>
        <w:tc>
          <w:tcPr>
            <w:tcW w:w="0" w:type="auto"/>
            <w:shd w:val="clear" w:color="auto" w:fill="auto"/>
            <w:vAlign w:val="center"/>
          </w:tcPr>
          <w:p w14:paraId="3693DD37" w14:textId="77777777" w:rsidR="003734EC" w:rsidRDefault="003734EC">
            <w:pPr>
              <w:rPr>
                <w:rFonts w:ascii="宋体"/>
              </w:rPr>
            </w:pPr>
          </w:p>
        </w:tc>
        <w:tc>
          <w:tcPr>
            <w:tcW w:w="0" w:type="auto"/>
            <w:shd w:val="clear" w:color="auto" w:fill="auto"/>
            <w:vAlign w:val="center"/>
          </w:tcPr>
          <w:p w14:paraId="3693DD38" w14:textId="77777777" w:rsidR="003734EC" w:rsidRDefault="003734EC">
            <w:pPr>
              <w:rPr>
                <w:rFonts w:ascii="宋体"/>
              </w:rPr>
            </w:pPr>
          </w:p>
        </w:tc>
        <w:tc>
          <w:tcPr>
            <w:tcW w:w="0" w:type="auto"/>
            <w:shd w:val="clear" w:color="auto" w:fill="auto"/>
            <w:vAlign w:val="center"/>
          </w:tcPr>
          <w:p w14:paraId="3693DD39" w14:textId="77777777" w:rsidR="003734EC" w:rsidRDefault="003734EC">
            <w:pPr>
              <w:rPr>
                <w:rFonts w:ascii="宋体"/>
              </w:rPr>
            </w:pPr>
          </w:p>
        </w:tc>
      </w:tr>
      <w:tr w:rsidR="003734EC" w14:paraId="3693DD49" w14:textId="77777777">
        <w:tc>
          <w:tcPr>
            <w:tcW w:w="0" w:type="auto"/>
            <w:gridSpan w:val="3"/>
            <w:shd w:val="clear" w:color="auto" w:fill="E2EFD9"/>
            <w:tcMar>
              <w:top w:w="40" w:type="dxa"/>
              <w:left w:w="20" w:type="dxa"/>
              <w:bottom w:w="40" w:type="dxa"/>
              <w:right w:w="20" w:type="dxa"/>
            </w:tcMar>
            <w:vAlign w:val="bottom"/>
          </w:tcPr>
          <w:p w14:paraId="3693DD3B" w14:textId="77777777" w:rsidR="003734EC" w:rsidRDefault="000E364E">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left w:w="20" w:type="dxa"/>
              <w:right w:w="20" w:type="dxa"/>
            </w:tcMar>
            <w:vAlign w:val="bottom"/>
          </w:tcPr>
          <w:p w14:paraId="3693DD3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D3D"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D3E" w14:textId="77777777" w:rsidR="003734EC" w:rsidRDefault="003734EC">
            <w:pPr>
              <w:rPr>
                <w:rFonts w:ascii="宋体"/>
              </w:rPr>
            </w:pPr>
          </w:p>
        </w:tc>
        <w:tc>
          <w:tcPr>
            <w:tcW w:w="0" w:type="auto"/>
            <w:shd w:val="clear" w:color="auto" w:fill="auto"/>
            <w:vAlign w:val="center"/>
          </w:tcPr>
          <w:p w14:paraId="3693DD3F" w14:textId="77777777" w:rsidR="003734EC" w:rsidRDefault="003734EC">
            <w:pPr>
              <w:rPr>
                <w:rFonts w:ascii="宋体"/>
                <w:vanish/>
              </w:rPr>
            </w:pPr>
          </w:p>
        </w:tc>
        <w:tc>
          <w:tcPr>
            <w:tcW w:w="0" w:type="auto"/>
            <w:shd w:val="clear" w:color="auto" w:fill="auto"/>
            <w:vAlign w:val="center"/>
          </w:tcPr>
          <w:p w14:paraId="3693DD40" w14:textId="77777777" w:rsidR="003734EC" w:rsidRDefault="003734EC">
            <w:pPr>
              <w:rPr>
                <w:rFonts w:ascii="宋体"/>
                <w:vanish/>
              </w:rPr>
            </w:pPr>
          </w:p>
        </w:tc>
        <w:tc>
          <w:tcPr>
            <w:tcW w:w="0" w:type="auto"/>
            <w:shd w:val="clear" w:color="auto" w:fill="auto"/>
            <w:vAlign w:val="center"/>
          </w:tcPr>
          <w:p w14:paraId="3693DD41" w14:textId="77777777" w:rsidR="003734EC" w:rsidRDefault="003734EC">
            <w:pPr>
              <w:rPr>
                <w:rFonts w:ascii="宋体"/>
                <w:vanish/>
              </w:rPr>
            </w:pPr>
          </w:p>
        </w:tc>
        <w:tc>
          <w:tcPr>
            <w:tcW w:w="0" w:type="auto"/>
            <w:shd w:val="clear" w:color="auto" w:fill="auto"/>
            <w:vAlign w:val="center"/>
          </w:tcPr>
          <w:p w14:paraId="3693DD42" w14:textId="77777777" w:rsidR="003734EC" w:rsidRDefault="003734EC">
            <w:pPr>
              <w:rPr>
                <w:rFonts w:ascii="宋体"/>
                <w:vanish/>
              </w:rPr>
            </w:pPr>
          </w:p>
        </w:tc>
        <w:tc>
          <w:tcPr>
            <w:tcW w:w="0" w:type="auto"/>
            <w:shd w:val="clear" w:color="auto" w:fill="auto"/>
            <w:vAlign w:val="center"/>
          </w:tcPr>
          <w:p w14:paraId="3693DD43" w14:textId="77777777" w:rsidR="003734EC" w:rsidRDefault="003734EC">
            <w:pPr>
              <w:rPr>
                <w:rFonts w:ascii="宋体"/>
              </w:rPr>
            </w:pPr>
          </w:p>
        </w:tc>
        <w:tc>
          <w:tcPr>
            <w:tcW w:w="0" w:type="auto"/>
            <w:shd w:val="clear" w:color="auto" w:fill="auto"/>
            <w:vAlign w:val="center"/>
          </w:tcPr>
          <w:p w14:paraId="3693DD44" w14:textId="77777777" w:rsidR="003734EC" w:rsidRDefault="003734EC">
            <w:pPr>
              <w:rPr>
                <w:rFonts w:ascii="宋体"/>
              </w:rPr>
            </w:pPr>
          </w:p>
        </w:tc>
        <w:tc>
          <w:tcPr>
            <w:tcW w:w="0" w:type="auto"/>
            <w:shd w:val="clear" w:color="auto" w:fill="auto"/>
            <w:vAlign w:val="center"/>
          </w:tcPr>
          <w:p w14:paraId="3693DD45" w14:textId="77777777" w:rsidR="003734EC" w:rsidRDefault="003734EC">
            <w:pPr>
              <w:rPr>
                <w:rFonts w:ascii="宋体"/>
              </w:rPr>
            </w:pPr>
          </w:p>
        </w:tc>
        <w:tc>
          <w:tcPr>
            <w:tcW w:w="0" w:type="auto"/>
            <w:shd w:val="clear" w:color="auto" w:fill="auto"/>
            <w:vAlign w:val="center"/>
          </w:tcPr>
          <w:p w14:paraId="3693DD46" w14:textId="77777777" w:rsidR="003734EC" w:rsidRDefault="003734EC">
            <w:pPr>
              <w:rPr>
                <w:rFonts w:ascii="宋体"/>
              </w:rPr>
            </w:pPr>
          </w:p>
        </w:tc>
        <w:tc>
          <w:tcPr>
            <w:tcW w:w="0" w:type="auto"/>
            <w:shd w:val="clear" w:color="auto" w:fill="auto"/>
            <w:vAlign w:val="center"/>
          </w:tcPr>
          <w:p w14:paraId="3693DD47" w14:textId="77777777" w:rsidR="003734EC" w:rsidRDefault="003734EC">
            <w:pPr>
              <w:rPr>
                <w:rFonts w:ascii="宋体"/>
              </w:rPr>
            </w:pPr>
          </w:p>
        </w:tc>
        <w:tc>
          <w:tcPr>
            <w:tcW w:w="0" w:type="auto"/>
            <w:shd w:val="clear" w:color="auto" w:fill="auto"/>
            <w:vAlign w:val="center"/>
          </w:tcPr>
          <w:p w14:paraId="3693DD48" w14:textId="77777777" w:rsidR="003734EC" w:rsidRDefault="003734EC">
            <w:pPr>
              <w:rPr>
                <w:rFonts w:ascii="宋体"/>
              </w:rPr>
            </w:pPr>
          </w:p>
        </w:tc>
      </w:tr>
      <w:tr w:rsidR="003734EC" w14:paraId="3693DD5C" w14:textId="77777777">
        <w:tc>
          <w:tcPr>
            <w:tcW w:w="0" w:type="auto"/>
            <w:gridSpan w:val="3"/>
            <w:shd w:val="clear" w:color="auto" w:fill="FFFFFF"/>
            <w:tcMar>
              <w:top w:w="40" w:type="dxa"/>
              <w:left w:w="495" w:type="dxa"/>
              <w:bottom w:w="40" w:type="dxa"/>
              <w:right w:w="20" w:type="dxa"/>
            </w:tcMar>
            <w:vAlign w:val="bottom"/>
          </w:tcPr>
          <w:p w14:paraId="3693DD4A" w14:textId="77777777" w:rsidR="003734EC" w:rsidRDefault="000E364E">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tcMar>
            <w:vAlign w:val="bottom"/>
          </w:tcPr>
          <w:p w14:paraId="3693DD4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DD4C" w14:textId="77777777" w:rsidR="003734EC" w:rsidRDefault="000E364E">
            <w:pPr>
              <w:jc w:val="right"/>
              <w:textAlignment w:val="bottom"/>
            </w:pPr>
            <w:r>
              <w:rPr>
                <w:rFonts w:ascii="sans-serif" w:eastAsia="sans-serif" w:hAnsi="sans-serif" w:cs="sans-serif"/>
                <w:color w:val="000000"/>
                <w:sz w:val="20"/>
                <w:szCs w:val="20"/>
              </w:rPr>
              <w:t>1.49 </w:t>
            </w:r>
          </w:p>
        </w:tc>
        <w:tc>
          <w:tcPr>
            <w:tcW w:w="0" w:type="auto"/>
            <w:shd w:val="clear" w:color="auto" w:fill="FFFFFF"/>
            <w:tcMar>
              <w:top w:w="40" w:type="dxa"/>
              <w:bottom w:w="40" w:type="dxa"/>
              <w:right w:w="20" w:type="dxa"/>
            </w:tcMar>
            <w:vAlign w:val="bottom"/>
          </w:tcPr>
          <w:p w14:paraId="3693DD4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D4E"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DD4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DD50" w14:textId="77777777" w:rsidR="003734EC" w:rsidRDefault="000E364E">
            <w:pPr>
              <w:jc w:val="right"/>
              <w:textAlignment w:val="bottom"/>
            </w:pPr>
            <w:r>
              <w:rPr>
                <w:rFonts w:ascii="sans-serif" w:eastAsia="sans-serif" w:hAnsi="sans-serif" w:cs="sans-serif"/>
                <w:color w:val="000000"/>
                <w:sz w:val="20"/>
                <w:szCs w:val="20"/>
              </w:rPr>
              <w:t>0.65 </w:t>
            </w:r>
          </w:p>
        </w:tc>
        <w:tc>
          <w:tcPr>
            <w:tcW w:w="0" w:type="auto"/>
            <w:shd w:val="clear" w:color="auto" w:fill="FFFFFF"/>
            <w:tcMar>
              <w:top w:w="40" w:type="dxa"/>
              <w:bottom w:w="40" w:type="dxa"/>
              <w:right w:w="20" w:type="dxa"/>
            </w:tcMar>
            <w:vAlign w:val="bottom"/>
          </w:tcPr>
          <w:p w14:paraId="3693DD5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52" w14:textId="77777777" w:rsidR="003734EC" w:rsidRDefault="003734EC">
            <w:pPr>
              <w:rPr>
                <w:rFonts w:ascii="宋体"/>
                <w:vanish/>
              </w:rPr>
            </w:pPr>
          </w:p>
        </w:tc>
        <w:tc>
          <w:tcPr>
            <w:tcW w:w="0" w:type="auto"/>
            <w:shd w:val="clear" w:color="auto" w:fill="auto"/>
            <w:vAlign w:val="center"/>
          </w:tcPr>
          <w:p w14:paraId="3693DD53" w14:textId="77777777" w:rsidR="003734EC" w:rsidRDefault="003734EC">
            <w:pPr>
              <w:rPr>
                <w:rFonts w:ascii="宋体"/>
                <w:vanish/>
              </w:rPr>
            </w:pPr>
          </w:p>
        </w:tc>
        <w:tc>
          <w:tcPr>
            <w:tcW w:w="0" w:type="auto"/>
            <w:shd w:val="clear" w:color="auto" w:fill="auto"/>
            <w:vAlign w:val="center"/>
          </w:tcPr>
          <w:p w14:paraId="3693DD54" w14:textId="77777777" w:rsidR="003734EC" w:rsidRDefault="003734EC">
            <w:pPr>
              <w:rPr>
                <w:rFonts w:ascii="宋体"/>
                <w:vanish/>
              </w:rPr>
            </w:pPr>
          </w:p>
        </w:tc>
        <w:tc>
          <w:tcPr>
            <w:tcW w:w="0" w:type="auto"/>
            <w:shd w:val="clear" w:color="auto" w:fill="auto"/>
            <w:vAlign w:val="center"/>
          </w:tcPr>
          <w:p w14:paraId="3693DD55" w14:textId="77777777" w:rsidR="003734EC" w:rsidRDefault="003734EC">
            <w:pPr>
              <w:rPr>
                <w:rFonts w:ascii="宋体"/>
                <w:vanish/>
              </w:rPr>
            </w:pPr>
          </w:p>
        </w:tc>
        <w:tc>
          <w:tcPr>
            <w:tcW w:w="0" w:type="auto"/>
            <w:shd w:val="clear" w:color="auto" w:fill="auto"/>
            <w:vAlign w:val="center"/>
          </w:tcPr>
          <w:p w14:paraId="3693DD56" w14:textId="77777777" w:rsidR="003734EC" w:rsidRDefault="003734EC">
            <w:pPr>
              <w:rPr>
                <w:rFonts w:ascii="宋体"/>
              </w:rPr>
            </w:pPr>
          </w:p>
        </w:tc>
        <w:tc>
          <w:tcPr>
            <w:tcW w:w="0" w:type="auto"/>
            <w:shd w:val="clear" w:color="auto" w:fill="auto"/>
            <w:vAlign w:val="center"/>
          </w:tcPr>
          <w:p w14:paraId="3693DD57" w14:textId="77777777" w:rsidR="003734EC" w:rsidRDefault="003734EC">
            <w:pPr>
              <w:rPr>
                <w:rFonts w:ascii="宋体"/>
              </w:rPr>
            </w:pPr>
          </w:p>
        </w:tc>
        <w:tc>
          <w:tcPr>
            <w:tcW w:w="0" w:type="auto"/>
            <w:shd w:val="clear" w:color="auto" w:fill="auto"/>
            <w:vAlign w:val="center"/>
          </w:tcPr>
          <w:p w14:paraId="3693DD58" w14:textId="77777777" w:rsidR="003734EC" w:rsidRDefault="003734EC">
            <w:pPr>
              <w:rPr>
                <w:rFonts w:ascii="宋体"/>
              </w:rPr>
            </w:pPr>
          </w:p>
        </w:tc>
        <w:tc>
          <w:tcPr>
            <w:tcW w:w="0" w:type="auto"/>
            <w:shd w:val="clear" w:color="auto" w:fill="auto"/>
            <w:vAlign w:val="center"/>
          </w:tcPr>
          <w:p w14:paraId="3693DD59" w14:textId="77777777" w:rsidR="003734EC" w:rsidRDefault="003734EC">
            <w:pPr>
              <w:rPr>
                <w:rFonts w:ascii="宋体"/>
              </w:rPr>
            </w:pPr>
          </w:p>
        </w:tc>
        <w:tc>
          <w:tcPr>
            <w:tcW w:w="0" w:type="auto"/>
            <w:shd w:val="clear" w:color="auto" w:fill="auto"/>
            <w:vAlign w:val="center"/>
          </w:tcPr>
          <w:p w14:paraId="3693DD5A" w14:textId="77777777" w:rsidR="003734EC" w:rsidRDefault="003734EC">
            <w:pPr>
              <w:rPr>
                <w:rFonts w:ascii="宋体"/>
              </w:rPr>
            </w:pPr>
          </w:p>
        </w:tc>
        <w:tc>
          <w:tcPr>
            <w:tcW w:w="0" w:type="auto"/>
            <w:shd w:val="clear" w:color="auto" w:fill="auto"/>
            <w:vAlign w:val="center"/>
          </w:tcPr>
          <w:p w14:paraId="3693DD5B" w14:textId="77777777" w:rsidR="003734EC" w:rsidRDefault="003734EC">
            <w:pPr>
              <w:rPr>
                <w:rFonts w:ascii="宋体"/>
              </w:rPr>
            </w:pPr>
          </w:p>
        </w:tc>
      </w:tr>
      <w:tr w:rsidR="003734EC" w14:paraId="3693DD6F" w14:textId="77777777">
        <w:tc>
          <w:tcPr>
            <w:tcW w:w="0" w:type="auto"/>
            <w:gridSpan w:val="3"/>
            <w:shd w:val="clear" w:color="auto" w:fill="E2EFD9"/>
            <w:tcMar>
              <w:top w:w="40" w:type="dxa"/>
              <w:left w:w="495" w:type="dxa"/>
              <w:bottom w:w="40" w:type="dxa"/>
              <w:right w:w="20" w:type="dxa"/>
            </w:tcMar>
            <w:vAlign w:val="bottom"/>
          </w:tcPr>
          <w:p w14:paraId="3693DD5D" w14:textId="77777777" w:rsidR="003734EC" w:rsidRDefault="000E364E">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tcMar>
            <w:vAlign w:val="bottom"/>
          </w:tcPr>
          <w:p w14:paraId="3693DD5E"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3693DD5F" w14:textId="77777777" w:rsidR="003734EC" w:rsidRDefault="000E364E">
            <w:pPr>
              <w:jc w:val="right"/>
              <w:textAlignment w:val="bottom"/>
            </w:pPr>
            <w:r>
              <w:rPr>
                <w:rFonts w:ascii="sans-serif" w:eastAsia="sans-serif" w:hAnsi="sans-serif" w:cs="sans-serif"/>
                <w:color w:val="000000"/>
                <w:sz w:val="20"/>
                <w:szCs w:val="20"/>
              </w:rPr>
              <w:t>1.47 </w:t>
            </w:r>
          </w:p>
        </w:tc>
        <w:tc>
          <w:tcPr>
            <w:tcW w:w="0" w:type="auto"/>
            <w:tcBorders>
              <w:top w:val="double" w:sz="6" w:space="0" w:color="000000"/>
            </w:tcBorders>
            <w:shd w:val="clear" w:color="auto" w:fill="E2EFD9"/>
            <w:tcMar>
              <w:top w:w="40" w:type="dxa"/>
              <w:bottom w:w="40" w:type="dxa"/>
              <w:right w:w="20" w:type="dxa"/>
            </w:tcMar>
            <w:vAlign w:val="bottom"/>
          </w:tcPr>
          <w:p w14:paraId="3693DD6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D61" w14:textId="77777777" w:rsidR="003734EC" w:rsidRDefault="003734EC">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DD62"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3693DD63" w14:textId="77777777" w:rsidR="003734EC" w:rsidRDefault="000E364E">
            <w:pPr>
              <w:jc w:val="right"/>
              <w:textAlignment w:val="bottom"/>
            </w:pPr>
            <w:r>
              <w:rPr>
                <w:rFonts w:ascii="sans-serif" w:eastAsia="sans-serif" w:hAnsi="sans-serif" w:cs="sans-serif"/>
                <w:color w:val="000000"/>
                <w:sz w:val="20"/>
                <w:szCs w:val="20"/>
              </w:rPr>
              <w:t>0.64 </w:t>
            </w:r>
          </w:p>
        </w:tc>
        <w:tc>
          <w:tcPr>
            <w:tcW w:w="0" w:type="auto"/>
            <w:tcBorders>
              <w:top w:val="double" w:sz="6" w:space="0" w:color="000000"/>
            </w:tcBorders>
            <w:shd w:val="clear" w:color="auto" w:fill="E2EFD9"/>
            <w:tcMar>
              <w:top w:w="40" w:type="dxa"/>
              <w:bottom w:w="40" w:type="dxa"/>
              <w:right w:w="20" w:type="dxa"/>
            </w:tcMar>
            <w:vAlign w:val="bottom"/>
          </w:tcPr>
          <w:p w14:paraId="3693DD6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65" w14:textId="77777777" w:rsidR="003734EC" w:rsidRDefault="003734EC">
            <w:pPr>
              <w:rPr>
                <w:rFonts w:ascii="宋体"/>
                <w:vanish/>
              </w:rPr>
            </w:pPr>
          </w:p>
        </w:tc>
        <w:tc>
          <w:tcPr>
            <w:tcW w:w="0" w:type="auto"/>
            <w:shd w:val="clear" w:color="auto" w:fill="auto"/>
            <w:vAlign w:val="center"/>
          </w:tcPr>
          <w:p w14:paraId="3693DD66" w14:textId="77777777" w:rsidR="003734EC" w:rsidRDefault="003734EC">
            <w:pPr>
              <w:rPr>
                <w:rFonts w:ascii="宋体"/>
                <w:vanish/>
              </w:rPr>
            </w:pPr>
          </w:p>
        </w:tc>
        <w:tc>
          <w:tcPr>
            <w:tcW w:w="0" w:type="auto"/>
            <w:shd w:val="clear" w:color="auto" w:fill="auto"/>
            <w:vAlign w:val="center"/>
          </w:tcPr>
          <w:p w14:paraId="3693DD67" w14:textId="77777777" w:rsidR="003734EC" w:rsidRDefault="003734EC">
            <w:pPr>
              <w:rPr>
                <w:rFonts w:ascii="宋体"/>
                <w:vanish/>
              </w:rPr>
            </w:pPr>
          </w:p>
        </w:tc>
        <w:tc>
          <w:tcPr>
            <w:tcW w:w="0" w:type="auto"/>
            <w:shd w:val="clear" w:color="auto" w:fill="auto"/>
            <w:vAlign w:val="center"/>
          </w:tcPr>
          <w:p w14:paraId="3693DD68" w14:textId="77777777" w:rsidR="003734EC" w:rsidRDefault="003734EC">
            <w:pPr>
              <w:rPr>
                <w:rFonts w:ascii="宋体"/>
                <w:vanish/>
              </w:rPr>
            </w:pPr>
          </w:p>
        </w:tc>
        <w:tc>
          <w:tcPr>
            <w:tcW w:w="0" w:type="auto"/>
            <w:shd w:val="clear" w:color="auto" w:fill="auto"/>
            <w:vAlign w:val="center"/>
          </w:tcPr>
          <w:p w14:paraId="3693DD69" w14:textId="77777777" w:rsidR="003734EC" w:rsidRDefault="003734EC">
            <w:pPr>
              <w:rPr>
                <w:rFonts w:ascii="宋体"/>
              </w:rPr>
            </w:pPr>
          </w:p>
        </w:tc>
        <w:tc>
          <w:tcPr>
            <w:tcW w:w="0" w:type="auto"/>
            <w:shd w:val="clear" w:color="auto" w:fill="auto"/>
            <w:vAlign w:val="center"/>
          </w:tcPr>
          <w:p w14:paraId="3693DD6A" w14:textId="77777777" w:rsidR="003734EC" w:rsidRDefault="003734EC">
            <w:pPr>
              <w:rPr>
                <w:rFonts w:ascii="宋体"/>
              </w:rPr>
            </w:pPr>
          </w:p>
        </w:tc>
        <w:tc>
          <w:tcPr>
            <w:tcW w:w="0" w:type="auto"/>
            <w:shd w:val="clear" w:color="auto" w:fill="auto"/>
            <w:vAlign w:val="center"/>
          </w:tcPr>
          <w:p w14:paraId="3693DD6B" w14:textId="77777777" w:rsidR="003734EC" w:rsidRDefault="003734EC">
            <w:pPr>
              <w:rPr>
                <w:rFonts w:ascii="宋体"/>
              </w:rPr>
            </w:pPr>
          </w:p>
        </w:tc>
        <w:tc>
          <w:tcPr>
            <w:tcW w:w="0" w:type="auto"/>
            <w:shd w:val="clear" w:color="auto" w:fill="auto"/>
            <w:vAlign w:val="center"/>
          </w:tcPr>
          <w:p w14:paraId="3693DD6C" w14:textId="77777777" w:rsidR="003734EC" w:rsidRDefault="003734EC">
            <w:pPr>
              <w:rPr>
                <w:rFonts w:ascii="宋体"/>
              </w:rPr>
            </w:pPr>
          </w:p>
        </w:tc>
        <w:tc>
          <w:tcPr>
            <w:tcW w:w="0" w:type="auto"/>
            <w:shd w:val="clear" w:color="auto" w:fill="auto"/>
            <w:vAlign w:val="center"/>
          </w:tcPr>
          <w:p w14:paraId="3693DD6D" w14:textId="77777777" w:rsidR="003734EC" w:rsidRDefault="003734EC">
            <w:pPr>
              <w:rPr>
                <w:rFonts w:ascii="宋体"/>
              </w:rPr>
            </w:pPr>
          </w:p>
        </w:tc>
        <w:tc>
          <w:tcPr>
            <w:tcW w:w="0" w:type="auto"/>
            <w:shd w:val="clear" w:color="auto" w:fill="auto"/>
            <w:vAlign w:val="center"/>
          </w:tcPr>
          <w:p w14:paraId="3693DD6E" w14:textId="77777777" w:rsidR="003734EC" w:rsidRDefault="003734EC">
            <w:pPr>
              <w:rPr>
                <w:rFonts w:ascii="宋体"/>
              </w:rPr>
            </w:pPr>
          </w:p>
        </w:tc>
      </w:tr>
      <w:tr w:rsidR="003734EC" w14:paraId="3693DD7E" w14:textId="77777777">
        <w:trPr>
          <w:trHeight w:val="300"/>
        </w:trPr>
        <w:tc>
          <w:tcPr>
            <w:tcW w:w="0" w:type="auto"/>
            <w:gridSpan w:val="3"/>
            <w:shd w:val="clear" w:color="auto" w:fill="FFFFFF"/>
            <w:tcMar>
              <w:left w:w="20" w:type="dxa"/>
              <w:right w:w="20" w:type="dxa"/>
            </w:tcMar>
            <w:vAlign w:val="bottom"/>
          </w:tcPr>
          <w:p w14:paraId="3693DD70"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D71"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D72"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D73" w14:textId="77777777" w:rsidR="003734EC" w:rsidRDefault="003734EC">
            <w:pPr>
              <w:rPr>
                <w:rFonts w:ascii="宋体"/>
              </w:rPr>
            </w:pPr>
          </w:p>
        </w:tc>
        <w:tc>
          <w:tcPr>
            <w:tcW w:w="0" w:type="auto"/>
            <w:shd w:val="clear" w:color="auto" w:fill="auto"/>
            <w:vAlign w:val="center"/>
          </w:tcPr>
          <w:p w14:paraId="3693DD74" w14:textId="77777777" w:rsidR="003734EC" w:rsidRDefault="003734EC">
            <w:pPr>
              <w:rPr>
                <w:rFonts w:ascii="宋体"/>
                <w:vanish/>
              </w:rPr>
            </w:pPr>
          </w:p>
        </w:tc>
        <w:tc>
          <w:tcPr>
            <w:tcW w:w="0" w:type="auto"/>
            <w:shd w:val="clear" w:color="auto" w:fill="auto"/>
            <w:vAlign w:val="center"/>
          </w:tcPr>
          <w:p w14:paraId="3693DD75" w14:textId="77777777" w:rsidR="003734EC" w:rsidRDefault="003734EC">
            <w:pPr>
              <w:rPr>
                <w:rFonts w:ascii="宋体"/>
                <w:vanish/>
              </w:rPr>
            </w:pPr>
          </w:p>
        </w:tc>
        <w:tc>
          <w:tcPr>
            <w:tcW w:w="0" w:type="auto"/>
            <w:shd w:val="clear" w:color="auto" w:fill="auto"/>
            <w:vAlign w:val="center"/>
          </w:tcPr>
          <w:p w14:paraId="3693DD76" w14:textId="77777777" w:rsidR="003734EC" w:rsidRDefault="003734EC">
            <w:pPr>
              <w:rPr>
                <w:rFonts w:ascii="宋体"/>
                <w:vanish/>
              </w:rPr>
            </w:pPr>
          </w:p>
        </w:tc>
        <w:tc>
          <w:tcPr>
            <w:tcW w:w="0" w:type="auto"/>
            <w:shd w:val="clear" w:color="auto" w:fill="auto"/>
            <w:vAlign w:val="center"/>
          </w:tcPr>
          <w:p w14:paraId="3693DD77" w14:textId="77777777" w:rsidR="003734EC" w:rsidRDefault="003734EC">
            <w:pPr>
              <w:rPr>
                <w:rFonts w:ascii="宋体"/>
                <w:vanish/>
              </w:rPr>
            </w:pPr>
          </w:p>
        </w:tc>
        <w:tc>
          <w:tcPr>
            <w:tcW w:w="0" w:type="auto"/>
            <w:shd w:val="clear" w:color="auto" w:fill="auto"/>
            <w:vAlign w:val="center"/>
          </w:tcPr>
          <w:p w14:paraId="3693DD78" w14:textId="77777777" w:rsidR="003734EC" w:rsidRDefault="003734EC">
            <w:pPr>
              <w:rPr>
                <w:rFonts w:ascii="宋体"/>
              </w:rPr>
            </w:pPr>
          </w:p>
        </w:tc>
        <w:tc>
          <w:tcPr>
            <w:tcW w:w="0" w:type="auto"/>
            <w:shd w:val="clear" w:color="auto" w:fill="auto"/>
            <w:vAlign w:val="center"/>
          </w:tcPr>
          <w:p w14:paraId="3693DD79" w14:textId="77777777" w:rsidR="003734EC" w:rsidRDefault="003734EC">
            <w:pPr>
              <w:rPr>
                <w:rFonts w:ascii="宋体"/>
              </w:rPr>
            </w:pPr>
          </w:p>
        </w:tc>
        <w:tc>
          <w:tcPr>
            <w:tcW w:w="0" w:type="auto"/>
            <w:shd w:val="clear" w:color="auto" w:fill="auto"/>
            <w:vAlign w:val="center"/>
          </w:tcPr>
          <w:p w14:paraId="3693DD7A" w14:textId="77777777" w:rsidR="003734EC" w:rsidRDefault="003734EC">
            <w:pPr>
              <w:rPr>
                <w:rFonts w:ascii="宋体"/>
              </w:rPr>
            </w:pPr>
          </w:p>
        </w:tc>
        <w:tc>
          <w:tcPr>
            <w:tcW w:w="0" w:type="auto"/>
            <w:shd w:val="clear" w:color="auto" w:fill="auto"/>
            <w:vAlign w:val="center"/>
          </w:tcPr>
          <w:p w14:paraId="3693DD7B" w14:textId="77777777" w:rsidR="003734EC" w:rsidRDefault="003734EC">
            <w:pPr>
              <w:rPr>
                <w:rFonts w:ascii="宋体"/>
              </w:rPr>
            </w:pPr>
          </w:p>
        </w:tc>
        <w:tc>
          <w:tcPr>
            <w:tcW w:w="0" w:type="auto"/>
            <w:shd w:val="clear" w:color="auto" w:fill="auto"/>
            <w:vAlign w:val="center"/>
          </w:tcPr>
          <w:p w14:paraId="3693DD7C" w14:textId="77777777" w:rsidR="003734EC" w:rsidRDefault="003734EC">
            <w:pPr>
              <w:rPr>
                <w:rFonts w:ascii="宋体"/>
              </w:rPr>
            </w:pPr>
          </w:p>
        </w:tc>
        <w:tc>
          <w:tcPr>
            <w:tcW w:w="0" w:type="auto"/>
            <w:shd w:val="clear" w:color="auto" w:fill="auto"/>
            <w:vAlign w:val="center"/>
          </w:tcPr>
          <w:p w14:paraId="3693DD7D" w14:textId="77777777" w:rsidR="003734EC" w:rsidRDefault="003734EC">
            <w:pPr>
              <w:rPr>
                <w:rFonts w:ascii="宋体"/>
              </w:rPr>
            </w:pPr>
          </w:p>
        </w:tc>
      </w:tr>
      <w:tr w:rsidR="003734EC" w14:paraId="3693DD8D" w14:textId="77777777">
        <w:tc>
          <w:tcPr>
            <w:tcW w:w="0" w:type="auto"/>
            <w:gridSpan w:val="3"/>
            <w:shd w:val="clear" w:color="auto" w:fill="E2EFD9"/>
            <w:tcMar>
              <w:top w:w="40" w:type="dxa"/>
              <w:left w:w="20" w:type="dxa"/>
              <w:bottom w:w="40" w:type="dxa"/>
              <w:right w:w="20" w:type="dxa"/>
            </w:tcMar>
            <w:vAlign w:val="bottom"/>
          </w:tcPr>
          <w:p w14:paraId="3693DD7F" w14:textId="77777777" w:rsidR="003734EC" w:rsidRDefault="000E364E">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left w:w="20" w:type="dxa"/>
              <w:right w:w="20" w:type="dxa"/>
            </w:tcMar>
            <w:vAlign w:val="bottom"/>
          </w:tcPr>
          <w:p w14:paraId="3693DD80"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D81"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D82" w14:textId="77777777" w:rsidR="003734EC" w:rsidRDefault="003734EC">
            <w:pPr>
              <w:rPr>
                <w:rFonts w:ascii="宋体"/>
              </w:rPr>
            </w:pPr>
          </w:p>
        </w:tc>
        <w:tc>
          <w:tcPr>
            <w:tcW w:w="0" w:type="auto"/>
            <w:shd w:val="clear" w:color="auto" w:fill="auto"/>
            <w:vAlign w:val="center"/>
          </w:tcPr>
          <w:p w14:paraId="3693DD83" w14:textId="77777777" w:rsidR="003734EC" w:rsidRDefault="003734EC">
            <w:pPr>
              <w:rPr>
                <w:rFonts w:ascii="宋体"/>
                <w:vanish/>
              </w:rPr>
            </w:pPr>
          </w:p>
        </w:tc>
        <w:tc>
          <w:tcPr>
            <w:tcW w:w="0" w:type="auto"/>
            <w:shd w:val="clear" w:color="auto" w:fill="auto"/>
            <w:vAlign w:val="center"/>
          </w:tcPr>
          <w:p w14:paraId="3693DD84" w14:textId="77777777" w:rsidR="003734EC" w:rsidRDefault="003734EC">
            <w:pPr>
              <w:rPr>
                <w:rFonts w:ascii="宋体"/>
                <w:vanish/>
              </w:rPr>
            </w:pPr>
          </w:p>
        </w:tc>
        <w:tc>
          <w:tcPr>
            <w:tcW w:w="0" w:type="auto"/>
            <w:shd w:val="clear" w:color="auto" w:fill="auto"/>
            <w:vAlign w:val="center"/>
          </w:tcPr>
          <w:p w14:paraId="3693DD85" w14:textId="77777777" w:rsidR="003734EC" w:rsidRDefault="003734EC">
            <w:pPr>
              <w:rPr>
                <w:rFonts w:ascii="宋体"/>
                <w:vanish/>
              </w:rPr>
            </w:pPr>
          </w:p>
        </w:tc>
        <w:tc>
          <w:tcPr>
            <w:tcW w:w="0" w:type="auto"/>
            <w:shd w:val="clear" w:color="auto" w:fill="auto"/>
            <w:vAlign w:val="center"/>
          </w:tcPr>
          <w:p w14:paraId="3693DD86" w14:textId="77777777" w:rsidR="003734EC" w:rsidRDefault="003734EC">
            <w:pPr>
              <w:rPr>
                <w:rFonts w:ascii="宋体"/>
                <w:vanish/>
              </w:rPr>
            </w:pPr>
          </w:p>
        </w:tc>
        <w:tc>
          <w:tcPr>
            <w:tcW w:w="0" w:type="auto"/>
            <w:shd w:val="clear" w:color="auto" w:fill="auto"/>
            <w:vAlign w:val="center"/>
          </w:tcPr>
          <w:p w14:paraId="3693DD87" w14:textId="77777777" w:rsidR="003734EC" w:rsidRDefault="003734EC">
            <w:pPr>
              <w:rPr>
                <w:rFonts w:ascii="宋体"/>
              </w:rPr>
            </w:pPr>
          </w:p>
        </w:tc>
        <w:tc>
          <w:tcPr>
            <w:tcW w:w="0" w:type="auto"/>
            <w:shd w:val="clear" w:color="auto" w:fill="auto"/>
            <w:vAlign w:val="center"/>
          </w:tcPr>
          <w:p w14:paraId="3693DD88" w14:textId="77777777" w:rsidR="003734EC" w:rsidRDefault="003734EC">
            <w:pPr>
              <w:rPr>
                <w:rFonts w:ascii="宋体"/>
              </w:rPr>
            </w:pPr>
          </w:p>
        </w:tc>
        <w:tc>
          <w:tcPr>
            <w:tcW w:w="0" w:type="auto"/>
            <w:shd w:val="clear" w:color="auto" w:fill="auto"/>
            <w:vAlign w:val="center"/>
          </w:tcPr>
          <w:p w14:paraId="3693DD89" w14:textId="77777777" w:rsidR="003734EC" w:rsidRDefault="003734EC">
            <w:pPr>
              <w:rPr>
                <w:rFonts w:ascii="宋体"/>
              </w:rPr>
            </w:pPr>
          </w:p>
        </w:tc>
        <w:tc>
          <w:tcPr>
            <w:tcW w:w="0" w:type="auto"/>
            <w:shd w:val="clear" w:color="auto" w:fill="auto"/>
            <w:vAlign w:val="center"/>
          </w:tcPr>
          <w:p w14:paraId="3693DD8A" w14:textId="77777777" w:rsidR="003734EC" w:rsidRDefault="003734EC">
            <w:pPr>
              <w:rPr>
                <w:rFonts w:ascii="宋体"/>
              </w:rPr>
            </w:pPr>
          </w:p>
        </w:tc>
        <w:tc>
          <w:tcPr>
            <w:tcW w:w="0" w:type="auto"/>
            <w:shd w:val="clear" w:color="auto" w:fill="auto"/>
            <w:vAlign w:val="center"/>
          </w:tcPr>
          <w:p w14:paraId="3693DD8B" w14:textId="77777777" w:rsidR="003734EC" w:rsidRDefault="003734EC">
            <w:pPr>
              <w:rPr>
                <w:rFonts w:ascii="宋体"/>
              </w:rPr>
            </w:pPr>
          </w:p>
        </w:tc>
        <w:tc>
          <w:tcPr>
            <w:tcW w:w="0" w:type="auto"/>
            <w:shd w:val="clear" w:color="auto" w:fill="auto"/>
            <w:vAlign w:val="center"/>
          </w:tcPr>
          <w:p w14:paraId="3693DD8C" w14:textId="77777777" w:rsidR="003734EC" w:rsidRDefault="003734EC">
            <w:pPr>
              <w:rPr>
                <w:rFonts w:ascii="宋体"/>
              </w:rPr>
            </w:pPr>
          </w:p>
        </w:tc>
      </w:tr>
      <w:tr w:rsidR="003734EC" w14:paraId="3693DD9E" w14:textId="77777777">
        <w:tc>
          <w:tcPr>
            <w:tcW w:w="0" w:type="auto"/>
            <w:gridSpan w:val="3"/>
            <w:shd w:val="clear" w:color="auto" w:fill="FFFFFF"/>
            <w:tcMar>
              <w:top w:w="40" w:type="dxa"/>
              <w:left w:w="495" w:type="dxa"/>
              <w:bottom w:w="40" w:type="dxa"/>
              <w:right w:w="20" w:type="dxa"/>
            </w:tcMar>
            <w:vAlign w:val="bottom"/>
          </w:tcPr>
          <w:p w14:paraId="3693DD8E" w14:textId="77777777" w:rsidR="003734EC" w:rsidRDefault="000E364E">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3693DD8F" w14:textId="77777777" w:rsidR="003734EC" w:rsidRDefault="000E364E">
            <w:pPr>
              <w:jc w:val="right"/>
              <w:textAlignment w:val="bottom"/>
            </w:pPr>
            <w:r>
              <w:rPr>
                <w:rFonts w:ascii="sans-serif" w:eastAsia="sans-serif" w:hAnsi="sans-serif" w:cs="sans-serif"/>
                <w:color w:val="000000"/>
                <w:sz w:val="20"/>
                <w:szCs w:val="20"/>
              </w:rPr>
              <w:t>614 </w:t>
            </w:r>
          </w:p>
        </w:tc>
        <w:tc>
          <w:tcPr>
            <w:tcW w:w="0" w:type="auto"/>
            <w:shd w:val="clear" w:color="auto" w:fill="FFFFFF"/>
            <w:tcMar>
              <w:top w:w="40" w:type="dxa"/>
              <w:bottom w:w="40" w:type="dxa"/>
              <w:right w:w="20" w:type="dxa"/>
            </w:tcMar>
            <w:vAlign w:val="bottom"/>
          </w:tcPr>
          <w:p w14:paraId="3693DD9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D9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D92" w14:textId="77777777" w:rsidR="003734EC" w:rsidRDefault="000E364E">
            <w:pPr>
              <w:jc w:val="right"/>
              <w:textAlignment w:val="bottom"/>
            </w:pPr>
            <w:r>
              <w:rPr>
                <w:rFonts w:ascii="sans-serif" w:eastAsia="sans-serif" w:hAnsi="sans-serif" w:cs="sans-serif"/>
                <w:color w:val="000000"/>
                <w:sz w:val="20"/>
                <w:szCs w:val="20"/>
              </w:rPr>
              <w:t>607 </w:t>
            </w:r>
          </w:p>
        </w:tc>
        <w:tc>
          <w:tcPr>
            <w:tcW w:w="0" w:type="auto"/>
            <w:shd w:val="clear" w:color="auto" w:fill="FFFFFF"/>
            <w:tcMar>
              <w:top w:w="40" w:type="dxa"/>
              <w:bottom w:w="40" w:type="dxa"/>
              <w:right w:w="20" w:type="dxa"/>
            </w:tcMar>
            <w:vAlign w:val="bottom"/>
          </w:tcPr>
          <w:p w14:paraId="3693DD9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94" w14:textId="77777777" w:rsidR="003734EC" w:rsidRDefault="003734EC">
            <w:pPr>
              <w:rPr>
                <w:rFonts w:ascii="宋体"/>
                <w:vanish/>
              </w:rPr>
            </w:pPr>
          </w:p>
        </w:tc>
        <w:tc>
          <w:tcPr>
            <w:tcW w:w="0" w:type="auto"/>
            <w:shd w:val="clear" w:color="auto" w:fill="auto"/>
            <w:vAlign w:val="center"/>
          </w:tcPr>
          <w:p w14:paraId="3693DD95" w14:textId="77777777" w:rsidR="003734EC" w:rsidRDefault="003734EC">
            <w:pPr>
              <w:rPr>
                <w:rFonts w:ascii="宋体"/>
                <w:vanish/>
              </w:rPr>
            </w:pPr>
          </w:p>
        </w:tc>
        <w:tc>
          <w:tcPr>
            <w:tcW w:w="0" w:type="auto"/>
            <w:shd w:val="clear" w:color="auto" w:fill="auto"/>
            <w:vAlign w:val="center"/>
          </w:tcPr>
          <w:p w14:paraId="3693DD96" w14:textId="77777777" w:rsidR="003734EC" w:rsidRDefault="003734EC">
            <w:pPr>
              <w:rPr>
                <w:rFonts w:ascii="宋体"/>
                <w:vanish/>
              </w:rPr>
            </w:pPr>
          </w:p>
        </w:tc>
        <w:tc>
          <w:tcPr>
            <w:tcW w:w="0" w:type="auto"/>
            <w:shd w:val="clear" w:color="auto" w:fill="auto"/>
            <w:vAlign w:val="center"/>
          </w:tcPr>
          <w:p w14:paraId="3693DD97" w14:textId="77777777" w:rsidR="003734EC" w:rsidRDefault="003734EC">
            <w:pPr>
              <w:rPr>
                <w:rFonts w:ascii="宋体"/>
                <w:vanish/>
              </w:rPr>
            </w:pPr>
          </w:p>
        </w:tc>
        <w:tc>
          <w:tcPr>
            <w:tcW w:w="0" w:type="auto"/>
            <w:shd w:val="clear" w:color="auto" w:fill="auto"/>
            <w:vAlign w:val="center"/>
          </w:tcPr>
          <w:p w14:paraId="3693DD98" w14:textId="77777777" w:rsidR="003734EC" w:rsidRDefault="003734EC">
            <w:pPr>
              <w:rPr>
                <w:rFonts w:ascii="宋体"/>
              </w:rPr>
            </w:pPr>
          </w:p>
        </w:tc>
        <w:tc>
          <w:tcPr>
            <w:tcW w:w="0" w:type="auto"/>
            <w:shd w:val="clear" w:color="auto" w:fill="auto"/>
            <w:vAlign w:val="center"/>
          </w:tcPr>
          <w:p w14:paraId="3693DD99" w14:textId="77777777" w:rsidR="003734EC" w:rsidRDefault="003734EC">
            <w:pPr>
              <w:rPr>
                <w:rFonts w:ascii="宋体"/>
              </w:rPr>
            </w:pPr>
          </w:p>
        </w:tc>
        <w:tc>
          <w:tcPr>
            <w:tcW w:w="0" w:type="auto"/>
            <w:shd w:val="clear" w:color="auto" w:fill="auto"/>
            <w:vAlign w:val="center"/>
          </w:tcPr>
          <w:p w14:paraId="3693DD9A" w14:textId="77777777" w:rsidR="003734EC" w:rsidRDefault="003734EC">
            <w:pPr>
              <w:rPr>
                <w:rFonts w:ascii="宋体"/>
              </w:rPr>
            </w:pPr>
          </w:p>
        </w:tc>
        <w:tc>
          <w:tcPr>
            <w:tcW w:w="0" w:type="auto"/>
            <w:shd w:val="clear" w:color="auto" w:fill="auto"/>
            <w:vAlign w:val="center"/>
          </w:tcPr>
          <w:p w14:paraId="3693DD9B" w14:textId="77777777" w:rsidR="003734EC" w:rsidRDefault="003734EC">
            <w:pPr>
              <w:rPr>
                <w:rFonts w:ascii="宋体"/>
              </w:rPr>
            </w:pPr>
          </w:p>
        </w:tc>
        <w:tc>
          <w:tcPr>
            <w:tcW w:w="0" w:type="auto"/>
            <w:shd w:val="clear" w:color="auto" w:fill="auto"/>
            <w:vAlign w:val="center"/>
          </w:tcPr>
          <w:p w14:paraId="3693DD9C" w14:textId="77777777" w:rsidR="003734EC" w:rsidRDefault="003734EC">
            <w:pPr>
              <w:rPr>
                <w:rFonts w:ascii="宋体"/>
              </w:rPr>
            </w:pPr>
          </w:p>
        </w:tc>
        <w:tc>
          <w:tcPr>
            <w:tcW w:w="0" w:type="auto"/>
            <w:shd w:val="clear" w:color="auto" w:fill="auto"/>
            <w:vAlign w:val="center"/>
          </w:tcPr>
          <w:p w14:paraId="3693DD9D" w14:textId="77777777" w:rsidR="003734EC" w:rsidRDefault="003734EC">
            <w:pPr>
              <w:rPr>
                <w:rFonts w:ascii="宋体"/>
              </w:rPr>
            </w:pPr>
          </w:p>
        </w:tc>
      </w:tr>
      <w:tr w:rsidR="003734EC" w14:paraId="3693DDAF" w14:textId="77777777">
        <w:tc>
          <w:tcPr>
            <w:tcW w:w="0" w:type="auto"/>
            <w:gridSpan w:val="3"/>
            <w:shd w:val="clear" w:color="auto" w:fill="E2EFD9"/>
            <w:tcMar>
              <w:top w:w="40" w:type="dxa"/>
              <w:left w:w="495" w:type="dxa"/>
              <w:bottom w:w="40" w:type="dxa"/>
              <w:right w:w="20" w:type="dxa"/>
            </w:tcMar>
            <w:vAlign w:val="bottom"/>
          </w:tcPr>
          <w:p w14:paraId="3693DD9F" w14:textId="77777777" w:rsidR="003734EC" w:rsidRDefault="000E364E">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3693DDA0" w14:textId="77777777" w:rsidR="003734EC" w:rsidRDefault="000E364E">
            <w:pPr>
              <w:jc w:val="right"/>
              <w:textAlignment w:val="bottom"/>
            </w:pPr>
            <w:r>
              <w:rPr>
                <w:rFonts w:ascii="sans-serif" w:eastAsia="sans-serif" w:hAnsi="sans-serif" w:cs="sans-serif"/>
                <w:color w:val="000000"/>
                <w:sz w:val="20"/>
                <w:szCs w:val="20"/>
              </w:rPr>
              <w:t>622 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3693DDA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DA2" w14:textId="77777777" w:rsidR="003734EC" w:rsidRDefault="003734EC">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3693DDA3" w14:textId="77777777" w:rsidR="003734EC" w:rsidRDefault="000E364E">
            <w:pPr>
              <w:jc w:val="right"/>
              <w:textAlignment w:val="bottom"/>
            </w:pPr>
            <w:r>
              <w:rPr>
                <w:rFonts w:ascii="sans-serif" w:eastAsia="sans-serif" w:hAnsi="sans-serif" w:cs="sans-serif"/>
                <w:color w:val="000000"/>
                <w:sz w:val="20"/>
                <w:szCs w:val="20"/>
              </w:rPr>
              <w:t>616 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3693DDA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DA5" w14:textId="77777777" w:rsidR="003734EC" w:rsidRDefault="003734EC">
            <w:pPr>
              <w:rPr>
                <w:rFonts w:ascii="宋体"/>
                <w:vanish/>
              </w:rPr>
            </w:pPr>
          </w:p>
        </w:tc>
        <w:tc>
          <w:tcPr>
            <w:tcW w:w="0" w:type="auto"/>
            <w:shd w:val="clear" w:color="auto" w:fill="auto"/>
            <w:vAlign w:val="center"/>
          </w:tcPr>
          <w:p w14:paraId="3693DDA6" w14:textId="77777777" w:rsidR="003734EC" w:rsidRDefault="003734EC">
            <w:pPr>
              <w:rPr>
                <w:rFonts w:ascii="宋体"/>
                <w:vanish/>
              </w:rPr>
            </w:pPr>
          </w:p>
        </w:tc>
        <w:tc>
          <w:tcPr>
            <w:tcW w:w="0" w:type="auto"/>
            <w:shd w:val="clear" w:color="auto" w:fill="auto"/>
            <w:vAlign w:val="center"/>
          </w:tcPr>
          <w:p w14:paraId="3693DDA7" w14:textId="77777777" w:rsidR="003734EC" w:rsidRDefault="003734EC">
            <w:pPr>
              <w:rPr>
                <w:rFonts w:ascii="宋体"/>
                <w:vanish/>
              </w:rPr>
            </w:pPr>
          </w:p>
        </w:tc>
        <w:tc>
          <w:tcPr>
            <w:tcW w:w="0" w:type="auto"/>
            <w:shd w:val="clear" w:color="auto" w:fill="auto"/>
            <w:vAlign w:val="center"/>
          </w:tcPr>
          <w:p w14:paraId="3693DDA8" w14:textId="77777777" w:rsidR="003734EC" w:rsidRDefault="003734EC">
            <w:pPr>
              <w:rPr>
                <w:rFonts w:ascii="宋体"/>
                <w:vanish/>
              </w:rPr>
            </w:pPr>
          </w:p>
        </w:tc>
        <w:tc>
          <w:tcPr>
            <w:tcW w:w="0" w:type="auto"/>
            <w:shd w:val="clear" w:color="auto" w:fill="auto"/>
            <w:vAlign w:val="center"/>
          </w:tcPr>
          <w:p w14:paraId="3693DDA9" w14:textId="77777777" w:rsidR="003734EC" w:rsidRDefault="003734EC">
            <w:pPr>
              <w:rPr>
                <w:rFonts w:ascii="宋体"/>
              </w:rPr>
            </w:pPr>
          </w:p>
        </w:tc>
        <w:tc>
          <w:tcPr>
            <w:tcW w:w="0" w:type="auto"/>
            <w:shd w:val="clear" w:color="auto" w:fill="auto"/>
            <w:vAlign w:val="center"/>
          </w:tcPr>
          <w:p w14:paraId="3693DDAA" w14:textId="77777777" w:rsidR="003734EC" w:rsidRDefault="003734EC">
            <w:pPr>
              <w:rPr>
                <w:rFonts w:ascii="宋体"/>
              </w:rPr>
            </w:pPr>
          </w:p>
        </w:tc>
        <w:tc>
          <w:tcPr>
            <w:tcW w:w="0" w:type="auto"/>
            <w:shd w:val="clear" w:color="auto" w:fill="auto"/>
            <w:vAlign w:val="center"/>
          </w:tcPr>
          <w:p w14:paraId="3693DDAB" w14:textId="77777777" w:rsidR="003734EC" w:rsidRDefault="003734EC">
            <w:pPr>
              <w:rPr>
                <w:rFonts w:ascii="宋体"/>
              </w:rPr>
            </w:pPr>
          </w:p>
        </w:tc>
        <w:tc>
          <w:tcPr>
            <w:tcW w:w="0" w:type="auto"/>
            <w:shd w:val="clear" w:color="auto" w:fill="auto"/>
            <w:vAlign w:val="center"/>
          </w:tcPr>
          <w:p w14:paraId="3693DDAC" w14:textId="77777777" w:rsidR="003734EC" w:rsidRDefault="003734EC">
            <w:pPr>
              <w:rPr>
                <w:rFonts w:ascii="宋体"/>
              </w:rPr>
            </w:pPr>
          </w:p>
        </w:tc>
        <w:tc>
          <w:tcPr>
            <w:tcW w:w="0" w:type="auto"/>
            <w:shd w:val="clear" w:color="auto" w:fill="auto"/>
            <w:vAlign w:val="center"/>
          </w:tcPr>
          <w:p w14:paraId="3693DDAD" w14:textId="77777777" w:rsidR="003734EC" w:rsidRDefault="003734EC">
            <w:pPr>
              <w:rPr>
                <w:rFonts w:ascii="宋体"/>
              </w:rPr>
            </w:pPr>
          </w:p>
        </w:tc>
        <w:tc>
          <w:tcPr>
            <w:tcW w:w="0" w:type="auto"/>
            <w:shd w:val="clear" w:color="auto" w:fill="auto"/>
            <w:vAlign w:val="center"/>
          </w:tcPr>
          <w:p w14:paraId="3693DDAE" w14:textId="77777777" w:rsidR="003734EC" w:rsidRDefault="003734EC">
            <w:pPr>
              <w:rPr>
                <w:rFonts w:ascii="宋体"/>
              </w:rPr>
            </w:pPr>
          </w:p>
        </w:tc>
      </w:tr>
      <w:tr w:rsidR="003734EC" w14:paraId="3693DDBE" w14:textId="77777777">
        <w:trPr>
          <w:hidden/>
        </w:trPr>
        <w:tc>
          <w:tcPr>
            <w:tcW w:w="0" w:type="auto"/>
            <w:gridSpan w:val="3"/>
            <w:shd w:val="clear" w:color="auto" w:fill="auto"/>
            <w:vAlign w:val="center"/>
          </w:tcPr>
          <w:p w14:paraId="3693DDB0" w14:textId="77777777" w:rsidR="003734EC" w:rsidRDefault="003734EC">
            <w:pPr>
              <w:rPr>
                <w:rFonts w:ascii="宋体"/>
                <w:vanish/>
              </w:rPr>
            </w:pPr>
          </w:p>
        </w:tc>
        <w:tc>
          <w:tcPr>
            <w:tcW w:w="0" w:type="auto"/>
            <w:gridSpan w:val="3"/>
            <w:shd w:val="clear" w:color="auto" w:fill="auto"/>
            <w:vAlign w:val="center"/>
          </w:tcPr>
          <w:p w14:paraId="3693DDB1" w14:textId="77777777" w:rsidR="003734EC" w:rsidRDefault="003734EC">
            <w:pPr>
              <w:rPr>
                <w:rFonts w:ascii="宋体"/>
                <w:vanish/>
              </w:rPr>
            </w:pPr>
          </w:p>
        </w:tc>
        <w:tc>
          <w:tcPr>
            <w:tcW w:w="0" w:type="auto"/>
            <w:gridSpan w:val="3"/>
            <w:shd w:val="clear" w:color="auto" w:fill="auto"/>
            <w:vAlign w:val="center"/>
          </w:tcPr>
          <w:p w14:paraId="3693DDB2" w14:textId="77777777" w:rsidR="003734EC" w:rsidRDefault="003734EC">
            <w:pPr>
              <w:rPr>
                <w:rFonts w:ascii="宋体"/>
                <w:vanish/>
              </w:rPr>
            </w:pPr>
          </w:p>
        </w:tc>
        <w:tc>
          <w:tcPr>
            <w:tcW w:w="0" w:type="auto"/>
            <w:gridSpan w:val="3"/>
            <w:shd w:val="clear" w:color="auto" w:fill="auto"/>
            <w:vAlign w:val="center"/>
          </w:tcPr>
          <w:p w14:paraId="3693DDB3" w14:textId="77777777" w:rsidR="003734EC" w:rsidRDefault="003734EC">
            <w:pPr>
              <w:rPr>
                <w:rFonts w:ascii="宋体"/>
                <w:vanish/>
              </w:rPr>
            </w:pPr>
          </w:p>
        </w:tc>
        <w:tc>
          <w:tcPr>
            <w:tcW w:w="0" w:type="auto"/>
            <w:shd w:val="clear" w:color="auto" w:fill="auto"/>
            <w:vAlign w:val="center"/>
          </w:tcPr>
          <w:p w14:paraId="3693DDB4" w14:textId="77777777" w:rsidR="003734EC" w:rsidRDefault="003734EC">
            <w:pPr>
              <w:rPr>
                <w:rFonts w:ascii="宋体"/>
                <w:vanish/>
              </w:rPr>
            </w:pPr>
          </w:p>
        </w:tc>
        <w:tc>
          <w:tcPr>
            <w:tcW w:w="0" w:type="auto"/>
            <w:shd w:val="clear" w:color="auto" w:fill="auto"/>
            <w:vAlign w:val="center"/>
          </w:tcPr>
          <w:p w14:paraId="3693DDB5" w14:textId="77777777" w:rsidR="003734EC" w:rsidRDefault="003734EC">
            <w:pPr>
              <w:rPr>
                <w:rFonts w:ascii="宋体"/>
                <w:vanish/>
              </w:rPr>
            </w:pPr>
          </w:p>
        </w:tc>
        <w:tc>
          <w:tcPr>
            <w:tcW w:w="0" w:type="auto"/>
            <w:shd w:val="clear" w:color="auto" w:fill="auto"/>
            <w:vAlign w:val="center"/>
          </w:tcPr>
          <w:p w14:paraId="3693DDB6" w14:textId="77777777" w:rsidR="003734EC" w:rsidRDefault="003734EC">
            <w:pPr>
              <w:rPr>
                <w:rFonts w:ascii="宋体"/>
                <w:vanish/>
              </w:rPr>
            </w:pPr>
          </w:p>
        </w:tc>
        <w:tc>
          <w:tcPr>
            <w:tcW w:w="0" w:type="auto"/>
            <w:shd w:val="clear" w:color="auto" w:fill="auto"/>
            <w:vAlign w:val="center"/>
          </w:tcPr>
          <w:p w14:paraId="3693DDB7" w14:textId="77777777" w:rsidR="003734EC" w:rsidRDefault="003734EC">
            <w:pPr>
              <w:rPr>
                <w:rFonts w:ascii="宋体"/>
                <w:vanish/>
              </w:rPr>
            </w:pPr>
          </w:p>
        </w:tc>
        <w:tc>
          <w:tcPr>
            <w:tcW w:w="0" w:type="auto"/>
            <w:shd w:val="clear" w:color="auto" w:fill="auto"/>
            <w:vAlign w:val="center"/>
          </w:tcPr>
          <w:p w14:paraId="3693DDB8" w14:textId="77777777" w:rsidR="003734EC" w:rsidRDefault="003734EC">
            <w:pPr>
              <w:rPr>
                <w:rFonts w:ascii="宋体"/>
              </w:rPr>
            </w:pPr>
          </w:p>
        </w:tc>
        <w:tc>
          <w:tcPr>
            <w:tcW w:w="0" w:type="auto"/>
            <w:shd w:val="clear" w:color="auto" w:fill="auto"/>
            <w:vAlign w:val="center"/>
          </w:tcPr>
          <w:p w14:paraId="3693DDB9" w14:textId="77777777" w:rsidR="003734EC" w:rsidRDefault="003734EC">
            <w:pPr>
              <w:rPr>
                <w:rFonts w:ascii="宋体"/>
              </w:rPr>
            </w:pPr>
          </w:p>
        </w:tc>
        <w:tc>
          <w:tcPr>
            <w:tcW w:w="0" w:type="auto"/>
            <w:shd w:val="clear" w:color="auto" w:fill="auto"/>
            <w:vAlign w:val="center"/>
          </w:tcPr>
          <w:p w14:paraId="3693DDBA" w14:textId="77777777" w:rsidR="003734EC" w:rsidRDefault="003734EC">
            <w:pPr>
              <w:rPr>
                <w:rFonts w:ascii="宋体"/>
              </w:rPr>
            </w:pPr>
          </w:p>
        </w:tc>
        <w:tc>
          <w:tcPr>
            <w:tcW w:w="0" w:type="auto"/>
            <w:shd w:val="clear" w:color="auto" w:fill="auto"/>
            <w:vAlign w:val="center"/>
          </w:tcPr>
          <w:p w14:paraId="3693DDBB" w14:textId="77777777" w:rsidR="003734EC" w:rsidRDefault="003734EC">
            <w:pPr>
              <w:rPr>
                <w:rFonts w:ascii="宋体"/>
              </w:rPr>
            </w:pPr>
          </w:p>
        </w:tc>
        <w:tc>
          <w:tcPr>
            <w:tcW w:w="0" w:type="auto"/>
            <w:shd w:val="clear" w:color="auto" w:fill="auto"/>
            <w:vAlign w:val="center"/>
          </w:tcPr>
          <w:p w14:paraId="3693DDBC" w14:textId="77777777" w:rsidR="003734EC" w:rsidRDefault="003734EC">
            <w:pPr>
              <w:rPr>
                <w:rFonts w:ascii="宋体"/>
              </w:rPr>
            </w:pPr>
          </w:p>
        </w:tc>
        <w:tc>
          <w:tcPr>
            <w:tcW w:w="0" w:type="auto"/>
            <w:shd w:val="clear" w:color="auto" w:fill="auto"/>
            <w:vAlign w:val="center"/>
          </w:tcPr>
          <w:p w14:paraId="3693DDBD" w14:textId="77777777" w:rsidR="003734EC" w:rsidRDefault="003734EC">
            <w:pPr>
              <w:rPr>
                <w:rFonts w:ascii="宋体"/>
              </w:rPr>
            </w:pPr>
          </w:p>
        </w:tc>
      </w:tr>
      <w:tr w:rsidR="003734EC" w14:paraId="3693DDCD" w14:textId="77777777">
        <w:trPr>
          <w:hidden/>
        </w:trPr>
        <w:tc>
          <w:tcPr>
            <w:tcW w:w="0" w:type="auto"/>
            <w:gridSpan w:val="3"/>
            <w:shd w:val="clear" w:color="auto" w:fill="auto"/>
            <w:vAlign w:val="center"/>
          </w:tcPr>
          <w:p w14:paraId="3693DDBF" w14:textId="77777777" w:rsidR="003734EC" w:rsidRDefault="003734EC">
            <w:pPr>
              <w:rPr>
                <w:rFonts w:ascii="宋体"/>
                <w:vanish/>
              </w:rPr>
            </w:pPr>
          </w:p>
        </w:tc>
        <w:tc>
          <w:tcPr>
            <w:tcW w:w="0" w:type="auto"/>
            <w:gridSpan w:val="3"/>
            <w:shd w:val="clear" w:color="auto" w:fill="auto"/>
            <w:vAlign w:val="center"/>
          </w:tcPr>
          <w:p w14:paraId="3693DDC0" w14:textId="77777777" w:rsidR="003734EC" w:rsidRDefault="003734EC">
            <w:pPr>
              <w:rPr>
                <w:rFonts w:ascii="宋体"/>
                <w:vanish/>
              </w:rPr>
            </w:pPr>
          </w:p>
        </w:tc>
        <w:tc>
          <w:tcPr>
            <w:tcW w:w="0" w:type="auto"/>
            <w:gridSpan w:val="3"/>
            <w:shd w:val="clear" w:color="auto" w:fill="auto"/>
            <w:vAlign w:val="center"/>
          </w:tcPr>
          <w:p w14:paraId="3693DDC1" w14:textId="77777777" w:rsidR="003734EC" w:rsidRDefault="003734EC">
            <w:pPr>
              <w:rPr>
                <w:rFonts w:ascii="宋体"/>
                <w:vanish/>
              </w:rPr>
            </w:pPr>
          </w:p>
        </w:tc>
        <w:tc>
          <w:tcPr>
            <w:tcW w:w="0" w:type="auto"/>
            <w:gridSpan w:val="3"/>
            <w:shd w:val="clear" w:color="auto" w:fill="auto"/>
            <w:vAlign w:val="center"/>
          </w:tcPr>
          <w:p w14:paraId="3693DDC2" w14:textId="77777777" w:rsidR="003734EC" w:rsidRDefault="003734EC">
            <w:pPr>
              <w:rPr>
                <w:rFonts w:ascii="宋体"/>
                <w:vanish/>
              </w:rPr>
            </w:pPr>
          </w:p>
        </w:tc>
        <w:tc>
          <w:tcPr>
            <w:tcW w:w="0" w:type="auto"/>
            <w:shd w:val="clear" w:color="auto" w:fill="auto"/>
            <w:vAlign w:val="center"/>
          </w:tcPr>
          <w:p w14:paraId="3693DDC3" w14:textId="77777777" w:rsidR="003734EC" w:rsidRDefault="003734EC">
            <w:pPr>
              <w:rPr>
                <w:rFonts w:ascii="宋体"/>
                <w:vanish/>
              </w:rPr>
            </w:pPr>
          </w:p>
        </w:tc>
        <w:tc>
          <w:tcPr>
            <w:tcW w:w="0" w:type="auto"/>
            <w:shd w:val="clear" w:color="auto" w:fill="auto"/>
            <w:vAlign w:val="center"/>
          </w:tcPr>
          <w:p w14:paraId="3693DDC4" w14:textId="77777777" w:rsidR="003734EC" w:rsidRDefault="003734EC">
            <w:pPr>
              <w:rPr>
                <w:rFonts w:ascii="宋体"/>
                <w:vanish/>
              </w:rPr>
            </w:pPr>
          </w:p>
        </w:tc>
        <w:tc>
          <w:tcPr>
            <w:tcW w:w="0" w:type="auto"/>
            <w:shd w:val="clear" w:color="auto" w:fill="auto"/>
            <w:vAlign w:val="center"/>
          </w:tcPr>
          <w:p w14:paraId="3693DDC5" w14:textId="77777777" w:rsidR="003734EC" w:rsidRDefault="003734EC">
            <w:pPr>
              <w:rPr>
                <w:rFonts w:ascii="宋体"/>
                <w:vanish/>
              </w:rPr>
            </w:pPr>
          </w:p>
        </w:tc>
        <w:tc>
          <w:tcPr>
            <w:tcW w:w="0" w:type="auto"/>
            <w:shd w:val="clear" w:color="auto" w:fill="auto"/>
            <w:vAlign w:val="center"/>
          </w:tcPr>
          <w:p w14:paraId="3693DDC6" w14:textId="77777777" w:rsidR="003734EC" w:rsidRDefault="003734EC">
            <w:pPr>
              <w:rPr>
                <w:rFonts w:ascii="宋体"/>
                <w:vanish/>
              </w:rPr>
            </w:pPr>
          </w:p>
        </w:tc>
        <w:tc>
          <w:tcPr>
            <w:tcW w:w="0" w:type="auto"/>
            <w:shd w:val="clear" w:color="auto" w:fill="auto"/>
            <w:vAlign w:val="center"/>
          </w:tcPr>
          <w:p w14:paraId="3693DDC7" w14:textId="77777777" w:rsidR="003734EC" w:rsidRDefault="003734EC">
            <w:pPr>
              <w:rPr>
                <w:rFonts w:ascii="宋体"/>
              </w:rPr>
            </w:pPr>
          </w:p>
        </w:tc>
        <w:tc>
          <w:tcPr>
            <w:tcW w:w="0" w:type="auto"/>
            <w:shd w:val="clear" w:color="auto" w:fill="auto"/>
            <w:vAlign w:val="center"/>
          </w:tcPr>
          <w:p w14:paraId="3693DDC8" w14:textId="77777777" w:rsidR="003734EC" w:rsidRDefault="003734EC">
            <w:pPr>
              <w:rPr>
                <w:rFonts w:ascii="宋体"/>
              </w:rPr>
            </w:pPr>
          </w:p>
        </w:tc>
        <w:tc>
          <w:tcPr>
            <w:tcW w:w="0" w:type="auto"/>
            <w:shd w:val="clear" w:color="auto" w:fill="auto"/>
            <w:vAlign w:val="center"/>
          </w:tcPr>
          <w:p w14:paraId="3693DDC9" w14:textId="77777777" w:rsidR="003734EC" w:rsidRDefault="003734EC">
            <w:pPr>
              <w:rPr>
                <w:rFonts w:ascii="宋体"/>
              </w:rPr>
            </w:pPr>
          </w:p>
        </w:tc>
        <w:tc>
          <w:tcPr>
            <w:tcW w:w="0" w:type="auto"/>
            <w:shd w:val="clear" w:color="auto" w:fill="auto"/>
            <w:vAlign w:val="center"/>
          </w:tcPr>
          <w:p w14:paraId="3693DDCA" w14:textId="77777777" w:rsidR="003734EC" w:rsidRDefault="003734EC">
            <w:pPr>
              <w:rPr>
                <w:rFonts w:ascii="宋体"/>
              </w:rPr>
            </w:pPr>
          </w:p>
        </w:tc>
        <w:tc>
          <w:tcPr>
            <w:tcW w:w="0" w:type="auto"/>
            <w:shd w:val="clear" w:color="auto" w:fill="auto"/>
            <w:vAlign w:val="center"/>
          </w:tcPr>
          <w:p w14:paraId="3693DDCB" w14:textId="77777777" w:rsidR="003734EC" w:rsidRDefault="003734EC">
            <w:pPr>
              <w:rPr>
                <w:rFonts w:ascii="宋体"/>
              </w:rPr>
            </w:pPr>
          </w:p>
        </w:tc>
        <w:tc>
          <w:tcPr>
            <w:tcW w:w="0" w:type="auto"/>
            <w:shd w:val="clear" w:color="auto" w:fill="auto"/>
            <w:vAlign w:val="center"/>
          </w:tcPr>
          <w:p w14:paraId="3693DDCC" w14:textId="77777777" w:rsidR="003734EC" w:rsidRDefault="003734EC">
            <w:pPr>
              <w:rPr>
                <w:rFonts w:ascii="宋体"/>
              </w:rPr>
            </w:pPr>
          </w:p>
        </w:tc>
      </w:tr>
    </w:tbl>
    <w:p w14:paraId="3693DDCE" w14:textId="77777777" w:rsidR="003734EC" w:rsidRDefault="000E364E">
      <w:pPr>
        <w:spacing w:after="180"/>
        <w:jc w:val="center"/>
      </w:pPr>
      <w:r>
        <w:rPr>
          <w:rFonts w:ascii="sans-serif" w:eastAsia="sans-serif" w:hAnsi="sans-serif" w:cs="sans-serif"/>
          <w:color w:val="000000"/>
          <w:sz w:val="20"/>
          <w:szCs w:val="20"/>
        </w:rPr>
        <w:t>See accompanying Notes to Condensed Consolidated Financial Statements.</w:t>
      </w:r>
    </w:p>
    <w:p w14:paraId="3693DDCF" w14:textId="77777777" w:rsidR="003734EC" w:rsidRDefault="003734EC">
      <w:pPr>
        <w:spacing w:after="180"/>
        <w:jc w:val="center"/>
      </w:pPr>
    </w:p>
    <w:p w14:paraId="3693DDD0" w14:textId="77777777" w:rsidR="003734EC" w:rsidRDefault="000E364E">
      <w:pPr>
        <w:spacing w:after="180"/>
        <w:jc w:val="center"/>
      </w:pPr>
      <w:r>
        <w:rPr>
          <w:rFonts w:ascii="sans-serif" w:eastAsia="sans-serif" w:hAnsi="sans-serif" w:cs="sans-serif"/>
          <w:color w:val="000000"/>
          <w:sz w:val="20"/>
          <w:szCs w:val="20"/>
        </w:rPr>
        <w:t>3</w:t>
      </w:r>
    </w:p>
    <w:p w14:paraId="3693DDD1" w14:textId="77777777" w:rsidR="003734EC" w:rsidRDefault="000E364E">
      <w:r>
        <w:pict w14:anchorId="3693FF4D">
          <v:rect id="_x0000_i1027" style="width:415.3pt;height:1.5pt" o:hralign="center" o:hrstd="t" o:hr="t" fillcolor="#a0a0a0" stroked="f"/>
        </w:pict>
      </w:r>
    </w:p>
    <w:p w14:paraId="3693DDD2" w14:textId="77777777" w:rsidR="003734EC" w:rsidRDefault="003734EC">
      <w:pPr>
        <w:spacing w:after="180"/>
        <w:jc w:val="both"/>
      </w:pPr>
    </w:p>
    <w:p w14:paraId="3693DDD3" w14:textId="77777777" w:rsidR="003734EC" w:rsidRDefault="000E364E">
      <w:pPr>
        <w:jc w:val="center"/>
      </w:pPr>
      <w:r>
        <w:rPr>
          <w:rFonts w:ascii="sans-serif" w:eastAsia="sans-serif" w:hAnsi="sans-serif" w:cs="sans-serif"/>
          <w:b/>
          <w:bCs/>
          <w:color w:val="000000"/>
          <w:sz w:val="20"/>
          <w:szCs w:val="20"/>
        </w:rPr>
        <w:t>NVIDIA CORPORATION AND SUBSIDIARIES</w:t>
      </w:r>
    </w:p>
    <w:p w14:paraId="3693DDD4" w14:textId="77777777" w:rsidR="003734EC" w:rsidRDefault="000E364E">
      <w:pPr>
        <w:jc w:val="center"/>
      </w:pPr>
      <w:r>
        <w:rPr>
          <w:rFonts w:ascii="sans-serif" w:eastAsia="sans-serif" w:hAnsi="sans-serif" w:cs="sans-serif"/>
          <w:b/>
          <w:bCs/>
          <w:color w:val="000000"/>
          <w:sz w:val="20"/>
          <w:szCs w:val="20"/>
        </w:rPr>
        <w:t>CONDENSED CONSOLIDATED STATEMENTS OF COMPREHENSIVE INCOME</w:t>
      </w:r>
    </w:p>
    <w:p w14:paraId="3693DDD5" w14:textId="77777777" w:rsidR="003734EC" w:rsidRDefault="000E364E">
      <w:pPr>
        <w:jc w:val="center"/>
      </w:pPr>
      <w:r>
        <w:rPr>
          <w:rFonts w:ascii="sans-serif" w:eastAsia="sans-serif" w:hAnsi="sans-serif" w:cs="sans-serif"/>
          <w:b/>
          <w:bCs/>
          <w:color w:val="000000"/>
          <w:sz w:val="20"/>
          <w:szCs w:val="20"/>
        </w:rPr>
        <w:t>(In millions)</w:t>
      </w:r>
    </w:p>
    <w:p w14:paraId="3693DDD6" w14:textId="77777777" w:rsidR="003734EC" w:rsidRDefault="000E364E">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5"/>
        <w:gridCol w:w="5695"/>
        <w:gridCol w:w="82"/>
        <w:gridCol w:w="137"/>
        <w:gridCol w:w="819"/>
        <w:gridCol w:w="81"/>
        <w:gridCol w:w="36"/>
        <w:gridCol w:w="36"/>
        <w:gridCol w:w="36"/>
        <w:gridCol w:w="137"/>
        <w:gridCol w:w="791"/>
        <w:gridCol w:w="81"/>
        <w:gridCol w:w="36"/>
        <w:gridCol w:w="36"/>
        <w:gridCol w:w="36"/>
        <w:gridCol w:w="36"/>
        <w:gridCol w:w="36"/>
        <w:gridCol w:w="36"/>
        <w:gridCol w:w="36"/>
        <w:gridCol w:w="36"/>
        <w:gridCol w:w="36"/>
        <w:gridCol w:w="36"/>
      </w:tblGrid>
      <w:tr w:rsidR="003734EC" w14:paraId="3693DDE7" w14:textId="77777777">
        <w:trPr>
          <w:gridAfter w:val="6"/>
        </w:trPr>
        <w:tc>
          <w:tcPr>
            <w:tcW w:w="50" w:type="pct"/>
            <w:shd w:val="clear" w:color="auto" w:fill="auto"/>
            <w:vAlign w:val="center"/>
          </w:tcPr>
          <w:p w14:paraId="3693DDD7" w14:textId="77777777" w:rsidR="003734EC" w:rsidRDefault="003734EC">
            <w:pPr>
              <w:rPr>
                <w:rFonts w:ascii="宋体"/>
              </w:rPr>
            </w:pPr>
          </w:p>
        </w:tc>
        <w:tc>
          <w:tcPr>
            <w:tcW w:w="3591" w:type="pct"/>
            <w:shd w:val="clear" w:color="auto" w:fill="auto"/>
            <w:vAlign w:val="center"/>
          </w:tcPr>
          <w:p w14:paraId="3693DDD8" w14:textId="77777777" w:rsidR="003734EC" w:rsidRDefault="003734EC">
            <w:pPr>
              <w:rPr>
                <w:rFonts w:ascii="宋体"/>
              </w:rPr>
            </w:pPr>
          </w:p>
        </w:tc>
        <w:tc>
          <w:tcPr>
            <w:tcW w:w="50" w:type="pct"/>
            <w:shd w:val="clear" w:color="auto" w:fill="auto"/>
            <w:vAlign w:val="center"/>
          </w:tcPr>
          <w:p w14:paraId="3693DDD9" w14:textId="77777777" w:rsidR="003734EC" w:rsidRDefault="003734EC">
            <w:pPr>
              <w:rPr>
                <w:rFonts w:ascii="宋体"/>
              </w:rPr>
            </w:pPr>
          </w:p>
        </w:tc>
        <w:tc>
          <w:tcPr>
            <w:tcW w:w="50" w:type="pct"/>
            <w:shd w:val="clear" w:color="auto" w:fill="auto"/>
            <w:vAlign w:val="center"/>
          </w:tcPr>
          <w:p w14:paraId="3693DDDA" w14:textId="77777777" w:rsidR="003734EC" w:rsidRDefault="003734EC">
            <w:pPr>
              <w:rPr>
                <w:rFonts w:ascii="宋体"/>
              </w:rPr>
            </w:pPr>
          </w:p>
        </w:tc>
        <w:tc>
          <w:tcPr>
            <w:tcW w:w="535" w:type="pct"/>
            <w:shd w:val="clear" w:color="auto" w:fill="auto"/>
            <w:vAlign w:val="center"/>
          </w:tcPr>
          <w:p w14:paraId="3693DDDB" w14:textId="77777777" w:rsidR="003734EC" w:rsidRDefault="003734EC">
            <w:pPr>
              <w:rPr>
                <w:rFonts w:ascii="宋体"/>
              </w:rPr>
            </w:pPr>
          </w:p>
        </w:tc>
        <w:tc>
          <w:tcPr>
            <w:tcW w:w="50" w:type="pct"/>
            <w:shd w:val="clear" w:color="auto" w:fill="auto"/>
            <w:vAlign w:val="center"/>
          </w:tcPr>
          <w:p w14:paraId="3693DDDC" w14:textId="77777777" w:rsidR="003734EC" w:rsidRDefault="003734EC">
            <w:pPr>
              <w:rPr>
                <w:rFonts w:ascii="宋体"/>
              </w:rPr>
            </w:pPr>
          </w:p>
        </w:tc>
        <w:tc>
          <w:tcPr>
            <w:tcW w:w="5" w:type="pct"/>
            <w:shd w:val="clear" w:color="auto" w:fill="auto"/>
            <w:vAlign w:val="center"/>
          </w:tcPr>
          <w:p w14:paraId="3693DDDD" w14:textId="77777777" w:rsidR="003734EC" w:rsidRDefault="003734EC">
            <w:pPr>
              <w:rPr>
                <w:rFonts w:ascii="宋体"/>
              </w:rPr>
            </w:pPr>
          </w:p>
        </w:tc>
        <w:tc>
          <w:tcPr>
            <w:tcW w:w="26" w:type="pct"/>
            <w:shd w:val="clear" w:color="auto" w:fill="auto"/>
            <w:vAlign w:val="center"/>
          </w:tcPr>
          <w:p w14:paraId="3693DDDE" w14:textId="77777777" w:rsidR="003734EC" w:rsidRDefault="003734EC">
            <w:pPr>
              <w:rPr>
                <w:rFonts w:ascii="宋体"/>
              </w:rPr>
            </w:pPr>
          </w:p>
        </w:tc>
        <w:tc>
          <w:tcPr>
            <w:tcW w:w="5" w:type="pct"/>
            <w:shd w:val="clear" w:color="auto" w:fill="auto"/>
            <w:vAlign w:val="center"/>
          </w:tcPr>
          <w:p w14:paraId="3693DDDF" w14:textId="77777777" w:rsidR="003734EC" w:rsidRDefault="003734EC">
            <w:pPr>
              <w:rPr>
                <w:rFonts w:ascii="宋体"/>
              </w:rPr>
            </w:pPr>
          </w:p>
        </w:tc>
        <w:tc>
          <w:tcPr>
            <w:tcW w:w="50" w:type="pct"/>
            <w:shd w:val="clear" w:color="auto" w:fill="auto"/>
            <w:vAlign w:val="center"/>
          </w:tcPr>
          <w:p w14:paraId="3693DDE0" w14:textId="77777777" w:rsidR="003734EC" w:rsidRDefault="003734EC">
            <w:pPr>
              <w:rPr>
                <w:rFonts w:ascii="宋体"/>
              </w:rPr>
            </w:pPr>
          </w:p>
        </w:tc>
        <w:tc>
          <w:tcPr>
            <w:tcW w:w="536" w:type="pct"/>
            <w:shd w:val="clear" w:color="auto" w:fill="auto"/>
            <w:vAlign w:val="center"/>
          </w:tcPr>
          <w:p w14:paraId="3693DDE1" w14:textId="77777777" w:rsidR="003734EC" w:rsidRDefault="003734EC">
            <w:pPr>
              <w:rPr>
                <w:rFonts w:ascii="宋体"/>
              </w:rPr>
            </w:pPr>
          </w:p>
        </w:tc>
        <w:tc>
          <w:tcPr>
            <w:tcW w:w="50" w:type="pct"/>
            <w:shd w:val="clear" w:color="auto" w:fill="auto"/>
            <w:vAlign w:val="center"/>
          </w:tcPr>
          <w:p w14:paraId="3693DDE2" w14:textId="77777777" w:rsidR="003734EC" w:rsidRDefault="003734EC">
            <w:pPr>
              <w:rPr>
                <w:rFonts w:ascii="宋体"/>
              </w:rPr>
            </w:pPr>
          </w:p>
        </w:tc>
        <w:tc>
          <w:tcPr>
            <w:tcW w:w="0" w:type="auto"/>
            <w:shd w:val="clear" w:color="auto" w:fill="auto"/>
            <w:vAlign w:val="center"/>
          </w:tcPr>
          <w:p w14:paraId="3693DDE3" w14:textId="77777777" w:rsidR="003734EC" w:rsidRDefault="003734EC">
            <w:pPr>
              <w:rPr>
                <w:rFonts w:ascii="宋体"/>
                <w:vanish/>
              </w:rPr>
            </w:pPr>
          </w:p>
        </w:tc>
        <w:tc>
          <w:tcPr>
            <w:tcW w:w="0" w:type="auto"/>
            <w:shd w:val="clear" w:color="auto" w:fill="auto"/>
            <w:vAlign w:val="center"/>
          </w:tcPr>
          <w:p w14:paraId="3693DDE4" w14:textId="77777777" w:rsidR="003734EC" w:rsidRDefault="003734EC">
            <w:pPr>
              <w:rPr>
                <w:rFonts w:ascii="宋体"/>
                <w:vanish/>
              </w:rPr>
            </w:pPr>
          </w:p>
        </w:tc>
        <w:tc>
          <w:tcPr>
            <w:tcW w:w="0" w:type="auto"/>
            <w:shd w:val="clear" w:color="auto" w:fill="auto"/>
            <w:vAlign w:val="center"/>
          </w:tcPr>
          <w:p w14:paraId="3693DDE5" w14:textId="77777777" w:rsidR="003734EC" w:rsidRDefault="003734EC">
            <w:pPr>
              <w:rPr>
                <w:rFonts w:ascii="宋体"/>
                <w:vanish/>
              </w:rPr>
            </w:pPr>
          </w:p>
        </w:tc>
        <w:tc>
          <w:tcPr>
            <w:tcW w:w="0" w:type="auto"/>
            <w:shd w:val="clear" w:color="auto" w:fill="auto"/>
            <w:vAlign w:val="center"/>
          </w:tcPr>
          <w:p w14:paraId="3693DDE6" w14:textId="77777777" w:rsidR="003734EC" w:rsidRDefault="003734EC">
            <w:pPr>
              <w:rPr>
                <w:rFonts w:ascii="宋体"/>
                <w:vanish/>
              </w:rPr>
            </w:pPr>
          </w:p>
        </w:tc>
      </w:tr>
      <w:tr w:rsidR="003734EC" w14:paraId="3693DDF0" w14:textId="77777777">
        <w:tc>
          <w:tcPr>
            <w:tcW w:w="0" w:type="auto"/>
            <w:gridSpan w:val="3"/>
            <w:shd w:val="clear" w:color="auto" w:fill="auto"/>
            <w:tcMar>
              <w:top w:w="40" w:type="dxa"/>
              <w:left w:w="20" w:type="dxa"/>
              <w:bottom w:w="40" w:type="dxa"/>
              <w:right w:w="20" w:type="dxa"/>
            </w:tcMar>
            <w:vAlign w:val="bottom"/>
          </w:tcPr>
          <w:p w14:paraId="3693DDE8"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DDE9"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DDEA" w14:textId="77777777" w:rsidR="003734EC" w:rsidRDefault="003734EC">
            <w:pPr>
              <w:rPr>
                <w:rFonts w:ascii="宋体"/>
                <w:vanish/>
              </w:rPr>
            </w:pPr>
          </w:p>
        </w:tc>
        <w:tc>
          <w:tcPr>
            <w:tcW w:w="0" w:type="auto"/>
            <w:shd w:val="clear" w:color="auto" w:fill="auto"/>
            <w:vAlign w:val="center"/>
          </w:tcPr>
          <w:p w14:paraId="3693DDEB" w14:textId="77777777" w:rsidR="003734EC" w:rsidRDefault="003734EC">
            <w:pPr>
              <w:rPr>
                <w:rFonts w:ascii="宋体"/>
                <w:vanish/>
              </w:rPr>
            </w:pPr>
          </w:p>
        </w:tc>
        <w:tc>
          <w:tcPr>
            <w:tcW w:w="0" w:type="auto"/>
            <w:shd w:val="clear" w:color="auto" w:fill="auto"/>
            <w:vAlign w:val="center"/>
          </w:tcPr>
          <w:p w14:paraId="3693DDEC" w14:textId="77777777" w:rsidR="003734EC" w:rsidRDefault="003734EC">
            <w:pPr>
              <w:rPr>
                <w:rFonts w:ascii="宋体"/>
                <w:vanish/>
              </w:rPr>
            </w:pPr>
          </w:p>
        </w:tc>
        <w:tc>
          <w:tcPr>
            <w:tcW w:w="0" w:type="auto"/>
            <w:shd w:val="clear" w:color="auto" w:fill="auto"/>
            <w:vAlign w:val="center"/>
          </w:tcPr>
          <w:p w14:paraId="3693DDED" w14:textId="77777777" w:rsidR="003734EC" w:rsidRDefault="003734EC">
            <w:pPr>
              <w:rPr>
                <w:rFonts w:ascii="宋体"/>
                <w:vanish/>
              </w:rPr>
            </w:pPr>
          </w:p>
        </w:tc>
        <w:tc>
          <w:tcPr>
            <w:tcW w:w="0" w:type="auto"/>
            <w:gridSpan w:val="3"/>
            <w:shd w:val="clear" w:color="auto" w:fill="auto"/>
            <w:vAlign w:val="center"/>
          </w:tcPr>
          <w:p w14:paraId="3693DDEE" w14:textId="77777777" w:rsidR="003734EC" w:rsidRDefault="003734EC">
            <w:pPr>
              <w:rPr>
                <w:rFonts w:ascii="宋体"/>
                <w:vanish/>
              </w:rPr>
            </w:pPr>
          </w:p>
        </w:tc>
        <w:tc>
          <w:tcPr>
            <w:tcW w:w="0" w:type="auto"/>
            <w:gridSpan w:val="3"/>
            <w:shd w:val="clear" w:color="auto" w:fill="auto"/>
            <w:vAlign w:val="center"/>
          </w:tcPr>
          <w:p w14:paraId="3693DDEF" w14:textId="77777777" w:rsidR="003734EC" w:rsidRDefault="003734EC">
            <w:pPr>
              <w:rPr>
                <w:rFonts w:ascii="宋体"/>
                <w:vanish/>
              </w:rPr>
            </w:pPr>
          </w:p>
        </w:tc>
      </w:tr>
      <w:tr w:rsidR="003734EC" w14:paraId="3693DDFF" w14:textId="77777777">
        <w:tc>
          <w:tcPr>
            <w:tcW w:w="0" w:type="auto"/>
            <w:gridSpan w:val="3"/>
            <w:shd w:val="clear" w:color="auto" w:fill="auto"/>
            <w:tcMar>
              <w:top w:w="40" w:type="dxa"/>
              <w:left w:w="20" w:type="dxa"/>
              <w:bottom w:w="40" w:type="dxa"/>
              <w:right w:w="20" w:type="dxa"/>
            </w:tcMar>
            <w:vAlign w:val="bottom"/>
          </w:tcPr>
          <w:p w14:paraId="3693DDF1"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DDF2"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tcBorders>
              <w:top w:val="single" w:sz="8" w:space="0" w:color="000000"/>
            </w:tcBorders>
            <w:shd w:val="clear" w:color="auto" w:fill="auto"/>
            <w:tcMar>
              <w:left w:w="20" w:type="dxa"/>
              <w:right w:w="20" w:type="dxa"/>
            </w:tcMar>
            <w:vAlign w:val="bottom"/>
          </w:tcPr>
          <w:p w14:paraId="3693DDF3"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DDF4" w14:textId="77777777" w:rsidR="003734EC" w:rsidRDefault="000E364E">
            <w:pPr>
              <w:jc w:val="center"/>
              <w:textAlignment w:val="bottom"/>
            </w:pPr>
            <w:r>
              <w:rPr>
                <w:rFonts w:ascii="sans-serif" w:eastAsia="sans-serif" w:hAnsi="sans-serif" w:cs="sans-serif"/>
                <w:b/>
                <w:bCs/>
                <w:color w:val="000000"/>
                <w:sz w:val="20"/>
                <w:szCs w:val="20"/>
              </w:rPr>
              <w:t>April 28,</w:t>
            </w:r>
          </w:p>
        </w:tc>
        <w:tc>
          <w:tcPr>
            <w:tcW w:w="0" w:type="auto"/>
            <w:shd w:val="clear" w:color="auto" w:fill="auto"/>
            <w:vAlign w:val="center"/>
          </w:tcPr>
          <w:p w14:paraId="3693DDF5" w14:textId="77777777" w:rsidR="003734EC" w:rsidRDefault="003734EC">
            <w:pPr>
              <w:rPr>
                <w:rFonts w:ascii="宋体"/>
                <w:vanish/>
              </w:rPr>
            </w:pPr>
          </w:p>
        </w:tc>
        <w:tc>
          <w:tcPr>
            <w:tcW w:w="0" w:type="auto"/>
            <w:shd w:val="clear" w:color="auto" w:fill="auto"/>
            <w:vAlign w:val="center"/>
          </w:tcPr>
          <w:p w14:paraId="3693DDF6" w14:textId="77777777" w:rsidR="003734EC" w:rsidRDefault="003734EC">
            <w:pPr>
              <w:rPr>
                <w:rFonts w:ascii="宋体"/>
                <w:vanish/>
              </w:rPr>
            </w:pPr>
          </w:p>
        </w:tc>
        <w:tc>
          <w:tcPr>
            <w:tcW w:w="0" w:type="auto"/>
            <w:shd w:val="clear" w:color="auto" w:fill="auto"/>
            <w:vAlign w:val="center"/>
          </w:tcPr>
          <w:p w14:paraId="3693DDF7" w14:textId="77777777" w:rsidR="003734EC" w:rsidRDefault="003734EC">
            <w:pPr>
              <w:rPr>
                <w:rFonts w:ascii="宋体"/>
                <w:vanish/>
              </w:rPr>
            </w:pPr>
          </w:p>
        </w:tc>
        <w:tc>
          <w:tcPr>
            <w:tcW w:w="0" w:type="auto"/>
            <w:shd w:val="clear" w:color="auto" w:fill="auto"/>
            <w:vAlign w:val="center"/>
          </w:tcPr>
          <w:p w14:paraId="3693DDF8" w14:textId="77777777" w:rsidR="003734EC" w:rsidRDefault="003734EC">
            <w:pPr>
              <w:rPr>
                <w:rFonts w:ascii="宋体"/>
                <w:vanish/>
              </w:rPr>
            </w:pPr>
          </w:p>
        </w:tc>
        <w:tc>
          <w:tcPr>
            <w:tcW w:w="0" w:type="auto"/>
            <w:shd w:val="clear" w:color="auto" w:fill="auto"/>
            <w:vAlign w:val="center"/>
          </w:tcPr>
          <w:p w14:paraId="3693DDF9" w14:textId="77777777" w:rsidR="003734EC" w:rsidRDefault="003734EC">
            <w:pPr>
              <w:rPr>
                <w:rFonts w:ascii="宋体"/>
              </w:rPr>
            </w:pPr>
          </w:p>
        </w:tc>
        <w:tc>
          <w:tcPr>
            <w:tcW w:w="0" w:type="auto"/>
            <w:shd w:val="clear" w:color="auto" w:fill="auto"/>
            <w:vAlign w:val="center"/>
          </w:tcPr>
          <w:p w14:paraId="3693DDFA" w14:textId="77777777" w:rsidR="003734EC" w:rsidRDefault="003734EC">
            <w:pPr>
              <w:rPr>
                <w:rFonts w:ascii="宋体"/>
              </w:rPr>
            </w:pPr>
          </w:p>
        </w:tc>
        <w:tc>
          <w:tcPr>
            <w:tcW w:w="0" w:type="auto"/>
            <w:shd w:val="clear" w:color="auto" w:fill="auto"/>
            <w:vAlign w:val="center"/>
          </w:tcPr>
          <w:p w14:paraId="3693DDFB" w14:textId="77777777" w:rsidR="003734EC" w:rsidRDefault="003734EC">
            <w:pPr>
              <w:rPr>
                <w:rFonts w:ascii="宋体"/>
              </w:rPr>
            </w:pPr>
          </w:p>
        </w:tc>
        <w:tc>
          <w:tcPr>
            <w:tcW w:w="0" w:type="auto"/>
            <w:shd w:val="clear" w:color="auto" w:fill="auto"/>
            <w:vAlign w:val="center"/>
          </w:tcPr>
          <w:p w14:paraId="3693DDFC" w14:textId="77777777" w:rsidR="003734EC" w:rsidRDefault="003734EC">
            <w:pPr>
              <w:rPr>
                <w:rFonts w:ascii="宋体"/>
              </w:rPr>
            </w:pPr>
          </w:p>
        </w:tc>
        <w:tc>
          <w:tcPr>
            <w:tcW w:w="0" w:type="auto"/>
            <w:shd w:val="clear" w:color="auto" w:fill="auto"/>
            <w:vAlign w:val="center"/>
          </w:tcPr>
          <w:p w14:paraId="3693DDFD" w14:textId="77777777" w:rsidR="003734EC" w:rsidRDefault="003734EC">
            <w:pPr>
              <w:rPr>
                <w:rFonts w:ascii="宋体"/>
              </w:rPr>
            </w:pPr>
          </w:p>
        </w:tc>
        <w:tc>
          <w:tcPr>
            <w:tcW w:w="0" w:type="auto"/>
            <w:shd w:val="clear" w:color="auto" w:fill="auto"/>
            <w:vAlign w:val="center"/>
          </w:tcPr>
          <w:p w14:paraId="3693DDFE" w14:textId="77777777" w:rsidR="003734EC" w:rsidRDefault="003734EC">
            <w:pPr>
              <w:rPr>
                <w:rFonts w:ascii="宋体"/>
              </w:rPr>
            </w:pPr>
          </w:p>
        </w:tc>
      </w:tr>
      <w:tr w:rsidR="003734EC" w14:paraId="3693DE0E" w14:textId="77777777">
        <w:tc>
          <w:tcPr>
            <w:tcW w:w="0" w:type="auto"/>
            <w:gridSpan w:val="3"/>
            <w:shd w:val="clear" w:color="auto" w:fill="auto"/>
            <w:tcMar>
              <w:left w:w="20" w:type="dxa"/>
              <w:right w:w="20" w:type="dxa"/>
            </w:tcMar>
            <w:vAlign w:val="bottom"/>
          </w:tcPr>
          <w:p w14:paraId="3693DE0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E01"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DE02"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DE03" w14:textId="77777777" w:rsidR="003734EC" w:rsidRDefault="000E364E">
            <w:pPr>
              <w:jc w:val="center"/>
              <w:textAlignment w:val="bottom"/>
            </w:pPr>
            <w:r>
              <w:rPr>
                <w:rFonts w:ascii="sans-serif" w:eastAsia="sans-serif" w:hAnsi="sans-serif" w:cs="sans-serif"/>
                <w:b/>
                <w:bCs/>
                <w:color w:val="000000"/>
                <w:sz w:val="20"/>
                <w:szCs w:val="20"/>
              </w:rPr>
              <w:t>2019</w:t>
            </w:r>
          </w:p>
        </w:tc>
        <w:tc>
          <w:tcPr>
            <w:tcW w:w="0" w:type="auto"/>
            <w:shd w:val="clear" w:color="auto" w:fill="auto"/>
            <w:vAlign w:val="center"/>
          </w:tcPr>
          <w:p w14:paraId="3693DE04" w14:textId="77777777" w:rsidR="003734EC" w:rsidRDefault="003734EC">
            <w:pPr>
              <w:rPr>
                <w:rFonts w:ascii="宋体"/>
                <w:vanish/>
              </w:rPr>
            </w:pPr>
          </w:p>
        </w:tc>
        <w:tc>
          <w:tcPr>
            <w:tcW w:w="0" w:type="auto"/>
            <w:shd w:val="clear" w:color="auto" w:fill="auto"/>
            <w:vAlign w:val="center"/>
          </w:tcPr>
          <w:p w14:paraId="3693DE05" w14:textId="77777777" w:rsidR="003734EC" w:rsidRDefault="003734EC">
            <w:pPr>
              <w:rPr>
                <w:rFonts w:ascii="宋体"/>
                <w:vanish/>
              </w:rPr>
            </w:pPr>
          </w:p>
        </w:tc>
        <w:tc>
          <w:tcPr>
            <w:tcW w:w="0" w:type="auto"/>
            <w:shd w:val="clear" w:color="auto" w:fill="auto"/>
            <w:vAlign w:val="center"/>
          </w:tcPr>
          <w:p w14:paraId="3693DE06" w14:textId="77777777" w:rsidR="003734EC" w:rsidRDefault="003734EC">
            <w:pPr>
              <w:rPr>
                <w:rFonts w:ascii="宋体"/>
                <w:vanish/>
              </w:rPr>
            </w:pPr>
          </w:p>
        </w:tc>
        <w:tc>
          <w:tcPr>
            <w:tcW w:w="0" w:type="auto"/>
            <w:shd w:val="clear" w:color="auto" w:fill="auto"/>
            <w:vAlign w:val="center"/>
          </w:tcPr>
          <w:p w14:paraId="3693DE07" w14:textId="77777777" w:rsidR="003734EC" w:rsidRDefault="003734EC">
            <w:pPr>
              <w:rPr>
                <w:rFonts w:ascii="宋体"/>
                <w:vanish/>
              </w:rPr>
            </w:pPr>
          </w:p>
        </w:tc>
        <w:tc>
          <w:tcPr>
            <w:tcW w:w="0" w:type="auto"/>
            <w:shd w:val="clear" w:color="auto" w:fill="auto"/>
            <w:vAlign w:val="center"/>
          </w:tcPr>
          <w:p w14:paraId="3693DE08" w14:textId="77777777" w:rsidR="003734EC" w:rsidRDefault="003734EC">
            <w:pPr>
              <w:rPr>
                <w:rFonts w:ascii="宋体"/>
              </w:rPr>
            </w:pPr>
          </w:p>
        </w:tc>
        <w:tc>
          <w:tcPr>
            <w:tcW w:w="0" w:type="auto"/>
            <w:shd w:val="clear" w:color="auto" w:fill="auto"/>
            <w:vAlign w:val="center"/>
          </w:tcPr>
          <w:p w14:paraId="3693DE09" w14:textId="77777777" w:rsidR="003734EC" w:rsidRDefault="003734EC">
            <w:pPr>
              <w:rPr>
                <w:rFonts w:ascii="宋体"/>
              </w:rPr>
            </w:pPr>
          </w:p>
        </w:tc>
        <w:tc>
          <w:tcPr>
            <w:tcW w:w="0" w:type="auto"/>
            <w:shd w:val="clear" w:color="auto" w:fill="auto"/>
            <w:vAlign w:val="center"/>
          </w:tcPr>
          <w:p w14:paraId="3693DE0A" w14:textId="77777777" w:rsidR="003734EC" w:rsidRDefault="003734EC">
            <w:pPr>
              <w:rPr>
                <w:rFonts w:ascii="宋体"/>
              </w:rPr>
            </w:pPr>
          </w:p>
        </w:tc>
        <w:tc>
          <w:tcPr>
            <w:tcW w:w="0" w:type="auto"/>
            <w:shd w:val="clear" w:color="auto" w:fill="auto"/>
            <w:vAlign w:val="center"/>
          </w:tcPr>
          <w:p w14:paraId="3693DE0B" w14:textId="77777777" w:rsidR="003734EC" w:rsidRDefault="003734EC">
            <w:pPr>
              <w:rPr>
                <w:rFonts w:ascii="宋体"/>
              </w:rPr>
            </w:pPr>
          </w:p>
        </w:tc>
        <w:tc>
          <w:tcPr>
            <w:tcW w:w="0" w:type="auto"/>
            <w:shd w:val="clear" w:color="auto" w:fill="auto"/>
            <w:vAlign w:val="center"/>
          </w:tcPr>
          <w:p w14:paraId="3693DE0C" w14:textId="77777777" w:rsidR="003734EC" w:rsidRDefault="003734EC">
            <w:pPr>
              <w:rPr>
                <w:rFonts w:ascii="宋体"/>
              </w:rPr>
            </w:pPr>
          </w:p>
        </w:tc>
        <w:tc>
          <w:tcPr>
            <w:tcW w:w="0" w:type="auto"/>
            <w:shd w:val="clear" w:color="auto" w:fill="auto"/>
            <w:vAlign w:val="center"/>
          </w:tcPr>
          <w:p w14:paraId="3693DE0D" w14:textId="77777777" w:rsidR="003734EC" w:rsidRDefault="003734EC">
            <w:pPr>
              <w:rPr>
                <w:rFonts w:ascii="宋体"/>
              </w:rPr>
            </w:pPr>
          </w:p>
        </w:tc>
      </w:tr>
      <w:tr w:rsidR="003734EC" w14:paraId="3693DE17" w14:textId="77777777">
        <w:tc>
          <w:tcPr>
            <w:tcW w:w="0" w:type="auto"/>
            <w:gridSpan w:val="3"/>
            <w:shd w:val="clear" w:color="auto" w:fill="auto"/>
            <w:tcMar>
              <w:top w:w="40" w:type="dxa"/>
              <w:left w:w="20" w:type="dxa"/>
              <w:bottom w:w="40" w:type="dxa"/>
              <w:right w:w="20" w:type="dxa"/>
            </w:tcMar>
            <w:vAlign w:val="bottom"/>
          </w:tcPr>
          <w:p w14:paraId="3693DE0F"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left w:w="20" w:type="dxa"/>
              <w:right w:w="20" w:type="dxa"/>
            </w:tcMar>
            <w:vAlign w:val="bottom"/>
          </w:tcPr>
          <w:p w14:paraId="3693DE10" w14:textId="77777777" w:rsidR="003734EC" w:rsidRDefault="003734EC">
            <w:pPr>
              <w:rPr>
                <w:rFonts w:ascii="宋体"/>
              </w:rPr>
            </w:pPr>
          </w:p>
        </w:tc>
        <w:tc>
          <w:tcPr>
            <w:tcW w:w="0" w:type="auto"/>
            <w:shd w:val="clear" w:color="auto" w:fill="auto"/>
            <w:vAlign w:val="center"/>
          </w:tcPr>
          <w:p w14:paraId="3693DE11" w14:textId="77777777" w:rsidR="003734EC" w:rsidRDefault="003734EC">
            <w:pPr>
              <w:rPr>
                <w:rFonts w:ascii="宋体"/>
                <w:vanish/>
              </w:rPr>
            </w:pPr>
          </w:p>
        </w:tc>
        <w:tc>
          <w:tcPr>
            <w:tcW w:w="0" w:type="auto"/>
            <w:shd w:val="clear" w:color="auto" w:fill="auto"/>
            <w:vAlign w:val="center"/>
          </w:tcPr>
          <w:p w14:paraId="3693DE12" w14:textId="77777777" w:rsidR="003734EC" w:rsidRDefault="003734EC">
            <w:pPr>
              <w:rPr>
                <w:rFonts w:ascii="宋体"/>
                <w:vanish/>
              </w:rPr>
            </w:pPr>
          </w:p>
        </w:tc>
        <w:tc>
          <w:tcPr>
            <w:tcW w:w="0" w:type="auto"/>
            <w:shd w:val="clear" w:color="auto" w:fill="auto"/>
            <w:vAlign w:val="center"/>
          </w:tcPr>
          <w:p w14:paraId="3693DE13" w14:textId="77777777" w:rsidR="003734EC" w:rsidRDefault="003734EC">
            <w:pPr>
              <w:rPr>
                <w:rFonts w:ascii="宋体"/>
                <w:vanish/>
              </w:rPr>
            </w:pPr>
          </w:p>
        </w:tc>
        <w:tc>
          <w:tcPr>
            <w:tcW w:w="0" w:type="auto"/>
            <w:shd w:val="clear" w:color="auto" w:fill="auto"/>
            <w:vAlign w:val="center"/>
          </w:tcPr>
          <w:p w14:paraId="3693DE14" w14:textId="77777777" w:rsidR="003734EC" w:rsidRDefault="003734EC">
            <w:pPr>
              <w:rPr>
                <w:rFonts w:ascii="宋体"/>
                <w:vanish/>
              </w:rPr>
            </w:pPr>
          </w:p>
        </w:tc>
        <w:tc>
          <w:tcPr>
            <w:tcW w:w="0" w:type="auto"/>
            <w:gridSpan w:val="3"/>
            <w:shd w:val="clear" w:color="auto" w:fill="auto"/>
            <w:vAlign w:val="center"/>
          </w:tcPr>
          <w:p w14:paraId="3693DE15" w14:textId="77777777" w:rsidR="003734EC" w:rsidRDefault="003734EC">
            <w:pPr>
              <w:rPr>
                <w:rFonts w:ascii="宋体"/>
                <w:vanish/>
              </w:rPr>
            </w:pPr>
          </w:p>
        </w:tc>
        <w:tc>
          <w:tcPr>
            <w:tcW w:w="0" w:type="auto"/>
            <w:gridSpan w:val="3"/>
            <w:shd w:val="clear" w:color="auto" w:fill="auto"/>
            <w:vAlign w:val="center"/>
          </w:tcPr>
          <w:p w14:paraId="3693DE16" w14:textId="77777777" w:rsidR="003734EC" w:rsidRDefault="003734EC">
            <w:pPr>
              <w:rPr>
                <w:rFonts w:ascii="宋体"/>
                <w:vanish/>
              </w:rPr>
            </w:pPr>
          </w:p>
        </w:tc>
      </w:tr>
      <w:tr w:rsidR="003734EC" w14:paraId="3693DE2A" w14:textId="77777777">
        <w:tc>
          <w:tcPr>
            <w:tcW w:w="0" w:type="auto"/>
            <w:gridSpan w:val="3"/>
            <w:shd w:val="clear" w:color="auto" w:fill="E2EFD9"/>
            <w:tcMar>
              <w:top w:w="40" w:type="dxa"/>
              <w:left w:w="20" w:type="dxa"/>
              <w:bottom w:w="40" w:type="dxa"/>
              <w:right w:w="20" w:type="dxa"/>
            </w:tcMar>
            <w:vAlign w:val="bottom"/>
          </w:tcPr>
          <w:p w14:paraId="3693DE18" w14:textId="77777777" w:rsidR="003734EC" w:rsidRDefault="000E364E">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tcMar>
            <w:vAlign w:val="bottom"/>
          </w:tcPr>
          <w:p w14:paraId="3693DE1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E1A" w14:textId="77777777" w:rsidR="003734EC" w:rsidRDefault="000E364E">
            <w:pPr>
              <w:jc w:val="right"/>
              <w:textAlignment w:val="bottom"/>
            </w:pPr>
            <w:r>
              <w:rPr>
                <w:rFonts w:ascii="sans-serif" w:eastAsia="sans-serif" w:hAnsi="sans-serif" w:cs="sans-serif"/>
                <w:color w:val="000000"/>
                <w:sz w:val="20"/>
                <w:szCs w:val="20"/>
              </w:rPr>
              <w:t>917 </w:t>
            </w:r>
          </w:p>
        </w:tc>
        <w:tc>
          <w:tcPr>
            <w:tcW w:w="0" w:type="auto"/>
            <w:shd w:val="clear" w:color="auto" w:fill="E2EFD9"/>
            <w:tcMar>
              <w:top w:w="40" w:type="dxa"/>
              <w:bottom w:w="40" w:type="dxa"/>
              <w:right w:w="20" w:type="dxa"/>
            </w:tcMar>
            <w:vAlign w:val="bottom"/>
          </w:tcPr>
          <w:p w14:paraId="3693DE1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E1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DE1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E1E" w14:textId="77777777" w:rsidR="003734EC" w:rsidRDefault="000E364E">
            <w:pPr>
              <w:jc w:val="right"/>
              <w:textAlignment w:val="bottom"/>
            </w:pPr>
            <w:r>
              <w:rPr>
                <w:rFonts w:ascii="sans-serif" w:eastAsia="sans-serif" w:hAnsi="sans-serif" w:cs="sans-serif"/>
                <w:color w:val="000000"/>
                <w:sz w:val="20"/>
                <w:szCs w:val="20"/>
              </w:rPr>
              <w:t>394 </w:t>
            </w:r>
          </w:p>
        </w:tc>
        <w:tc>
          <w:tcPr>
            <w:tcW w:w="0" w:type="auto"/>
            <w:shd w:val="clear" w:color="auto" w:fill="E2EFD9"/>
            <w:tcMar>
              <w:top w:w="40" w:type="dxa"/>
              <w:bottom w:w="40" w:type="dxa"/>
              <w:right w:w="20" w:type="dxa"/>
            </w:tcMar>
            <w:vAlign w:val="bottom"/>
          </w:tcPr>
          <w:p w14:paraId="3693DE1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20" w14:textId="77777777" w:rsidR="003734EC" w:rsidRDefault="003734EC">
            <w:pPr>
              <w:rPr>
                <w:rFonts w:ascii="宋体"/>
                <w:vanish/>
              </w:rPr>
            </w:pPr>
          </w:p>
        </w:tc>
        <w:tc>
          <w:tcPr>
            <w:tcW w:w="0" w:type="auto"/>
            <w:shd w:val="clear" w:color="auto" w:fill="auto"/>
            <w:vAlign w:val="center"/>
          </w:tcPr>
          <w:p w14:paraId="3693DE21" w14:textId="77777777" w:rsidR="003734EC" w:rsidRDefault="003734EC">
            <w:pPr>
              <w:rPr>
                <w:rFonts w:ascii="宋体"/>
                <w:vanish/>
              </w:rPr>
            </w:pPr>
          </w:p>
        </w:tc>
        <w:tc>
          <w:tcPr>
            <w:tcW w:w="0" w:type="auto"/>
            <w:shd w:val="clear" w:color="auto" w:fill="auto"/>
            <w:vAlign w:val="center"/>
          </w:tcPr>
          <w:p w14:paraId="3693DE22" w14:textId="77777777" w:rsidR="003734EC" w:rsidRDefault="003734EC">
            <w:pPr>
              <w:rPr>
                <w:rFonts w:ascii="宋体"/>
                <w:vanish/>
              </w:rPr>
            </w:pPr>
          </w:p>
        </w:tc>
        <w:tc>
          <w:tcPr>
            <w:tcW w:w="0" w:type="auto"/>
            <w:shd w:val="clear" w:color="auto" w:fill="auto"/>
            <w:vAlign w:val="center"/>
          </w:tcPr>
          <w:p w14:paraId="3693DE23" w14:textId="77777777" w:rsidR="003734EC" w:rsidRDefault="003734EC">
            <w:pPr>
              <w:rPr>
                <w:rFonts w:ascii="宋体"/>
                <w:vanish/>
              </w:rPr>
            </w:pPr>
          </w:p>
        </w:tc>
        <w:tc>
          <w:tcPr>
            <w:tcW w:w="0" w:type="auto"/>
            <w:shd w:val="clear" w:color="auto" w:fill="auto"/>
            <w:vAlign w:val="center"/>
          </w:tcPr>
          <w:p w14:paraId="3693DE24" w14:textId="77777777" w:rsidR="003734EC" w:rsidRDefault="003734EC">
            <w:pPr>
              <w:rPr>
                <w:rFonts w:ascii="宋体"/>
              </w:rPr>
            </w:pPr>
          </w:p>
        </w:tc>
        <w:tc>
          <w:tcPr>
            <w:tcW w:w="0" w:type="auto"/>
            <w:shd w:val="clear" w:color="auto" w:fill="auto"/>
            <w:vAlign w:val="center"/>
          </w:tcPr>
          <w:p w14:paraId="3693DE25" w14:textId="77777777" w:rsidR="003734EC" w:rsidRDefault="003734EC">
            <w:pPr>
              <w:rPr>
                <w:rFonts w:ascii="宋体"/>
              </w:rPr>
            </w:pPr>
          </w:p>
        </w:tc>
        <w:tc>
          <w:tcPr>
            <w:tcW w:w="0" w:type="auto"/>
            <w:shd w:val="clear" w:color="auto" w:fill="auto"/>
            <w:vAlign w:val="center"/>
          </w:tcPr>
          <w:p w14:paraId="3693DE26" w14:textId="77777777" w:rsidR="003734EC" w:rsidRDefault="003734EC">
            <w:pPr>
              <w:rPr>
                <w:rFonts w:ascii="宋体"/>
              </w:rPr>
            </w:pPr>
          </w:p>
        </w:tc>
        <w:tc>
          <w:tcPr>
            <w:tcW w:w="0" w:type="auto"/>
            <w:shd w:val="clear" w:color="auto" w:fill="auto"/>
            <w:vAlign w:val="center"/>
          </w:tcPr>
          <w:p w14:paraId="3693DE27" w14:textId="77777777" w:rsidR="003734EC" w:rsidRDefault="003734EC">
            <w:pPr>
              <w:rPr>
                <w:rFonts w:ascii="宋体"/>
              </w:rPr>
            </w:pPr>
          </w:p>
        </w:tc>
        <w:tc>
          <w:tcPr>
            <w:tcW w:w="0" w:type="auto"/>
            <w:shd w:val="clear" w:color="auto" w:fill="auto"/>
            <w:vAlign w:val="center"/>
          </w:tcPr>
          <w:p w14:paraId="3693DE28" w14:textId="77777777" w:rsidR="003734EC" w:rsidRDefault="003734EC">
            <w:pPr>
              <w:rPr>
                <w:rFonts w:ascii="宋体"/>
              </w:rPr>
            </w:pPr>
          </w:p>
        </w:tc>
        <w:tc>
          <w:tcPr>
            <w:tcW w:w="0" w:type="auto"/>
            <w:shd w:val="clear" w:color="auto" w:fill="auto"/>
            <w:vAlign w:val="center"/>
          </w:tcPr>
          <w:p w14:paraId="3693DE29" w14:textId="77777777" w:rsidR="003734EC" w:rsidRDefault="003734EC">
            <w:pPr>
              <w:rPr>
                <w:rFonts w:ascii="宋体"/>
              </w:rPr>
            </w:pPr>
          </w:p>
        </w:tc>
      </w:tr>
      <w:tr w:rsidR="003734EC" w14:paraId="3693DE3A" w14:textId="77777777">
        <w:tc>
          <w:tcPr>
            <w:tcW w:w="0" w:type="auto"/>
            <w:gridSpan w:val="2"/>
            <w:shd w:val="clear" w:color="auto" w:fill="FFFFFF"/>
            <w:tcMar>
              <w:top w:w="40" w:type="dxa"/>
              <w:left w:w="20" w:type="dxa"/>
              <w:bottom w:w="40" w:type="dxa"/>
              <w:right w:w="0" w:type="dxa"/>
            </w:tcMar>
            <w:vAlign w:val="bottom"/>
          </w:tcPr>
          <w:p w14:paraId="3693DE2B" w14:textId="77777777" w:rsidR="003734EC" w:rsidRDefault="000E364E">
            <w:pPr>
              <w:textAlignment w:val="bottom"/>
            </w:pPr>
            <w:r>
              <w:rPr>
                <w:rFonts w:ascii="sans-serif" w:eastAsia="sans-serif" w:hAnsi="sans-serif" w:cs="sans-serif"/>
                <w:color w:val="000000"/>
                <w:sz w:val="20"/>
                <w:szCs w:val="20"/>
              </w:rPr>
              <w:t>Other comprehensive income (loss), net of tax</w:t>
            </w:r>
          </w:p>
        </w:tc>
        <w:tc>
          <w:tcPr>
            <w:tcW w:w="0" w:type="auto"/>
            <w:shd w:val="clear" w:color="auto" w:fill="FFFFFF"/>
            <w:tcMar>
              <w:top w:w="40" w:type="dxa"/>
              <w:bottom w:w="40" w:type="dxa"/>
              <w:right w:w="20" w:type="dxa"/>
            </w:tcMar>
            <w:vAlign w:val="bottom"/>
          </w:tcPr>
          <w:p w14:paraId="3693DE2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E2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E2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E2F" w14:textId="77777777" w:rsidR="003734EC" w:rsidRDefault="003734EC">
            <w:pPr>
              <w:rPr>
                <w:rFonts w:ascii="宋体"/>
              </w:rPr>
            </w:pPr>
          </w:p>
        </w:tc>
        <w:tc>
          <w:tcPr>
            <w:tcW w:w="0" w:type="auto"/>
            <w:shd w:val="clear" w:color="auto" w:fill="auto"/>
            <w:vAlign w:val="center"/>
          </w:tcPr>
          <w:p w14:paraId="3693DE30" w14:textId="77777777" w:rsidR="003734EC" w:rsidRDefault="003734EC">
            <w:pPr>
              <w:rPr>
                <w:rFonts w:ascii="宋体"/>
                <w:vanish/>
              </w:rPr>
            </w:pPr>
          </w:p>
        </w:tc>
        <w:tc>
          <w:tcPr>
            <w:tcW w:w="0" w:type="auto"/>
            <w:shd w:val="clear" w:color="auto" w:fill="auto"/>
            <w:vAlign w:val="center"/>
          </w:tcPr>
          <w:p w14:paraId="3693DE31" w14:textId="77777777" w:rsidR="003734EC" w:rsidRDefault="003734EC">
            <w:pPr>
              <w:rPr>
                <w:rFonts w:ascii="宋体"/>
                <w:vanish/>
              </w:rPr>
            </w:pPr>
          </w:p>
        </w:tc>
        <w:tc>
          <w:tcPr>
            <w:tcW w:w="0" w:type="auto"/>
            <w:shd w:val="clear" w:color="auto" w:fill="auto"/>
            <w:vAlign w:val="center"/>
          </w:tcPr>
          <w:p w14:paraId="3693DE32" w14:textId="77777777" w:rsidR="003734EC" w:rsidRDefault="003734EC">
            <w:pPr>
              <w:rPr>
                <w:rFonts w:ascii="宋体"/>
                <w:vanish/>
              </w:rPr>
            </w:pPr>
          </w:p>
        </w:tc>
        <w:tc>
          <w:tcPr>
            <w:tcW w:w="0" w:type="auto"/>
            <w:shd w:val="clear" w:color="auto" w:fill="auto"/>
            <w:vAlign w:val="center"/>
          </w:tcPr>
          <w:p w14:paraId="3693DE33" w14:textId="77777777" w:rsidR="003734EC" w:rsidRDefault="003734EC">
            <w:pPr>
              <w:rPr>
                <w:rFonts w:ascii="宋体"/>
                <w:vanish/>
              </w:rPr>
            </w:pPr>
          </w:p>
        </w:tc>
        <w:tc>
          <w:tcPr>
            <w:tcW w:w="0" w:type="auto"/>
            <w:shd w:val="clear" w:color="auto" w:fill="auto"/>
            <w:vAlign w:val="center"/>
          </w:tcPr>
          <w:p w14:paraId="3693DE34" w14:textId="77777777" w:rsidR="003734EC" w:rsidRDefault="003734EC">
            <w:pPr>
              <w:rPr>
                <w:rFonts w:ascii="宋体"/>
              </w:rPr>
            </w:pPr>
          </w:p>
        </w:tc>
        <w:tc>
          <w:tcPr>
            <w:tcW w:w="0" w:type="auto"/>
            <w:shd w:val="clear" w:color="auto" w:fill="auto"/>
            <w:vAlign w:val="center"/>
          </w:tcPr>
          <w:p w14:paraId="3693DE35" w14:textId="77777777" w:rsidR="003734EC" w:rsidRDefault="003734EC">
            <w:pPr>
              <w:rPr>
                <w:rFonts w:ascii="宋体"/>
              </w:rPr>
            </w:pPr>
          </w:p>
        </w:tc>
        <w:tc>
          <w:tcPr>
            <w:tcW w:w="0" w:type="auto"/>
            <w:shd w:val="clear" w:color="auto" w:fill="auto"/>
            <w:vAlign w:val="center"/>
          </w:tcPr>
          <w:p w14:paraId="3693DE36" w14:textId="77777777" w:rsidR="003734EC" w:rsidRDefault="003734EC">
            <w:pPr>
              <w:rPr>
                <w:rFonts w:ascii="宋体"/>
              </w:rPr>
            </w:pPr>
          </w:p>
        </w:tc>
        <w:tc>
          <w:tcPr>
            <w:tcW w:w="0" w:type="auto"/>
            <w:shd w:val="clear" w:color="auto" w:fill="auto"/>
            <w:vAlign w:val="center"/>
          </w:tcPr>
          <w:p w14:paraId="3693DE37" w14:textId="77777777" w:rsidR="003734EC" w:rsidRDefault="003734EC">
            <w:pPr>
              <w:rPr>
                <w:rFonts w:ascii="宋体"/>
              </w:rPr>
            </w:pPr>
          </w:p>
        </w:tc>
        <w:tc>
          <w:tcPr>
            <w:tcW w:w="0" w:type="auto"/>
            <w:shd w:val="clear" w:color="auto" w:fill="auto"/>
            <w:vAlign w:val="center"/>
          </w:tcPr>
          <w:p w14:paraId="3693DE38" w14:textId="77777777" w:rsidR="003734EC" w:rsidRDefault="003734EC">
            <w:pPr>
              <w:rPr>
                <w:rFonts w:ascii="宋体"/>
              </w:rPr>
            </w:pPr>
          </w:p>
        </w:tc>
        <w:tc>
          <w:tcPr>
            <w:tcW w:w="0" w:type="auto"/>
            <w:shd w:val="clear" w:color="auto" w:fill="auto"/>
            <w:vAlign w:val="center"/>
          </w:tcPr>
          <w:p w14:paraId="3693DE39" w14:textId="77777777" w:rsidR="003734EC" w:rsidRDefault="003734EC">
            <w:pPr>
              <w:rPr>
                <w:rFonts w:ascii="宋体"/>
              </w:rPr>
            </w:pPr>
          </w:p>
        </w:tc>
      </w:tr>
      <w:tr w:rsidR="003734EC" w14:paraId="3693DE49" w14:textId="77777777">
        <w:tc>
          <w:tcPr>
            <w:tcW w:w="0" w:type="auto"/>
            <w:gridSpan w:val="3"/>
            <w:shd w:val="clear" w:color="auto" w:fill="E2EFD9"/>
            <w:tcMar>
              <w:top w:w="40" w:type="dxa"/>
              <w:left w:w="20" w:type="dxa"/>
              <w:bottom w:w="40" w:type="dxa"/>
              <w:right w:w="20" w:type="dxa"/>
            </w:tcMar>
            <w:vAlign w:val="bottom"/>
          </w:tcPr>
          <w:p w14:paraId="3693DE3B" w14:textId="77777777" w:rsidR="003734EC" w:rsidRDefault="000E364E">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left w:w="20" w:type="dxa"/>
              <w:right w:w="20" w:type="dxa"/>
            </w:tcMar>
            <w:vAlign w:val="bottom"/>
          </w:tcPr>
          <w:p w14:paraId="3693DE3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E3D"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E3E" w14:textId="77777777" w:rsidR="003734EC" w:rsidRDefault="003734EC">
            <w:pPr>
              <w:rPr>
                <w:rFonts w:ascii="宋体"/>
              </w:rPr>
            </w:pPr>
          </w:p>
        </w:tc>
        <w:tc>
          <w:tcPr>
            <w:tcW w:w="0" w:type="auto"/>
            <w:shd w:val="clear" w:color="auto" w:fill="auto"/>
            <w:vAlign w:val="center"/>
          </w:tcPr>
          <w:p w14:paraId="3693DE3F" w14:textId="77777777" w:rsidR="003734EC" w:rsidRDefault="003734EC">
            <w:pPr>
              <w:rPr>
                <w:rFonts w:ascii="宋体"/>
                <w:vanish/>
              </w:rPr>
            </w:pPr>
          </w:p>
        </w:tc>
        <w:tc>
          <w:tcPr>
            <w:tcW w:w="0" w:type="auto"/>
            <w:shd w:val="clear" w:color="auto" w:fill="auto"/>
            <w:vAlign w:val="center"/>
          </w:tcPr>
          <w:p w14:paraId="3693DE40" w14:textId="77777777" w:rsidR="003734EC" w:rsidRDefault="003734EC">
            <w:pPr>
              <w:rPr>
                <w:rFonts w:ascii="宋体"/>
                <w:vanish/>
              </w:rPr>
            </w:pPr>
          </w:p>
        </w:tc>
        <w:tc>
          <w:tcPr>
            <w:tcW w:w="0" w:type="auto"/>
            <w:shd w:val="clear" w:color="auto" w:fill="auto"/>
            <w:vAlign w:val="center"/>
          </w:tcPr>
          <w:p w14:paraId="3693DE41" w14:textId="77777777" w:rsidR="003734EC" w:rsidRDefault="003734EC">
            <w:pPr>
              <w:rPr>
                <w:rFonts w:ascii="宋体"/>
                <w:vanish/>
              </w:rPr>
            </w:pPr>
          </w:p>
        </w:tc>
        <w:tc>
          <w:tcPr>
            <w:tcW w:w="0" w:type="auto"/>
            <w:shd w:val="clear" w:color="auto" w:fill="auto"/>
            <w:vAlign w:val="center"/>
          </w:tcPr>
          <w:p w14:paraId="3693DE42" w14:textId="77777777" w:rsidR="003734EC" w:rsidRDefault="003734EC">
            <w:pPr>
              <w:rPr>
                <w:rFonts w:ascii="宋体"/>
                <w:vanish/>
              </w:rPr>
            </w:pPr>
          </w:p>
        </w:tc>
        <w:tc>
          <w:tcPr>
            <w:tcW w:w="0" w:type="auto"/>
            <w:shd w:val="clear" w:color="auto" w:fill="auto"/>
            <w:vAlign w:val="center"/>
          </w:tcPr>
          <w:p w14:paraId="3693DE43" w14:textId="77777777" w:rsidR="003734EC" w:rsidRDefault="003734EC">
            <w:pPr>
              <w:rPr>
                <w:rFonts w:ascii="宋体"/>
              </w:rPr>
            </w:pPr>
          </w:p>
        </w:tc>
        <w:tc>
          <w:tcPr>
            <w:tcW w:w="0" w:type="auto"/>
            <w:shd w:val="clear" w:color="auto" w:fill="auto"/>
            <w:vAlign w:val="center"/>
          </w:tcPr>
          <w:p w14:paraId="3693DE44" w14:textId="77777777" w:rsidR="003734EC" w:rsidRDefault="003734EC">
            <w:pPr>
              <w:rPr>
                <w:rFonts w:ascii="宋体"/>
              </w:rPr>
            </w:pPr>
          </w:p>
        </w:tc>
        <w:tc>
          <w:tcPr>
            <w:tcW w:w="0" w:type="auto"/>
            <w:shd w:val="clear" w:color="auto" w:fill="auto"/>
            <w:vAlign w:val="center"/>
          </w:tcPr>
          <w:p w14:paraId="3693DE45" w14:textId="77777777" w:rsidR="003734EC" w:rsidRDefault="003734EC">
            <w:pPr>
              <w:rPr>
                <w:rFonts w:ascii="宋体"/>
              </w:rPr>
            </w:pPr>
          </w:p>
        </w:tc>
        <w:tc>
          <w:tcPr>
            <w:tcW w:w="0" w:type="auto"/>
            <w:shd w:val="clear" w:color="auto" w:fill="auto"/>
            <w:vAlign w:val="center"/>
          </w:tcPr>
          <w:p w14:paraId="3693DE46" w14:textId="77777777" w:rsidR="003734EC" w:rsidRDefault="003734EC">
            <w:pPr>
              <w:rPr>
                <w:rFonts w:ascii="宋体"/>
              </w:rPr>
            </w:pPr>
          </w:p>
        </w:tc>
        <w:tc>
          <w:tcPr>
            <w:tcW w:w="0" w:type="auto"/>
            <w:shd w:val="clear" w:color="auto" w:fill="auto"/>
            <w:vAlign w:val="center"/>
          </w:tcPr>
          <w:p w14:paraId="3693DE47" w14:textId="77777777" w:rsidR="003734EC" w:rsidRDefault="003734EC">
            <w:pPr>
              <w:rPr>
                <w:rFonts w:ascii="宋体"/>
              </w:rPr>
            </w:pPr>
          </w:p>
        </w:tc>
        <w:tc>
          <w:tcPr>
            <w:tcW w:w="0" w:type="auto"/>
            <w:shd w:val="clear" w:color="auto" w:fill="auto"/>
            <w:vAlign w:val="center"/>
          </w:tcPr>
          <w:p w14:paraId="3693DE48" w14:textId="77777777" w:rsidR="003734EC" w:rsidRDefault="003734EC">
            <w:pPr>
              <w:rPr>
                <w:rFonts w:ascii="宋体"/>
              </w:rPr>
            </w:pPr>
          </w:p>
        </w:tc>
      </w:tr>
      <w:tr w:rsidR="003734EC" w14:paraId="3693DE58" w14:textId="77777777">
        <w:trPr>
          <w:hidden/>
        </w:trPr>
        <w:tc>
          <w:tcPr>
            <w:tcW w:w="0" w:type="auto"/>
            <w:gridSpan w:val="3"/>
            <w:shd w:val="clear" w:color="auto" w:fill="auto"/>
            <w:vAlign w:val="center"/>
          </w:tcPr>
          <w:p w14:paraId="3693DE4A" w14:textId="77777777" w:rsidR="003734EC" w:rsidRDefault="003734EC">
            <w:pPr>
              <w:rPr>
                <w:rFonts w:ascii="宋体"/>
                <w:vanish/>
              </w:rPr>
            </w:pPr>
          </w:p>
        </w:tc>
        <w:tc>
          <w:tcPr>
            <w:tcW w:w="0" w:type="auto"/>
            <w:gridSpan w:val="3"/>
            <w:shd w:val="clear" w:color="auto" w:fill="auto"/>
            <w:vAlign w:val="center"/>
          </w:tcPr>
          <w:p w14:paraId="3693DE4B" w14:textId="77777777" w:rsidR="003734EC" w:rsidRDefault="003734EC">
            <w:pPr>
              <w:rPr>
                <w:rFonts w:ascii="宋体"/>
                <w:vanish/>
              </w:rPr>
            </w:pPr>
          </w:p>
        </w:tc>
        <w:tc>
          <w:tcPr>
            <w:tcW w:w="0" w:type="auto"/>
            <w:gridSpan w:val="3"/>
            <w:shd w:val="clear" w:color="auto" w:fill="auto"/>
            <w:vAlign w:val="center"/>
          </w:tcPr>
          <w:p w14:paraId="3693DE4C" w14:textId="77777777" w:rsidR="003734EC" w:rsidRDefault="003734EC">
            <w:pPr>
              <w:rPr>
                <w:rFonts w:ascii="宋体"/>
                <w:vanish/>
              </w:rPr>
            </w:pPr>
          </w:p>
        </w:tc>
        <w:tc>
          <w:tcPr>
            <w:tcW w:w="0" w:type="auto"/>
            <w:gridSpan w:val="3"/>
            <w:shd w:val="clear" w:color="auto" w:fill="auto"/>
            <w:vAlign w:val="center"/>
          </w:tcPr>
          <w:p w14:paraId="3693DE4D" w14:textId="77777777" w:rsidR="003734EC" w:rsidRDefault="003734EC">
            <w:pPr>
              <w:rPr>
                <w:rFonts w:ascii="宋体"/>
                <w:vanish/>
              </w:rPr>
            </w:pPr>
          </w:p>
        </w:tc>
        <w:tc>
          <w:tcPr>
            <w:tcW w:w="0" w:type="auto"/>
            <w:shd w:val="clear" w:color="auto" w:fill="auto"/>
            <w:vAlign w:val="center"/>
          </w:tcPr>
          <w:p w14:paraId="3693DE4E" w14:textId="77777777" w:rsidR="003734EC" w:rsidRDefault="003734EC">
            <w:pPr>
              <w:rPr>
                <w:rFonts w:ascii="宋体"/>
                <w:vanish/>
              </w:rPr>
            </w:pPr>
          </w:p>
        </w:tc>
        <w:tc>
          <w:tcPr>
            <w:tcW w:w="0" w:type="auto"/>
            <w:shd w:val="clear" w:color="auto" w:fill="auto"/>
            <w:vAlign w:val="center"/>
          </w:tcPr>
          <w:p w14:paraId="3693DE4F" w14:textId="77777777" w:rsidR="003734EC" w:rsidRDefault="003734EC">
            <w:pPr>
              <w:rPr>
                <w:rFonts w:ascii="宋体"/>
                <w:vanish/>
              </w:rPr>
            </w:pPr>
          </w:p>
        </w:tc>
        <w:tc>
          <w:tcPr>
            <w:tcW w:w="0" w:type="auto"/>
            <w:shd w:val="clear" w:color="auto" w:fill="auto"/>
            <w:vAlign w:val="center"/>
          </w:tcPr>
          <w:p w14:paraId="3693DE50" w14:textId="77777777" w:rsidR="003734EC" w:rsidRDefault="003734EC">
            <w:pPr>
              <w:rPr>
                <w:rFonts w:ascii="宋体"/>
                <w:vanish/>
              </w:rPr>
            </w:pPr>
          </w:p>
        </w:tc>
        <w:tc>
          <w:tcPr>
            <w:tcW w:w="0" w:type="auto"/>
            <w:shd w:val="clear" w:color="auto" w:fill="auto"/>
            <w:vAlign w:val="center"/>
          </w:tcPr>
          <w:p w14:paraId="3693DE51" w14:textId="77777777" w:rsidR="003734EC" w:rsidRDefault="003734EC">
            <w:pPr>
              <w:rPr>
                <w:rFonts w:ascii="宋体"/>
                <w:vanish/>
              </w:rPr>
            </w:pPr>
          </w:p>
        </w:tc>
        <w:tc>
          <w:tcPr>
            <w:tcW w:w="0" w:type="auto"/>
            <w:shd w:val="clear" w:color="auto" w:fill="auto"/>
            <w:vAlign w:val="center"/>
          </w:tcPr>
          <w:p w14:paraId="3693DE52" w14:textId="77777777" w:rsidR="003734EC" w:rsidRDefault="003734EC">
            <w:pPr>
              <w:rPr>
                <w:rFonts w:ascii="宋体"/>
              </w:rPr>
            </w:pPr>
          </w:p>
        </w:tc>
        <w:tc>
          <w:tcPr>
            <w:tcW w:w="0" w:type="auto"/>
            <w:shd w:val="clear" w:color="auto" w:fill="auto"/>
            <w:vAlign w:val="center"/>
          </w:tcPr>
          <w:p w14:paraId="3693DE53" w14:textId="77777777" w:rsidR="003734EC" w:rsidRDefault="003734EC">
            <w:pPr>
              <w:rPr>
                <w:rFonts w:ascii="宋体"/>
              </w:rPr>
            </w:pPr>
          </w:p>
        </w:tc>
        <w:tc>
          <w:tcPr>
            <w:tcW w:w="0" w:type="auto"/>
            <w:shd w:val="clear" w:color="auto" w:fill="auto"/>
            <w:vAlign w:val="center"/>
          </w:tcPr>
          <w:p w14:paraId="3693DE54" w14:textId="77777777" w:rsidR="003734EC" w:rsidRDefault="003734EC">
            <w:pPr>
              <w:rPr>
                <w:rFonts w:ascii="宋体"/>
              </w:rPr>
            </w:pPr>
          </w:p>
        </w:tc>
        <w:tc>
          <w:tcPr>
            <w:tcW w:w="0" w:type="auto"/>
            <w:shd w:val="clear" w:color="auto" w:fill="auto"/>
            <w:vAlign w:val="center"/>
          </w:tcPr>
          <w:p w14:paraId="3693DE55" w14:textId="77777777" w:rsidR="003734EC" w:rsidRDefault="003734EC">
            <w:pPr>
              <w:rPr>
                <w:rFonts w:ascii="宋体"/>
              </w:rPr>
            </w:pPr>
          </w:p>
        </w:tc>
        <w:tc>
          <w:tcPr>
            <w:tcW w:w="0" w:type="auto"/>
            <w:shd w:val="clear" w:color="auto" w:fill="auto"/>
            <w:vAlign w:val="center"/>
          </w:tcPr>
          <w:p w14:paraId="3693DE56" w14:textId="77777777" w:rsidR="003734EC" w:rsidRDefault="003734EC">
            <w:pPr>
              <w:rPr>
                <w:rFonts w:ascii="宋体"/>
              </w:rPr>
            </w:pPr>
          </w:p>
        </w:tc>
        <w:tc>
          <w:tcPr>
            <w:tcW w:w="0" w:type="auto"/>
            <w:shd w:val="clear" w:color="auto" w:fill="auto"/>
            <w:vAlign w:val="center"/>
          </w:tcPr>
          <w:p w14:paraId="3693DE57" w14:textId="77777777" w:rsidR="003734EC" w:rsidRDefault="003734EC">
            <w:pPr>
              <w:rPr>
                <w:rFonts w:ascii="宋体"/>
              </w:rPr>
            </w:pPr>
          </w:p>
        </w:tc>
      </w:tr>
      <w:tr w:rsidR="003734EC" w14:paraId="3693DE67" w14:textId="77777777">
        <w:trPr>
          <w:hidden/>
        </w:trPr>
        <w:tc>
          <w:tcPr>
            <w:tcW w:w="0" w:type="auto"/>
            <w:gridSpan w:val="3"/>
            <w:shd w:val="clear" w:color="auto" w:fill="auto"/>
            <w:vAlign w:val="center"/>
          </w:tcPr>
          <w:p w14:paraId="3693DE59" w14:textId="77777777" w:rsidR="003734EC" w:rsidRDefault="003734EC">
            <w:pPr>
              <w:rPr>
                <w:rFonts w:ascii="宋体"/>
                <w:vanish/>
              </w:rPr>
            </w:pPr>
          </w:p>
        </w:tc>
        <w:tc>
          <w:tcPr>
            <w:tcW w:w="0" w:type="auto"/>
            <w:gridSpan w:val="3"/>
            <w:shd w:val="clear" w:color="auto" w:fill="auto"/>
            <w:vAlign w:val="center"/>
          </w:tcPr>
          <w:p w14:paraId="3693DE5A" w14:textId="77777777" w:rsidR="003734EC" w:rsidRDefault="003734EC">
            <w:pPr>
              <w:rPr>
                <w:rFonts w:ascii="宋体"/>
                <w:vanish/>
              </w:rPr>
            </w:pPr>
          </w:p>
        </w:tc>
        <w:tc>
          <w:tcPr>
            <w:tcW w:w="0" w:type="auto"/>
            <w:gridSpan w:val="3"/>
            <w:shd w:val="clear" w:color="auto" w:fill="auto"/>
            <w:vAlign w:val="center"/>
          </w:tcPr>
          <w:p w14:paraId="3693DE5B" w14:textId="77777777" w:rsidR="003734EC" w:rsidRDefault="003734EC">
            <w:pPr>
              <w:rPr>
                <w:rFonts w:ascii="宋体"/>
                <w:vanish/>
              </w:rPr>
            </w:pPr>
          </w:p>
        </w:tc>
        <w:tc>
          <w:tcPr>
            <w:tcW w:w="0" w:type="auto"/>
            <w:gridSpan w:val="3"/>
            <w:shd w:val="clear" w:color="auto" w:fill="auto"/>
            <w:vAlign w:val="center"/>
          </w:tcPr>
          <w:p w14:paraId="3693DE5C" w14:textId="77777777" w:rsidR="003734EC" w:rsidRDefault="003734EC">
            <w:pPr>
              <w:rPr>
                <w:rFonts w:ascii="宋体"/>
                <w:vanish/>
              </w:rPr>
            </w:pPr>
          </w:p>
        </w:tc>
        <w:tc>
          <w:tcPr>
            <w:tcW w:w="0" w:type="auto"/>
            <w:shd w:val="clear" w:color="auto" w:fill="auto"/>
            <w:vAlign w:val="center"/>
          </w:tcPr>
          <w:p w14:paraId="3693DE5D" w14:textId="77777777" w:rsidR="003734EC" w:rsidRDefault="003734EC">
            <w:pPr>
              <w:rPr>
                <w:rFonts w:ascii="宋体"/>
                <w:vanish/>
              </w:rPr>
            </w:pPr>
          </w:p>
        </w:tc>
        <w:tc>
          <w:tcPr>
            <w:tcW w:w="0" w:type="auto"/>
            <w:shd w:val="clear" w:color="auto" w:fill="auto"/>
            <w:vAlign w:val="center"/>
          </w:tcPr>
          <w:p w14:paraId="3693DE5E" w14:textId="77777777" w:rsidR="003734EC" w:rsidRDefault="003734EC">
            <w:pPr>
              <w:rPr>
                <w:rFonts w:ascii="宋体"/>
                <w:vanish/>
              </w:rPr>
            </w:pPr>
          </w:p>
        </w:tc>
        <w:tc>
          <w:tcPr>
            <w:tcW w:w="0" w:type="auto"/>
            <w:shd w:val="clear" w:color="auto" w:fill="auto"/>
            <w:vAlign w:val="center"/>
          </w:tcPr>
          <w:p w14:paraId="3693DE5F" w14:textId="77777777" w:rsidR="003734EC" w:rsidRDefault="003734EC">
            <w:pPr>
              <w:rPr>
                <w:rFonts w:ascii="宋体"/>
                <w:vanish/>
              </w:rPr>
            </w:pPr>
          </w:p>
        </w:tc>
        <w:tc>
          <w:tcPr>
            <w:tcW w:w="0" w:type="auto"/>
            <w:shd w:val="clear" w:color="auto" w:fill="auto"/>
            <w:vAlign w:val="center"/>
          </w:tcPr>
          <w:p w14:paraId="3693DE60" w14:textId="77777777" w:rsidR="003734EC" w:rsidRDefault="003734EC">
            <w:pPr>
              <w:rPr>
                <w:rFonts w:ascii="宋体"/>
                <w:vanish/>
              </w:rPr>
            </w:pPr>
          </w:p>
        </w:tc>
        <w:tc>
          <w:tcPr>
            <w:tcW w:w="0" w:type="auto"/>
            <w:shd w:val="clear" w:color="auto" w:fill="auto"/>
            <w:vAlign w:val="center"/>
          </w:tcPr>
          <w:p w14:paraId="3693DE61" w14:textId="77777777" w:rsidR="003734EC" w:rsidRDefault="003734EC">
            <w:pPr>
              <w:rPr>
                <w:rFonts w:ascii="宋体"/>
              </w:rPr>
            </w:pPr>
          </w:p>
        </w:tc>
        <w:tc>
          <w:tcPr>
            <w:tcW w:w="0" w:type="auto"/>
            <w:shd w:val="clear" w:color="auto" w:fill="auto"/>
            <w:vAlign w:val="center"/>
          </w:tcPr>
          <w:p w14:paraId="3693DE62" w14:textId="77777777" w:rsidR="003734EC" w:rsidRDefault="003734EC">
            <w:pPr>
              <w:rPr>
                <w:rFonts w:ascii="宋体"/>
              </w:rPr>
            </w:pPr>
          </w:p>
        </w:tc>
        <w:tc>
          <w:tcPr>
            <w:tcW w:w="0" w:type="auto"/>
            <w:shd w:val="clear" w:color="auto" w:fill="auto"/>
            <w:vAlign w:val="center"/>
          </w:tcPr>
          <w:p w14:paraId="3693DE63" w14:textId="77777777" w:rsidR="003734EC" w:rsidRDefault="003734EC">
            <w:pPr>
              <w:rPr>
                <w:rFonts w:ascii="宋体"/>
              </w:rPr>
            </w:pPr>
          </w:p>
        </w:tc>
        <w:tc>
          <w:tcPr>
            <w:tcW w:w="0" w:type="auto"/>
            <w:shd w:val="clear" w:color="auto" w:fill="auto"/>
            <w:vAlign w:val="center"/>
          </w:tcPr>
          <w:p w14:paraId="3693DE64" w14:textId="77777777" w:rsidR="003734EC" w:rsidRDefault="003734EC">
            <w:pPr>
              <w:rPr>
                <w:rFonts w:ascii="宋体"/>
              </w:rPr>
            </w:pPr>
          </w:p>
        </w:tc>
        <w:tc>
          <w:tcPr>
            <w:tcW w:w="0" w:type="auto"/>
            <w:shd w:val="clear" w:color="auto" w:fill="auto"/>
            <w:vAlign w:val="center"/>
          </w:tcPr>
          <w:p w14:paraId="3693DE65" w14:textId="77777777" w:rsidR="003734EC" w:rsidRDefault="003734EC">
            <w:pPr>
              <w:rPr>
                <w:rFonts w:ascii="宋体"/>
              </w:rPr>
            </w:pPr>
          </w:p>
        </w:tc>
        <w:tc>
          <w:tcPr>
            <w:tcW w:w="0" w:type="auto"/>
            <w:shd w:val="clear" w:color="auto" w:fill="auto"/>
            <w:vAlign w:val="center"/>
          </w:tcPr>
          <w:p w14:paraId="3693DE66" w14:textId="77777777" w:rsidR="003734EC" w:rsidRDefault="003734EC">
            <w:pPr>
              <w:rPr>
                <w:rFonts w:ascii="宋体"/>
              </w:rPr>
            </w:pPr>
          </w:p>
        </w:tc>
      </w:tr>
      <w:tr w:rsidR="003734EC" w14:paraId="3693DE79" w14:textId="77777777">
        <w:tc>
          <w:tcPr>
            <w:tcW w:w="0" w:type="auto"/>
            <w:gridSpan w:val="2"/>
            <w:shd w:val="clear" w:color="auto" w:fill="FFFFFF"/>
            <w:tcMar>
              <w:top w:w="40" w:type="dxa"/>
              <w:left w:w="225" w:type="dxa"/>
              <w:bottom w:w="40" w:type="dxa"/>
              <w:right w:w="0" w:type="dxa"/>
            </w:tcMar>
            <w:vAlign w:val="bottom"/>
          </w:tcPr>
          <w:p w14:paraId="3693DE68" w14:textId="77777777" w:rsidR="003734EC" w:rsidRDefault="000E364E">
            <w:pPr>
              <w:textAlignment w:val="bottom"/>
            </w:pPr>
            <w:r>
              <w:rPr>
                <w:rFonts w:ascii="sans-serif" w:eastAsia="sans-serif" w:hAnsi="sans-serif" w:cs="sans-serif"/>
                <w:color w:val="000000"/>
                <w:sz w:val="20"/>
                <w:szCs w:val="20"/>
              </w:rPr>
              <w:t xml:space="preserve">Net </w:t>
            </w:r>
            <w:r>
              <w:rPr>
                <w:rFonts w:ascii="sans-serif" w:eastAsia="sans-serif" w:hAnsi="sans-serif" w:cs="sans-serif"/>
                <w:color w:val="000000"/>
                <w:sz w:val="20"/>
                <w:szCs w:val="20"/>
              </w:rPr>
              <w:t>change in unrealized gain </w:t>
            </w:r>
          </w:p>
        </w:tc>
        <w:tc>
          <w:tcPr>
            <w:tcW w:w="0" w:type="auto"/>
            <w:shd w:val="clear" w:color="auto" w:fill="FFFFFF"/>
            <w:tcMar>
              <w:top w:w="40" w:type="dxa"/>
              <w:bottom w:w="40" w:type="dxa"/>
              <w:right w:w="20" w:type="dxa"/>
            </w:tcMar>
            <w:vAlign w:val="bottom"/>
          </w:tcPr>
          <w:p w14:paraId="3693DE6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693DE6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E6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E6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E6D" w14:textId="77777777" w:rsidR="003734EC" w:rsidRDefault="000E364E">
            <w:pPr>
              <w:jc w:val="right"/>
              <w:textAlignment w:val="bottom"/>
            </w:pPr>
            <w:r>
              <w:rPr>
                <w:rFonts w:ascii="sans-serif" w:eastAsia="sans-serif" w:hAnsi="sans-serif" w:cs="sans-serif"/>
                <w:color w:val="000000"/>
                <w:sz w:val="20"/>
                <w:szCs w:val="20"/>
              </w:rPr>
              <w:t>7 </w:t>
            </w:r>
          </w:p>
        </w:tc>
        <w:tc>
          <w:tcPr>
            <w:tcW w:w="0" w:type="auto"/>
            <w:shd w:val="clear" w:color="auto" w:fill="FFFFFF"/>
            <w:tcMar>
              <w:top w:w="40" w:type="dxa"/>
              <w:bottom w:w="40" w:type="dxa"/>
              <w:right w:w="20" w:type="dxa"/>
            </w:tcMar>
            <w:vAlign w:val="bottom"/>
          </w:tcPr>
          <w:p w14:paraId="3693DE6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6F" w14:textId="77777777" w:rsidR="003734EC" w:rsidRDefault="003734EC">
            <w:pPr>
              <w:rPr>
                <w:rFonts w:ascii="宋体"/>
                <w:vanish/>
              </w:rPr>
            </w:pPr>
          </w:p>
        </w:tc>
        <w:tc>
          <w:tcPr>
            <w:tcW w:w="0" w:type="auto"/>
            <w:shd w:val="clear" w:color="auto" w:fill="auto"/>
            <w:vAlign w:val="center"/>
          </w:tcPr>
          <w:p w14:paraId="3693DE70" w14:textId="77777777" w:rsidR="003734EC" w:rsidRDefault="003734EC">
            <w:pPr>
              <w:rPr>
                <w:rFonts w:ascii="宋体"/>
                <w:vanish/>
              </w:rPr>
            </w:pPr>
          </w:p>
        </w:tc>
        <w:tc>
          <w:tcPr>
            <w:tcW w:w="0" w:type="auto"/>
            <w:shd w:val="clear" w:color="auto" w:fill="auto"/>
            <w:vAlign w:val="center"/>
          </w:tcPr>
          <w:p w14:paraId="3693DE71" w14:textId="77777777" w:rsidR="003734EC" w:rsidRDefault="003734EC">
            <w:pPr>
              <w:rPr>
                <w:rFonts w:ascii="宋体"/>
                <w:vanish/>
              </w:rPr>
            </w:pPr>
          </w:p>
        </w:tc>
        <w:tc>
          <w:tcPr>
            <w:tcW w:w="0" w:type="auto"/>
            <w:shd w:val="clear" w:color="auto" w:fill="auto"/>
            <w:vAlign w:val="center"/>
          </w:tcPr>
          <w:p w14:paraId="3693DE72" w14:textId="77777777" w:rsidR="003734EC" w:rsidRDefault="003734EC">
            <w:pPr>
              <w:rPr>
                <w:rFonts w:ascii="宋体"/>
                <w:vanish/>
              </w:rPr>
            </w:pPr>
          </w:p>
        </w:tc>
        <w:tc>
          <w:tcPr>
            <w:tcW w:w="0" w:type="auto"/>
            <w:shd w:val="clear" w:color="auto" w:fill="auto"/>
            <w:vAlign w:val="center"/>
          </w:tcPr>
          <w:p w14:paraId="3693DE73" w14:textId="77777777" w:rsidR="003734EC" w:rsidRDefault="003734EC">
            <w:pPr>
              <w:rPr>
                <w:rFonts w:ascii="宋体"/>
              </w:rPr>
            </w:pPr>
          </w:p>
        </w:tc>
        <w:tc>
          <w:tcPr>
            <w:tcW w:w="0" w:type="auto"/>
            <w:shd w:val="clear" w:color="auto" w:fill="auto"/>
            <w:vAlign w:val="center"/>
          </w:tcPr>
          <w:p w14:paraId="3693DE74" w14:textId="77777777" w:rsidR="003734EC" w:rsidRDefault="003734EC">
            <w:pPr>
              <w:rPr>
                <w:rFonts w:ascii="宋体"/>
              </w:rPr>
            </w:pPr>
          </w:p>
        </w:tc>
        <w:tc>
          <w:tcPr>
            <w:tcW w:w="0" w:type="auto"/>
            <w:shd w:val="clear" w:color="auto" w:fill="auto"/>
            <w:vAlign w:val="center"/>
          </w:tcPr>
          <w:p w14:paraId="3693DE75" w14:textId="77777777" w:rsidR="003734EC" w:rsidRDefault="003734EC">
            <w:pPr>
              <w:rPr>
                <w:rFonts w:ascii="宋体"/>
              </w:rPr>
            </w:pPr>
          </w:p>
        </w:tc>
        <w:tc>
          <w:tcPr>
            <w:tcW w:w="0" w:type="auto"/>
            <w:shd w:val="clear" w:color="auto" w:fill="auto"/>
            <w:vAlign w:val="center"/>
          </w:tcPr>
          <w:p w14:paraId="3693DE76" w14:textId="77777777" w:rsidR="003734EC" w:rsidRDefault="003734EC">
            <w:pPr>
              <w:rPr>
                <w:rFonts w:ascii="宋体"/>
              </w:rPr>
            </w:pPr>
          </w:p>
        </w:tc>
        <w:tc>
          <w:tcPr>
            <w:tcW w:w="0" w:type="auto"/>
            <w:shd w:val="clear" w:color="auto" w:fill="auto"/>
            <w:vAlign w:val="center"/>
          </w:tcPr>
          <w:p w14:paraId="3693DE77" w14:textId="77777777" w:rsidR="003734EC" w:rsidRDefault="003734EC">
            <w:pPr>
              <w:rPr>
                <w:rFonts w:ascii="宋体"/>
              </w:rPr>
            </w:pPr>
          </w:p>
        </w:tc>
        <w:tc>
          <w:tcPr>
            <w:tcW w:w="0" w:type="auto"/>
            <w:shd w:val="clear" w:color="auto" w:fill="auto"/>
            <w:vAlign w:val="center"/>
          </w:tcPr>
          <w:p w14:paraId="3693DE78" w14:textId="77777777" w:rsidR="003734EC" w:rsidRDefault="003734EC">
            <w:pPr>
              <w:rPr>
                <w:rFonts w:ascii="宋体"/>
              </w:rPr>
            </w:pPr>
          </w:p>
        </w:tc>
      </w:tr>
      <w:tr w:rsidR="003734EC" w14:paraId="3693DE88" w14:textId="77777777">
        <w:tc>
          <w:tcPr>
            <w:tcW w:w="0" w:type="auto"/>
            <w:gridSpan w:val="3"/>
            <w:shd w:val="clear" w:color="auto" w:fill="E2EFD9"/>
            <w:tcMar>
              <w:top w:w="40" w:type="dxa"/>
              <w:left w:w="20" w:type="dxa"/>
              <w:bottom w:w="40" w:type="dxa"/>
              <w:right w:w="20" w:type="dxa"/>
            </w:tcMar>
            <w:vAlign w:val="bottom"/>
          </w:tcPr>
          <w:p w14:paraId="3693DE7A" w14:textId="77777777" w:rsidR="003734EC" w:rsidRDefault="000E364E">
            <w:pPr>
              <w:textAlignment w:val="bottom"/>
            </w:pPr>
            <w:r>
              <w:rPr>
                <w:rFonts w:ascii="sans-serif" w:eastAsia="sans-serif" w:hAnsi="sans-serif" w:cs="sans-serif"/>
                <w:color w:val="000000"/>
                <w:sz w:val="20"/>
                <w:szCs w:val="20"/>
              </w:rPr>
              <w:t>Cash flow hedges:</w:t>
            </w:r>
          </w:p>
        </w:tc>
        <w:tc>
          <w:tcPr>
            <w:tcW w:w="0" w:type="auto"/>
            <w:gridSpan w:val="3"/>
            <w:shd w:val="clear" w:color="auto" w:fill="E2EFD9"/>
            <w:tcMar>
              <w:left w:w="20" w:type="dxa"/>
              <w:right w:w="20" w:type="dxa"/>
            </w:tcMar>
            <w:vAlign w:val="bottom"/>
          </w:tcPr>
          <w:p w14:paraId="3693DE7B"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E7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E7D" w14:textId="77777777" w:rsidR="003734EC" w:rsidRDefault="003734EC">
            <w:pPr>
              <w:rPr>
                <w:rFonts w:ascii="宋体"/>
              </w:rPr>
            </w:pPr>
          </w:p>
        </w:tc>
        <w:tc>
          <w:tcPr>
            <w:tcW w:w="0" w:type="auto"/>
            <w:shd w:val="clear" w:color="auto" w:fill="auto"/>
            <w:vAlign w:val="center"/>
          </w:tcPr>
          <w:p w14:paraId="3693DE7E" w14:textId="77777777" w:rsidR="003734EC" w:rsidRDefault="003734EC">
            <w:pPr>
              <w:rPr>
                <w:rFonts w:ascii="宋体"/>
                <w:vanish/>
              </w:rPr>
            </w:pPr>
          </w:p>
        </w:tc>
        <w:tc>
          <w:tcPr>
            <w:tcW w:w="0" w:type="auto"/>
            <w:shd w:val="clear" w:color="auto" w:fill="auto"/>
            <w:vAlign w:val="center"/>
          </w:tcPr>
          <w:p w14:paraId="3693DE7F" w14:textId="77777777" w:rsidR="003734EC" w:rsidRDefault="003734EC">
            <w:pPr>
              <w:rPr>
                <w:rFonts w:ascii="宋体"/>
                <w:vanish/>
              </w:rPr>
            </w:pPr>
          </w:p>
        </w:tc>
        <w:tc>
          <w:tcPr>
            <w:tcW w:w="0" w:type="auto"/>
            <w:shd w:val="clear" w:color="auto" w:fill="auto"/>
            <w:vAlign w:val="center"/>
          </w:tcPr>
          <w:p w14:paraId="3693DE80" w14:textId="77777777" w:rsidR="003734EC" w:rsidRDefault="003734EC">
            <w:pPr>
              <w:rPr>
                <w:rFonts w:ascii="宋体"/>
                <w:vanish/>
              </w:rPr>
            </w:pPr>
          </w:p>
        </w:tc>
        <w:tc>
          <w:tcPr>
            <w:tcW w:w="0" w:type="auto"/>
            <w:shd w:val="clear" w:color="auto" w:fill="auto"/>
            <w:vAlign w:val="center"/>
          </w:tcPr>
          <w:p w14:paraId="3693DE81" w14:textId="77777777" w:rsidR="003734EC" w:rsidRDefault="003734EC">
            <w:pPr>
              <w:rPr>
                <w:rFonts w:ascii="宋体"/>
                <w:vanish/>
              </w:rPr>
            </w:pPr>
          </w:p>
        </w:tc>
        <w:tc>
          <w:tcPr>
            <w:tcW w:w="0" w:type="auto"/>
            <w:shd w:val="clear" w:color="auto" w:fill="auto"/>
            <w:vAlign w:val="center"/>
          </w:tcPr>
          <w:p w14:paraId="3693DE82" w14:textId="77777777" w:rsidR="003734EC" w:rsidRDefault="003734EC">
            <w:pPr>
              <w:rPr>
                <w:rFonts w:ascii="宋体"/>
              </w:rPr>
            </w:pPr>
          </w:p>
        </w:tc>
        <w:tc>
          <w:tcPr>
            <w:tcW w:w="0" w:type="auto"/>
            <w:shd w:val="clear" w:color="auto" w:fill="auto"/>
            <w:vAlign w:val="center"/>
          </w:tcPr>
          <w:p w14:paraId="3693DE83" w14:textId="77777777" w:rsidR="003734EC" w:rsidRDefault="003734EC">
            <w:pPr>
              <w:rPr>
                <w:rFonts w:ascii="宋体"/>
              </w:rPr>
            </w:pPr>
          </w:p>
        </w:tc>
        <w:tc>
          <w:tcPr>
            <w:tcW w:w="0" w:type="auto"/>
            <w:shd w:val="clear" w:color="auto" w:fill="auto"/>
            <w:vAlign w:val="center"/>
          </w:tcPr>
          <w:p w14:paraId="3693DE84" w14:textId="77777777" w:rsidR="003734EC" w:rsidRDefault="003734EC">
            <w:pPr>
              <w:rPr>
                <w:rFonts w:ascii="宋体"/>
              </w:rPr>
            </w:pPr>
          </w:p>
        </w:tc>
        <w:tc>
          <w:tcPr>
            <w:tcW w:w="0" w:type="auto"/>
            <w:shd w:val="clear" w:color="auto" w:fill="auto"/>
            <w:vAlign w:val="center"/>
          </w:tcPr>
          <w:p w14:paraId="3693DE85" w14:textId="77777777" w:rsidR="003734EC" w:rsidRDefault="003734EC">
            <w:pPr>
              <w:rPr>
                <w:rFonts w:ascii="宋体"/>
              </w:rPr>
            </w:pPr>
          </w:p>
        </w:tc>
        <w:tc>
          <w:tcPr>
            <w:tcW w:w="0" w:type="auto"/>
            <w:shd w:val="clear" w:color="auto" w:fill="auto"/>
            <w:vAlign w:val="center"/>
          </w:tcPr>
          <w:p w14:paraId="3693DE86" w14:textId="77777777" w:rsidR="003734EC" w:rsidRDefault="003734EC">
            <w:pPr>
              <w:rPr>
                <w:rFonts w:ascii="宋体"/>
              </w:rPr>
            </w:pPr>
          </w:p>
        </w:tc>
        <w:tc>
          <w:tcPr>
            <w:tcW w:w="0" w:type="auto"/>
            <w:shd w:val="clear" w:color="auto" w:fill="auto"/>
            <w:vAlign w:val="center"/>
          </w:tcPr>
          <w:p w14:paraId="3693DE87" w14:textId="77777777" w:rsidR="003734EC" w:rsidRDefault="003734EC">
            <w:pPr>
              <w:rPr>
                <w:rFonts w:ascii="宋体"/>
              </w:rPr>
            </w:pPr>
          </w:p>
        </w:tc>
      </w:tr>
      <w:tr w:rsidR="003734EC" w14:paraId="3693DE9A" w14:textId="77777777">
        <w:tc>
          <w:tcPr>
            <w:tcW w:w="0" w:type="auto"/>
            <w:gridSpan w:val="2"/>
            <w:shd w:val="clear" w:color="auto" w:fill="FFFFFF"/>
            <w:tcMar>
              <w:top w:w="40" w:type="dxa"/>
              <w:left w:w="225" w:type="dxa"/>
              <w:bottom w:w="40" w:type="dxa"/>
              <w:right w:w="0" w:type="dxa"/>
            </w:tcMar>
            <w:vAlign w:val="bottom"/>
          </w:tcPr>
          <w:p w14:paraId="3693DE89" w14:textId="77777777" w:rsidR="003734EC" w:rsidRDefault="000E364E">
            <w:pPr>
              <w:textAlignment w:val="bottom"/>
            </w:pPr>
            <w:r>
              <w:rPr>
                <w:rFonts w:ascii="sans-serif" w:eastAsia="sans-serif" w:hAnsi="sans-serif" w:cs="sans-serif"/>
                <w:color w:val="000000"/>
                <w:sz w:val="20"/>
                <w:szCs w:val="20"/>
              </w:rPr>
              <w:t>Net unrealized gain (loss)</w:t>
            </w:r>
          </w:p>
        </w:tc>
        <w:tc>
          <w:tcPr>
            <w:tcW w:w="0" w:type="auto"/>
            <w:shd w:val="clear" w:color="auto" w:fill="FFFFFF"/>
            <w:tcMar>
              <w:top w:w="40" w:type="dxa"/>
              <w:bottom w:w="40" w:type="dxa"/>
              <w:right w:w="20" w:type="dxa"/>
            </w:tcMar>
            <w:vAlign w:val="bottom"/>
          </w:tcPr>
          <w:p w14:paraId="3693DE8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693DE8B" w14:textId="77777777" w:rsidR="003734EC" w:rsidRDefault="000E364E">
            <w:pPr>
              <w:jc w:val="right"/>
              <w:textAlignment w:val="bottom"/>
            </w:pPr>
            <w:r>
              <w:rPr>
                <w:rFonts w:ascii="sans-serif" w:eastAsia="sans-serif" w:hAnsi="sans-serif" w:cs="sans-serif"/>
                <w:color w:val="000000"/>
                <w:sz w:val="20"/>
                <w:szCs w:val="20"/>
              </w:rPr>
              <w:t>(10)</w:t>
            </w:r>
          </w:p>
        </w:tc>
        <w:tc>
          <w:tcPr>
            <w:tcW w:w="0" w:type="auto"/>
            <w:shd w:val="clear" w:color="auto" w:fill="FFFFFF"/>
            <w:tcMar>
              <w:top w:w="40" w:type="dxa"/>
              <w:bottom w:w="40" w:type="dxa"/>
              <w:right w:w="20" w:type="dxa"/>
            </w:tcMar>
            <w:vAlign w:val="bottom"/>
          </w:tcPr>
          <w:p w14:paraId="3693DE8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E8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E8E" w14:textId="77777777" w:rsidR="003734EC" w:rsidRDefault="000E364E">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bottom w:w="40" w:type="dxa"/>
              <w:right w:w="20" w:type="dxa"/>
            </w:tcMar>
            <w:vAlign w:val="bottom"/>
          </w:tcPr>
          <w:p w14:paraId="3693DE8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90" w14:textId="77777777" w:rsidR="003734EC" w:rsidRDefault="003734EC">
            <w:pPr>
              <w:rPr>
                <w:rFonts w:ascii="宋体"/>
                <w:vanish/>
              </w:rPr>
            </w:pPr>
          </w:p>
        </w:tc>
        <w:tc>
          <w:tcPr>
            <w:tcW w:w="0" w:type="auto"/>
            <w:shd w:val="clear" w:color="auto" w:fill="auto"/>
            <w:vAlign w:val="center"/>
          </w:tcPr>
          <w:p w14:paraId="3693DE91" w14:textId="77777777" w:rsidR="003734EC" w:rsidRDefault="003734EC">
            <w:pPr>
              <w:rPr>
                <w:rFonts w:ascii="宋体"/>
                <w:vanish/>
              </w:rPr>
            </w:pPr>
          </w:p>
        </w:tc>
        <w:tc>
          <w:tcPr>
            <w:tcW w:w="0" w:type="auto"/>
            <w:shd w:val="clear" w:color="auto" w:fill="auto"/>
            <w:vAlign w:val="center"/>
          </w:tcPr>
          <w:p w14:paraId="3693DE92" w14:textId="77777777" w:rsidR="003734EC" w:rsidRDefault="003734EC">
            <w:pPr>
              <w:rPr>
                <w:rFonts w:ascii="宋体"/>
                <w:vanish/>
              </w:rPr>
            </w:pPr>
          </w:p>
        </w:tc>
        <w:tc>
          <w:tcPr>
            <w:tcW w:w="0" w:type="auto"/>
            <w:shd w:val="clear" w:color="auto" w:fill="auto"/>
            <w:vAlign w:val="center"/>
          </w:tcPr>
          <w:p w14:paraId="3693DE93" w14:textId="77777777" w:rsidR="003734EC" w:rsidRDefault="003734EC">
            <w:pPr>
              <w:rPr>
                <w:rFonts w:ascii="宋体"/>
                <w:vanish/>
              </w:rPr>
            </w:pPr>
          </w:p>
        </w:tc>
        <w:tc>
          <w:tcPr>
            <w:tcW w:w="0" w:type="auto"/>
            <w:shd w:val="clear" w:color="auto" w:fill="auto"/>
            <w:vAlign w:val="center"/>
          </w:tcPr>
          <w:p w14:paraId="3693DE94" w14:textId="77777777" w:rsidR="003734EC" w:rsidRDefault="003734EC">
            <w:pPr>
              <w:rPr>
                <w:rFonts w:ascii="宋体"/>
              </w:rPr>
            </w:pPr>
          </w:p>
        </w:tc>
        <w:tc>
          <w:tcPr>
            <w:tcW w:w="0" w:type="auto"/>
            <w:shd w:val="clear" w:color="auto" w:fill="auto"/>
            <w:vAlign w:val="center"/>
          </w:tcPr>
          <w:p w14:paraId="3693DE95" w14:textId="77777777" w:rsidR="003734EC" w:rsidRDefault="003734EC">
            <w:pPr>
              <w:rPr>
                <w:rFonts w:ascii="宋体"/>
              </w:rPr>
            </w:pPr>
          </w:p>
        </w:tc>
        <w:tc>
          <w:tcPr>
            <w:tcW w:w="0" w:type="auto"/>
            <w:shd w:val="clear" w:color="auto" w:fill="auto"/>
            <w:vAlign w:val="center"/>
          </w:tcPr>
          <w:p w14:paraId="3693DE96" w14:textId="77777777" w:rsidR="003734EC" w:rsidRDefault="003734EC">
            <w:pPr>
              <w:rPr>
                <w:rFonts w:ascii="宋体"/>
              </w:rPr>
            </w:pPr>
          </w:p>
        </w:tc>
        <w:tc>
          <w:tcPr>
            <w:tcW w:w="0" w:type="auto"/>
            <w:shd w:val="clear" w:color="auto" w:fill="auto"/>
            <w:vAlign w:val="center"/>
          </w:tcPr>
          <w:p w14:paraId="3693DE97" w14:textId="77777777" w:rsidR="003734EC" w:rsidRDefault="003734EC">
            <w:pPr>
              <w:rPr>
                <w:rFonts w:ascii="宋体"/>
              </w:rPr>
            </w:pPr>
          </w:p>
        </w:tc>
        <w:tc>
          <w:tcPr>
            <w:tcW w:w="0" w:type="auto"/>
            <w:shd w:val="clear" w:color="auto" w:fill="auto"/>
            <w:vAlign w:val="center"/>
          </w:tcPr>
          <w:p w14:paraId="3693DE98" w14:textId="77777777" w:rsidR="003734EC" w:rsidRDefault="003734EC">
            <w:pPr>
              <w:rPr>
                <w:rFonts w:ascii="宋体"/>
              </w:rPr>
            </w:pPr>
          </w:p>
        </w:tc>
        <w:tc>
          <w:tcPr>
            <w:tcW w:w="0" w:type="auto"/>
            <w:shd w:val="clear" w:color="auto" w:fill="auto"/>
            <w:vAlign w:val="center"/>
          </w:tcPr>
          <w:p w14:paraId="3693DE99" w14:textId="77777777" w:rsidR="003734EC" w:rsidRDefault="003734EC">
            <w:pPr>
              <w:rPr>
                <w:rFonts w:ascii="宋体"/>
              </w:rPr>
            </w:pPr>
          </w:p>
        </w:tc>
      </w:tr>
      <w:tr w:rsidR="003734EC" w14:paraId="3693DEAC" w14:textId="77777777">
        <w:tc>
          <w:tcPr>
            <w:tcW w:w="0" w:type="auto"/>
            <w:gridSpan w:val="2"/>
            <w:shd w:val="clear" w:color="auto" w:fill="E2EFD9"/>
            <w:tcMar>
              <w:top w:w="40" w:type="dxa"/>
              <w:left w:w="225" w:type="dxa"/>
              <w:bottom w:w="40" w:type="dxa"/>
              <w:right w:w="0" w:type="dxa"/>
            </w:tcMar>
            <w:vAlign w:val="bottom"/>
          </w:tcPr>
          <w:p w14:paraId="3693DE9B" w14:textId="77777777" w:rsidR="003734EC" w:rsidRDefault="000E364E">
            <w:pPr>
              <w:textAlignment w:val="bottom"/>
            </w:pPr>
            <w:r>
              <w:rPr>
                <w:rFonts w:ascii="sans-serif" w:eastAsia="sans-serif" w:hAnsi="sans-serif" w:cs="sans-serif"/>
                <w:color w:val="000000"/>
                <w:sz w:val="20"/>
                <w:szCs w:val="20"/>
              </w:rPr>
              <w:t>Reclassification adjustments for net realized loss included in net income </w:t>
            </w:r>
          </w:p>
        </w:tc>
        <w:tc>
          <w:tcPr>
            <w:tcW w:w="0" w:type="auto"/>
            <w:shd w:val="clear" w:color="auto" w:fill="E2EFD9"/>
            <w:tcMar>
              <w:top w:w="40" w:type="dxa"/>
              <w:bottom w:w="40" w:type="dxa"/>
              <w:right w:w="20" w:type="dxa"/>
            </w:tcMar>
            <w:vAlign w:val="bottom"/>
          </w:tcPr>
          <w:p w14:paraId="3693DE9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shd w:val="clear" w:color="auto" w:fill="E2EFD9"/>
            <w:tcMar>
              <w:top w:w="40" w:type="dxa"/>
              <w:left w:w="20" w:type="dxa"/>
              <w:bottom w:w="40" w:type="dxa"/>
              <w:right w:w="0" w:type="dxa"/>
            </w:tcMar>
            <w:vAlign w:val="bottom"/>
          </w:tcPr>
          <w:p w14:paraId="3693DE9D"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bottom w:w="40" w:type="dxa"/>
              <w:right w:w="20" w:type="dxa"/>
            </w:tcMar>
            <w:vAlign w:val="bottom"/>
          </w:tcPr>
          <w:p w14:paraId="3693DE9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E9F"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EA0"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bottom w:w="40" w:type="dxa"/>
              <w:right w:w="20" w:type="dxa"/>
            </w:tcMar>
            <w:vAlign w:val="bottom"/>
          </w:tcPr>
          <w:p w14:paraId="3693DEA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A2" w14:textId="77777777" w:rsidR="003734EC" w:rsidRDefault="003734EC">
            <w:pPr>
              <w:rPr>
                <w:rFonts w:ascii="宋体"/>
                <w:vanish/>
              </w:rPr>
            </w:pPr>
          </w:p>
        </w:tc>
        <w:tc>
          <w:tcPr>
            <w:tcW w:w="0" w:type="auto"/>
            <w:shd w:val="clear" w:color="auto" w:fill="auto"/>
            <w:vAlign w:val="center"/>
          </w:tcPr>
          <w:p w14:paraId="3693DEA3" w14:textId="77777777" w:rsidR="003734EC" w:rsidRDefault="003734EC">
            <w:pPr>
              <w:rPr>
                <w:rFonts w:ascii="宋体"/>
                <w:vanish/>
              </w:rPr>
            </w:pPr>
          </w:p>
        </w:tc>
        <w:tc>
          <w:tcPr>
            <w:tcW w:w="0" w:type="auto"/>
            <w:shd w:val="clear" w:color="auto" w:fill="auto"/>
            <w:vAlign w:val="center"/>
          </w:tcPr>
          <w:p w14:paraId="3693DEA4" w14:textId="77777777" w:rsidR="003734EC" w:rsidRDefault="003734EC">
            <w:pPr>
              <w:rPr>
                <w:rFonts w:ascii="宋体"/>
                <w:vanish/>
              </w:rPr>
            </w:pPr>
          </w:p>
        </w:tc>
        <w:tc>
          <w:tcPr>
            <w:tcW w:w="0" w:type="auto"/>
            <w:shd w:val="clear" w:color="auto" w:fill="auto"/>
            <w:vAlign w:val="center"/>
          </w:tcPr>
          <w:p w14:paraId="3693DEA5" w14:textId="77777777" w:rsidR="003734EC" w:rsidRDefault="003734EC">
            <w:pPr>
              <w:rPr>
                <w:rFonts w:ascii="宋体"/>
                <w:vanish/>
              </w:rPr>
            </w:pPr>
          </w:p>
        </w:tc>
        <w:tc>
          <w:tcPr>
            <w:tcW w:w="0" w:type="auto"/>
            <w:shd w:val="clear" w:color="auto" w:fill="auto"/>
            <w:vAlign w:val="center"/>
          </w:tcPr>
          <w:p w14:paraId="3693DEA6" w14:textId="77777777" w:rsidR="003734EC" w:rsidRDefault="003734EC">
            <w:pPr>
              <w:rPr>
                <w:rFonts w:ascii="宋体"/>
              </w:rPr>
            </w:pPr>
          </w:p>
        </w:tc>
        <w:tc>
          <w:tcPr>
            <w:tcW w:w="0" w:type="auto"/>
            <w:shd w:val="clear" w:color="auto" w:fill="auto"/>
            <w:vAlign w:val="center"/>
          </w:tcPr>
          <w:p w14:paraId="3693DEA7" w14:textId="77777777" w:rsidR="003734EC" w:rsidRDefault="003734EC">
            <w:pPr>
              <w:rPr>
                <w:rFonts w:ascii="宋体"/>
              </w:rPr>
            </w:pPr>
          </w:p>
        </w:tc>
        <w:tc>
          <w:tcPr>
            <w:tcW w:w="0" w:type="auto"/>
            <w:shd w:val="clear" w:color="auto" w:fill="auto"/>
            <w:vAlign w:val="center"/>
          </w:tcPr>
          <w:p w14:paraId="3693DEA8" w14:textId="77777777" w:rsidR="003734EC" w:rsidRDefault="003734EC">
            <w:pPr>
              <w:rPr>
                <w:rFonts w:ascii="宋体"/>
              </w:rPr>
            </w:pPr>
          </w:p>
        </w:tc>
        <w:tc>
          <w:tcPr>
            <w:tcW w:w="0" w:type="auto"/>
            <w:shd w:val="clear" w:color="auto" w:fill="auto"/>
            <w:vAlign w:val="center"/>
          </w:tcPr>
          <w:p w14:paraId="3693DEA9" w14:textId="77777777" w:rsidR="003734EC" w:rsidRDefault="003734EC">
            <w:pPr>
              <w:rPr>
                <w:rFonts w:ascii="宋体"/>
              </w:rPr>
            </w:pPr>
          </w:p>
        </w:tc>
        <w:tc>
          <w:tcPr>
            <w:tcW w:w="0" w:type="auto"/>
            <w:shd w:val="clear" w:color="auto" w:fill="auto"/>
            <w:vAlign w:val="center"/>
          </w:tcPr>
          <w:p w14:paraId="3693DEAA" w14:textId="77777777" w:rsidR="003734EC" w:rsidRDefault="003734EC">
            <w:pPr>
              <w:rPr>
                <w:rFonts w:ascii="宋体"/>
              </w:rPr>
            </w:pPr>
          </w:p>
        </w:tc>
        <w:tc>
          <w:tcPr>
            <w:tcW w:w="0" w:type="auto"/>
            <w:shd w:val="clear" w:color="auto" w:fill="auto"/>
            <w:vAlign w:val="center"/>
          </w:tcPr>
          <w:p w14:paraId="3693DEAB" w14:textId="77777777" w:rsidR="003734EC" w:rsidRDefault="003734EC">
            <w:pPr>
              <w:rPr>
                <w:rFonts w:ascii="宋体"/>
              </w:rPr>
            </w:pPr>
          </w:p>
        </w:tc>
      </w:tr>
      <w:tr w:rsidR="003734EC" w14:paraId="3693DEBE" w14:textId="77777777">
        <w:tc>
          <w:tcPr>
            <w:tcW w:w="0" w:type="auto"/>
            <w:gridSpan w:val="2"/>
            <w:shd w:val="clear" w:color="auto" w:fill="FFFFFF"/>
            <w:tcMar>
              <w:top w:w="40" w:type="dxa"/>
              <w:left w:w="225" w:type="dxa"/>
              <w:bottom w:w="40" w:type="dxa"/>
              <w:right w:w="0" w:type="dxa"/>
            </w:tcMar>
            <w:vAlign w:val="bottom"/>
          </w:tcPr>
          <w:p w14:paraId="3693DEAD" w14:textId="77777777" w:rsidR="003734EC" w:rsidRDefault="000E364E">
            <w:pPr>
              <w:textAlignment w:val="bottom"/>
            </w:pPr>
            <w:r>
              <w:rPr>
                <w:rFonts w:ascii="sans-serif" w:eastAsia="sans-serif" w:hAnsi="sans-serif" w:cs="sans-serif"/>
                <w:color w:val="000000"/>
                <w:sz w:val="20"/>
                <w:szCs w:val="20"/>
              </w:rPr>
              <w:t xml:space="preserve">Net change in </w:t>
            </w:r>
            <w:r>
              <w:rPr>
                <w:rFonts w:ascii="sans-serif" w:eastAsia="sans-serif" w:hAnsi="sans-serif" w:cs="sans-serif"/>
                <w:color w:val="000000"/>
                <w:sz w:val="20"/>
                <w:szCs w:val="20"/>
              </w:rPr>
              <w:t>unrealized gain (loss)</w:t>
            </w:r>
          </w:p>
        </w:tc>
        <w:tc>
          <w:tcPr>
            <w:tcW w:w="0" w:type="auto"/>
            <w:shd w:val="clear" w:color="auto" w:fill="FFFFFF"/>
            <w:tcMar>
              <w:top w:w="40" w:type="dxa"/>
              <w:bottom w:w="40" w:type="dxa"/>
              <w:right w:w="20" w:type="dxa"/>
            </w:tcMar>
            <w:vAlign w:val="bottom"/>
          </w:tcPr>
          <w:p w14:paraId="3693DEA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EAF" w14:textId="77777777" w:rsidR="003734EC" w:rsidRDefault="000E364E">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bottom w:w="40" w:type="dxa"/>
              <w:right w:w="20" w:type="dxa"/>
            </w:tcMar>
            <w:vAlign w:val="bottom"/>
          </w:tcPr>
          <w:p w14:paraId="3693DEB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EB1"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EB2" w14:textId="77777777" w:rsidR="003734EC" w:rsidRDefault="000E364E">
            <w:pPr>
              <w:jc w:val="right"/>
              <w:textAlignment w:val="bottom"/>
            </w:pPr>
            <w:r>
              <w:rPr>
                <w:rFonts w:ascii="sans-serif" w:eastAsia="sans-serif" w:hAnsi="sans-serif" w:cs="sans-serif"/>
                <w:color w:val="000000"/>
                <w:sz w:val="20"/>
                <w:szCs w:val="20"/>
              </w:rPr>
              <w:t>3 </w:t>
            </w:r>
          </w:p>
        </w:tc>
        <w:tc>
          <w:tcPr>
            <w:tcW w:w="0" w:type="auto"/>
            <w:tcBorders>
              <w:top w:val="single" w:sz="8" w:space="0" w:color="000000"/>
            </w:tcBorders>
            <w:shd w:val="clear" w:color="auto" w:fill="FFFFFF"/>
            <w:tcMar>
              <w:top w:w="40" w:type="dxa"/>
              <w:bottom w:w="40" w:type="dxa"/>
              <w:right w:w="20" w:type="dxa"/>
            </w:tcMar>
            <w:vAlign w:val="bottom"/>
          </w:tcPr>
          <w:p w14:paraId="3693DEB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B4" w14:textId="77777777" w:rsidR="003734EC" w:rsidRDefault="003734EC">
            <w:pPr>
              <w:rPr>
                <w:rFonts w:ascii="宋体"/>
                <w:vanish/>
              </w:rPr>
            </w:pPr>
          </w:p>
        </w:tc>
        <w:tc>
          <w:tcPr>
            <w:tcW w:w="0" w:type="auto"/>
            <w:shd w:val="clear" w:color="auto" w:fill="auto"/>
            <w:vAlign w:val="center"/>
          </w:tcPr>
          <w:p w14:paraId="3693DEB5" w14:textId="77777777" w:rsidR="003734EC" w:rsidRDefault="003734EC">
            <w:pPr>
              <w:rPr>
                <w:rFonts w:ascii="宋体"/>
                <w:vanish/>
              </w:rPr>
            </w:pPr>
          </w:p>
        </w:tc>
        <w:tc>
          <w:tcPr>
            <w:tcW w:w="0" w:type="auto"/>
            <w:shd w:val="clear" w:color="auto" w:fill="auto"/>
            <w:vAlign w:val="center"/>
          </w:tcPr>
          <w:p w14:paraId="3693DEB6" w14:textId="77777777" w:rsidR="003734EC" w:rsidRDefault="003734EC">
            <w:pPr>
              <w:rPr>
                <w:rFonts w:ascii="宋体"/>
                <w:vanish/>
              </w:rPr>
            </w:pPr>
          </w:p>
        </w:tc>
        <w:tc>
          <w:tcPr>
            <w:tcW w:w="0" w:type="auto"/>
            <w:shd w:val="clear" w:color="auto" w:fill="auto"/>
            <w:vAlign w:val="center"/>
          </w:tcPr>
          <w:p w14:paraId="3693DEB7" w14:textId="77777777" w:rsidR="003734EC" w:rsidRDefault="003734EC">
            <w:pPr>
              <w:rPr>
                <w:rFonts w:ascii="宋体"/>
                <w:vanish/>
              </w:rPr>
            </w:pPr>
          </w:p>
        </w:tc>
        <w:tc>
          <w:tcPr>
            <w:tcW w:w="0" w:type="auto"/>
            <w:shd w:val="clear" w:color="auto" w:fill="auto"/>
            <w:vAlign w:val="center"/>
          </w:tcPr>
          <w:p w14:paraId="3693DEB8" w14:textId="77777777" w:rsidR="003734EC" w:rsidRDefault="003734EC">
            <w:pPr>
              <w:rPr>
                <w:rFonts w:ascii="宋体"/>
              </w:rPr>
            </w:pPr>
          </w:p>
        </w:tc>
        <w:tc>
          <w:tcPr>
            <w:tcW w:w="0" w:type="auto"/>
            <w:shd w:val="clear" w:color="auto" w:fill="auto"/>
            <w:vAlign w:val="center"/>
          </w:tcPr>
          <w:p w14:paraId="3693DEB9" w14:textId="77777777" w:rsidR="003734EC" w:rsidRDefault="003734EC">
            <w:pPr>
              <w:rPr>
                <w:rFonts w:ascii="宋体"/>
              </w:rPr>
            </w:pPr>
          </w:p>
        </w:tc>
        <w:tc>
          <w:tcPr>
            <w:tcW w:w="0" w:type="auto"/>
            <w:shd w:val="clear" w:color="auto" w:fill="auto"/>
            <w:vAlign w:val="center"/>
          </w:tcPr>
          <w:p w14:paraId="3693DEBA" w14:textId="77777777" w:rsidR="003734EC" w:rsidRDefault="003734EC">
            <w:pPr>
              <w:rPr>
                <w:rFonts w:ascii="宋体"/>
              </w:rPr>
            </w:pPr>
          </w:p>
        </w:tc>
        <w:tc>
          <w:tcPr>
            <w:tcW w:w="0" w:type="auto"/>
            <w:shd w:val="clear" w:color="auto" w:fill="auto"/>
            <w:vAlign w:val="center"/>
          </w:tcPr>
          <w:p w14:paraId="3693DEBB" w14:textId="77777777" w:rsidR="003734EC" w:rsidRDefault="003734EC">
            <w:pPr>
              <w:rPr>
                <w:rFonts w:ascii="宋体"/>
              </w:rPr>
            </w:pPr>
          </w:p>
        </w:tc>
        <w:tc>
          <w:tcPr>
            <w:tcW w:w="0" w:type="auto"/>
            <w:shd w:val="clear" w:color="auto" w:fill="auto"/>
            <w:vAlign w:val="center"/>
          </w:tcPr>
          <w:p w14:paraId="3693DEBC" w14:textId="77777777" w:rsidR="003734EC" w:rsidRDefault="003734EC">
            <w:pPr>
              <w:rPr>
                <w:rFonts w:ascii="宋体"/>
              </w:rPr>
            </w:pPr>
          </w:p>
        </w:tc>
        <w:tc>
          <w:tcPr>
            <w:tcW w:w="0" w:type="auto"/>
            <w:shd w:val="clear" w:color="auto" w:fill="auto"/>
            <w:vAlign w:val="center"/>
          </w:tcPr>
          <w:p w14:paraId="3693DEBD" w14:textId="77777777" w:rsidR="003734EC" w:rsidRDefault="003734EC">
            <w:pPr>
              <w:rPr>
                <w:rFonts w:ascii="宋体"/>
              </w:rPr>
            </w:pPr>
          </w:p>
        </w:tc>
      </w:tr>
      <w:tr w:rsidR="003734EC" w14:paraId="3693DED0" w14:textId="77777777">
        <w:tc>
          <w:tcPr>
            <w:tcW w:w="0" w:type="auto"/>
            <w:gridSpan w:val="2"/>
            <w:shd w:val="clear" w:color="auto" w:fill="E2EFD9"/>
            <w:tcMar>
              <w:top w:w="40" w:type="dxa"/>
              <w:left w:w="20" w:type="dxa"/>
              <w:bottom w:w="40" w:type="dxa"/>
              <w:right w:w="0" w:type="dxa"/>
            </w:tcMar>
            <w:vAlign w:val="bottom"/>
          </w:tcPr>
          <w:p w14:paraId="3693DEBF" w14:textId="77777777" w:rsidR="003734EC" w:rsidRDefault="000E364E">
            <w:pPr>
              <w:textAlignment w:val="bottom"/>
            </w:pPr>
            <w:r>
              <w:rPr>
                <w:rFonts w:ascii="sans-serif" w:eastAsia="sans-serif" w:hAnsi="sans-serif" w:cs="sans-serif"/>
                <w:color w:val="000000"/>
                <w:sz w:val="20"/>
                <w:szCs w:val="20"/>
              </w:rPr>
              <w:t>Other comprehensive income (loss), net of tax</w:t>
            </w:r>
          </w:p>
        </w:tc>
        <w:tc>
          <w:tcPr>
            <w:tcW w:w="0" w:type="auto"/>
            <w:shd w:val="clear" w:color="auto" w:fill="E2EFD9"/>
            <w:tcMar>
              <w:top w:w="40" w:type="dxa"/>
              <w:bottom w:w="40" w:type="dxa"/>
              <w:right w:w="20" w:type="dxa"/>
            </w:tcMar>
            <w:vAlign w:val="bottom"/>
          </w:tcPr>
          <w:p w14:paraId="3693DEC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EC1" w14:textId="77777777" w:rsidR="003734EC" w:rsidRDefault="000E364E">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E2EFD9"/>
            <w:tcMar>
              <w:top w:w="40" w:type="dxa"/>
              <w:bottom w:w="40" w:type="dxa"/>
              <w:right w:w="20" w:type="dxa"/>
            </w:tcMar>
            <w:vAlign w:val="bottom"/>
          </w:tcPr>
          <w:p w14:paraId="3693DEC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EC3"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EC4" w14:textId="77777777" w:rsidR="003734EC" w:rsidRDefault="000E364E">
            <w:pPr>
              <w:jc w:val="right"/>
              <w:textAlignment w:val="bottom"/>
            </w:pPr>
            <w:r>
              <w:rPr>
                <w:rFonts w:ascii="sans-serif" w:eastAsia="sans-serif" w:hAnsi="sans-serif" w:cs="sans-serif"/>
                <w:color w:val="000000"/>
                <w:sz w:val="20"/>
                <w:szCs w:val="20"/>
              </w:rPr>
              <w:t>10 </w:t>
            </w:r>
          </w:p>
        </w:tc>
        <w:tc>
          <w:tcPr>
            <w:tcW w:w="0" w:type="auto"/>
            <w:tcBorders>
              <w:top w:val="single" w:sz="8" w:space="0" w:color="000000"/>
            </w:tcBorders>
            <w:shd w:val="clear" w:color="auto" w:fill="E2EFD9"/>
            <w:tcMar>
              <w:top w:w="40" w:type="dxa"/>
              <w:bottom w:w="40" w:type="dxa"/>
              <w:right w:w="20" w:type="dxa"/>
            </w:tcMar>
            <w:vAlign w:val="bottom"/>
          </w:tcPr>
          <w:p w14:paraId="3693DEC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C6" w14:textId="77777777" w:rsidR="003734EC" w:rsidRDefault="003734EC">
            <w:pPr>
              <w:rPr>
                <w:rFonts w:ascii="宋体"/>
                <w:vanish/>
              </w:rPr>
            </w:pPr>
          </w:p>
        </w:tc>
        <w:tc>
          <w:tcPr>
            <w:tcW w:w="0" w:type="auto"/>
            <w:shd w:val="clear" w:color="auto" w:fill="auto"/>
            <w:vAlign w:val="center"/>
          </w:tcPr>
          <w:p w14:paraId="3693DEC7" w14:textId="77777777" w:rsidR="003734EC" w:rsidRDefault="003734EC">
            <w:pPr>
              <w:rPr>
                <w:rFonts w:ascii="宋体"/>
                <w:vanish/>
              </w:rPr>
            </w:pPr>
          </w:p>
        </w:tc>
        <w:tc>
          <w:tcPr>
            <w:tcW w:w="0" w:type="auto"/>
            <w:shd w:val="clear" w:color="auto" w:fill="auto"/>
            <w:vAlign w:val="center"/>
          </w:tcPr>
          <w:p w14:paraId="3693DEC8" w14:textId="77777777" w:rsidR="003734EC" w:rsidRDefault="003734EC">
            <w:pPr>
              <w:rPr>
                <w:rFonts w:ascii="宋体"/>
                <w:vanish/>
              </w:rPr>
            </w:pPr>
          </w:p>
        </w:tc>
        <w:tc>
          <w:tcPr>
            <w:tcW w:w="0" w:type="auto"/>
            <w:shd w:val="clear" w:color="auto" w:fill="auto"/>
            <w:vAlign w:val="center"/>
          </w:tcPr>
          <w:p w14:paraId="3693DEC9" w14:textId="77777777" w:rsidR="003734EC" w:rsidRDefault="003734EC">
            <w:pPr>
              <w:rPr>
                <w:rFonts w:ascii="宋体"/>
                <w:vanish/>
              </w:rPr>
            </w:pPr>
          </w:p>
        </w:tc>
        <w:tc>
          <w:tcPr>
            <w:tcW w:w="0" w:type="auto"/>
            <w:shd w:val="clear" w:color="auto" w:fill="auto"/>
            <w:vAlign w:val="center"/>
          </w:tcPr>
          <w:p w14:paraId="3693DECA" w14:textId="77777777" w:rsidR="003734EC" w:rsidRDefault="003734EC">
            <w:pPr>
              <w:rPr>
                <w:rFonts w:ascii="宋体"/>
              </w:rPr>
            </w:pPr>
          </w:p>
        </w:tc>
        <w:tc>
          <w:tcPr>
            <w:tcW w:w="0" w:type="auto"/>
            <w:shd w:val="clear" w:color="auto" w:fill="auto"/>
            <w:vAlign w:val="center"/>
          </w:tcPr>
          <w:p w14:paraId="3693DECB" w14:textId="77777777" w:rsidR="003734EC" w:rsidRDefault="003734EC">
            <w:pPr>
              <w:rPr>
                <w:rFonts w:ascii="宋体"/>
              </w:rPr>
            </w:pPr>
          </w:p>
        </w:tc>
        <w:tc>
          <w:tcPr>
            <w:tcW w:w="0" w:type="auto"/>
            <w:shd w:val="clear" w:color="auto" w:fill="auto"/>
            <w:vAlign w:val="center"/>
          </w:tcPr>
          <w:p w14:paraId="3693DECC" w14:textId="77777777" w:rsidR="003734EC" w:rsidRDefault="003734EC">
            <w:pPr>
              <w:rPr>
                <w:rFonts w:ascii="宋体"/>
              </w:rPr>
            </w:pPr>
          </w:p>
        </w:tc>
        <w:tc>
          <w:tcPr>
            <w:tcW w:w="0" w:type="auto"/>
            <w:shd w:val="clear" w:color="auto" w:fill="auto"/>
            <w:vAlign w:val="center"/>
          </w:tcPr>
          <w:p w14:paraId="3693DECD" w14:textId="77777777" w:rsidR="003734EC" w:rsidRDefault="003734EC">
            <w:pPr>
              <w:rPr>
                <w:rFonts w:ascii="宋体"/>
              </w:rPr>
            </w:pPr>
          </w:p>
        </w:tc>
        <w:tc>
          <w:tcPr>
            <w:tcW w:w="0" w:type="auto"/>
            <w:shd w:val="clear" w:color="auto" w:fill="auto"/>
            <w:vAlign w:val="center"/>
          </w:tcPr>
          <w:p w14:paraId="3693DECE" w14:textId="77777777" w:rsidR="003734EC" w:rsidRDefault="003734EC">
            <w:pPr>
              <w:rPr>
                <w:rFonts w:ascii="宋体"/>
              </w:rPr>
            </w:pPr>
          </w:p>
        </w:tc>
        <w:tc>
          <w:tcPr>
            <w:tcW w:w="0" w:type="auto"/>
            <w:shd w:val="clear" w:color="auto" w:fill="auto"/>
            <w:vAlign w:val="center"/>
          </w:tcPr>
          <w:p w14:paraId="3693DECF" w14:textId="77777777" w:rsidR="003734EC" w:rsidRDefault="003734EC">
            <w:pPr>
              <w:rPr>
                <w:rFonts w:ascii="宋体"/>
              </w:rPr>
            </w:pPr>
          </w:p>
        </w:tc>
      </w:tr>
      <w:tr w:rsidR="003734EC" w14:paraId="3693DEE3" w14:textId="77777777">
        <w:tc>
          <w:tcPr>
            <w:tcW w:w="0" w:type="auto"/>
            <w:gridSpan w:val="3"/>
            <w:shd w:val="clear" w:color="auto" w:fill="FFFFFF"/>
            <w:tcMar>
              <w:top w:w="40" w:type="dxa"/>
              <w:left w:w="20" w:type="dxa"/>
              <w:bottom w:w="40" w:type="dxa"/>
              <w:right w:w="20" w:type="dxa"/>
            </w:tcMar>
            <w:vAlign w:val="bottom"/>
          </w:tcPr>
          <w:p w14:paraId="3693DED1" w14:textId="77777777" w:rsidR="003734EC" w:rsidRDefault="000E364E">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DED2"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DED3" w14:textId="77777777" w:rsidR="003734EC" w:rsidRDefault="000E364E">
            <w:pPr>
              <w:jc w:val="right"/>
              <w:textAlignment w:val="bottom"/>
            </w:pPr>
            <w:r>
              <w:rPr>
                <w:rFonts w:ascii="sans-serif" w:eastAsia="sans-serif" w:hAnsi="sans-serif" w:cs="sans-serif"/>
                <w:color w:val="000000"/>
                <w:sz w:val="20"/>
                <w:szCs w:val="20"/>
              </w:rPr>
              <w:t>906 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DED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ED5"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DED6"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DED7" w14:textId="77777777" w:rsidR="003734EC" w:rsidRDefault="000E364E">
            <w:pPr>
              <w:jc w:val="right"/>
              <w:textAlignment w:val="bottom"/>
            </w:pPr>
            <w:r>
              <w:rPr>
                <w:rFonts w:ascii="sans-serif" w:eastAsia="sans-serif" w:hAnsi="sans-serif" w:cs="sans-serif"/>
                <w:color w:val="000000"/>
                <w:sz w:val="20"/>
                <w:szCs w:val="20"/>
              </w:rPr>
              <w:t>404 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DED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DED9" w14:textId="77777777" w:rsidR="003734EC" w:rsidRDefault="003734EC">
            <w:pPr>
              <w:rPr>
                <w:rFonts w:ascii="宋体"/>
                <w:vanish/>
              </w:rPr>
            </w:pPr>
          </w:p>
        </w:tc>
        <w:tc>
          <w:tcPr>
            <w:tcW w:w="0" w:type="auto"/>
            <w:shd w:val="clear" w:color="auto" w:fill="auto"/>
            <w:vAlign w:val="center"/>
          </w:tcPr>
          <w:p w14:paraId="3693DEDA" w14:textId="77777777" w:rsidR="003734EC" w:rsidRDefault="003734EC">
            <w:pPr>
              <w:rPr>
                <w:rFonts w:ascii="宋体"/>
                <w:vanish/>
              </w:rPr>
            </w:pPr>
          </w:p>
        </w:tc>
        <w:tc>
          <w:tcPr>
            <w:tcW w:w="0" w:type="auto"/>
            <w:shd w:val="clear" w:color="auto" w:fill="auto"/>
            <w:vAlign w:val="center"/>
          </w:tcPr>
          <w:p w14:paraId="3693DEDB" w14:textId="77777777" w:rsidR="003734EC" w:rsidRDefault="003734EC">
            <w:pPr>
              <w:rPr>
                <w:rFonts w:ascii="宋体"/>
                <w:vanish/>
              </w:rPr>
            </w:pPr>
          </w:p>
        </w:tc>
        <w:tc>
          <w:tcPr>
            <w:tcW w:w="0" w:type="auto"/>
            <w:shd w:val="clear" w:color="auto" w:fill="auto"/>
            <w:vAlign w:val="center"/>
          </w:tcPr>
          <w:p w14:paraId="3693DEDC" w14:textId="77777777" w:rsidR="003734EC" w:rsidRDefault="003734EC">
            <w:pPr>
              <w:rPr>
                <w:rFonts w:ascii="宋体"/>
                <w:vanish/>
              </w:rPr>
            </w:pPr>
          </w:p>
        </w:tc>
        <w:tc>
          <w:tcPr>
            <w:tcW w:w="0" w:type="auto"/>
            <w:shd w:val="clear" w:color="auto" w:fill="auto"/>
            <w:vAlign w:val="center"/>
          </w:tcPr>
          <w:p w14:paraId="3693DEDD" w14:textId="77777777" w:rsidR="003734EC" w:rsidRDefault="003734EC">
            <w:pPr>
              <w:rPr>
                <w:rFonts w:ascii="宋体"/>
              </w:rPr>
            </w:pPr>
          </w:p>
        </w:tc>
        <w:tc>
          <w:tcPr>
            <w:tcW w:w="0" w:type="auto"/>
            <w:shd w:val="clear" w:color="auto" w:fill="auto"/>
            <w:vAlign w:val="center"/>
          </w:tcPr>
          <w:p w14:paraId="3693DEDE" w14:textId="77777777" w:rsidR="003734EC" w:rsidRDefault="003734EC">
            <w:pPr>
              <w:rPr>
                <w:rFonts w:ascii="宋体"/>
              </w:rPr>
            </w:pPr>
          </w:p>
        </w:tc>
        <w:tc>
          <w:tcPr>
            <w:tcW w:w="0" w:type="auto"/>
            <w:shd w:val="clear" w:color="auto" w:fill="auto"/>
            <w:vAlign w:val="center"/>
          </w:tcPr>
          <w:p w14:paraId="3693DEDF" w14:textId="77777777" w:rsidR="003734EC" w:rsidRDefault="003734EC">
            <w:pPr>
              <w:rPr>
                <w:rFonts w:ascii="宋体"/>
              </w:rPr>
            </w:pPr>
          </w:p>
        </w:tc>
        <w:tc>
          <w:tcPr>
            <w:tcW w:w="0" w:type="auto"/>
            <w:shd w:val="clear" w:color="auto" w:fill="auto"/>
            <w:vAlign w:val="center"/>
          </w:tcPr>
          <w:p w14:paraId="3693DEE0" w14:textId="77777777" w:rsidR="003734EC" w:rsidRDefault="003734EC">
            <w:pPr>
              <w:rPr>
                <w:rFonts w:ascii="宋体"/>
              </w:rPr>
            </w:pPr>
          </w:p>
        </w:tc>
        <w:tc>
          <w:tcPr>
            <w:tcW w:w="0" w:type="auto"/>
            <w:shd w:val="clear" w:color="auto" w:fill="auto"/>
            <w:vAlign w:val="center"/>
          </w:tcPr>
          <w:p w14:paraId="3693DEE1" w14:textId="77777777" w:rsidR="003734EC" w:rsidRDefault="003734EC">
            <w:pPr>
              <w:rPr>
                <w:rFonts w:ascii="宋体"/>
              </w:rPr>
            </w:pPr>
          </w:p>
        </w:tc>
        <w:tc>
          <w:tcPr>
            <w:tcW w:w="0" w:type="auto"/>
            <w:shd w:val="clear" w:color="auto" w:fill="auto"/>
            <w:vAlign w:val="center"/>
          </w:tcPr>
          <w:p w14:paraId="3693DEE2" w14:textId="77777777" w:rsidR="003734EC" w:rsidRDefault="003734EC">
            <w:pPr>
              <w:rPr>
                <w:rFonts w:ascii="宋体"/>
              </w:rPr>
            </w:pPr>
          </w:p>
        </w:tc>
      </w:tr>
    </w:tbl>
    <w:p w14:paraId="3693DEE4" w14:textId="77777777" w:rsidR="003734EC" w:rsidRDefault="000E364E">
      <w:pPr>
        <w:spacing w:after="180"/>
        <w:jc w:val="center"/>
      </w:pPr>
      <w:r>
        <w:rPr>
          <w:rFonts w:ascii="sans-serif" w:eastAsia="sans-serif" w:hAnsi="sans-serif" w:cs="sans-serif"/>
          <w:color w:val="000000"/>
          <w:sz w:val="20"/>
          <w:szCs w:val="20"/>
        </w:rPr>
        <w:t>See</w:t>
      </w:r>
      <w:r>
        <w:rPr>
          <w:rFonts w:ascii="sans-serif" w:eastAsia="sans-serif" w:hAnsi="sans-serif" w:cs="sans-serif"/>
          <w:color w:val="000000"/>
          <w:sz w:val="20"/>
          <w:szCs w:val="20"/>
        </w:rPr>
        <w:t xml:space="preserve"> accompanying Notes to Condensed Consolidated Financial Statements.</w:t>
      </w:r>
    </w:p>
    <w:p w14:paraId="3693DEE5" w14:textId="77777777" w:rsidR="003734EC" w:rsidRDefault="003734EC">
      <w:pPr>
        <w:spacing w:after="180"/>
        <w:jc w:val="both"/>
      </w:pPr>
    </w:p>
    <w:p w14:paraId="3693DEE6" w14:textId="77777777" w:rsidR="003734EC" w:rsidRDefault="000E364E">
      <w:pPr>
        <w:spacing w:after="180"/>
        <w:jc w:val="center"/>
      </w:pPr>
      <w:r>
        <w:rPr>
          <w:rFonts w:ascii="sans-serif" w:eastAsia="sans-serif" w:hAnsi="sans-serif" w:cs="sans-serif"/>
          <w:color w:val="000000"/>
          <w:sz w:val="20"/>
          <w:szCs w:val="20"/>
        </w:rPr>
        <w:t>4</w:t>
      </w:r>
    </w:p>
    <w:p w14:paraId="3693DEE7" w14:textId="77777777" w:rsidR="003734EC" w:rsidRDefault="000E364E">
      <w:r>
        <w:pict w14:anchorId="3693FF4E">
          <v:rect id="_x0000_i1028" style="width:415.3pt;height:1.5pt" o:hralign="center" o:hrstd="t" o:hr="t" fillcolor="#a0a0a0" stroked="f"/>
        </w:pict>
      </w:r>
    </w:p>
    <w:p w14:paraId="3693DEE8" w14:textId="77777777" w:rsidR="003734EC" w:rsidRDefault="003734EC">
      <w:pPr>
        <w:spacing w:after="180"/>
        <w:jc w:val="both"/>
      </w:pPr>
    </w:p>
    <w:p w14:paraId="3693DEE9" w14:textId="77777777" w:rsidR="003734EC" w:rsidRDefault="000E364E">
      <w:pPr>
        <w:jc w:val="center"/>
      </w:pPr>
      <w:r>
        <w:rPr>
          <w:rFonts w:ascii="sans-serif" w:eastAsia="sans-serif" w:hAnsi="sans-serif" w:cs="sans-serif"/>
          <w:b/>
          <w:bCs/>
          <w:color w:val="000000"/>
          <w:sz w:val="20"/>
          <w:szCs w:val="20"/>
        </w:rPr>
        <w:t>NVIDIA CORPORATION AND SUBSIDIARIES </w:t>
      </w:r>
    </w:p>
    <w:p w14:paraId="3693DEEA" w14:textId="77777777" w:rsidR="003734EC" w:rsidRDefault="000E364E">
      <w:pPr>
        <w:jc w:val="center"/>
      </w:pPr>
      <w:r>
        <w:rPr>
          <w:rFonts w:ascii="sans-serif" w:eastAsia="sans-serif" w:hAnsi="sans-serif" w:cs="sans-serif"/>
          <w:b/>
          <w:bCs/>
          <w:color w:val="000000"/>
          <w:sz w:val="20"/>
          <w:szCs w:val="20"/>
        </w:rPr>
        <w:t>CONDENSED CONSOLIDATED BALANCE SHEETS</w:t>
      </w:r>
    </w:p>
    <w:p w14:paraId="3693DEEB" w14:textId="77777777" w:rsidR="003734EC" w:rsidRDefault="000E364E">
      <w:pPr>
        <w:jc w:val="center"/>
      </w:pPr>
      <w:r>
        <w:rPr>
          <w:rFonts w:ascii="sans-serif" w:eastAsia="sans-serif" w:hAnsi="sans-serif" w:cs="sans-serif"/>
          <w:b/>
          <w:bCs/>
          <w:color w:val="000000"/>
          <w:sz w:val="20"/>
          <w:szCs w:val="20"/>
        </w:rPr>
        <w:t>(In millions)</w:t>
      </w:r>
    </w:p>
    <w:p w14:paraId="3693DEEC" w14:textId="77777777" w:rsidR="003734EC" w:rsidRDefault="000E364E">
      <w:pPr>
        <w:jc w:val="center"/>
      </w:pPr>
      <w:r>
        <w:rPr>
          <w:rFonts w:ascii="sans-serif" w:eastAsia="sans-serif" w:hAnsi="sans-serif" w:cs="sans-serif"/>
          <w:b/>
          <w:bCs/>
          <w:color w:val="000000"/>
          <w:sz w:val="20"/>
          <w:szCs w:val="20"/>
        </w:rPr>
        <w:t>(Unaudited)</w:t>
      </w:r>
    </w:p>
    <w:tbl>
      <w:tblPr>
        <w:tblW w:w="4978" w:type="pct"/>
        <w:tblCellMar>
          <w:top w:w="15" w:type="dxa"/>
          <w:left w:w="15" w:type="dxa"/>
          <w:bottom w:w="15" w:type="dxa"/>
          <w:right w:w="15" w:type="dxa"/>
        </w:tblCellMar>
        <w:tblLook w:val="04A0" w:firstRow="1" w:lastRow="0" w:firstColumn="1" w:lastColumn="0" w:noHBand="0" w:noVBand="1"/>
      </w:tblPr>
      <w:tblGrid>
        <w:gridCol w:w="58"/>
        <w:gridCol w:w="5952"/>
        <w:gridCol w:w="59"/>
        <w:gridCol w:w="137"/>
        <w:gridCol w:w="870"/>
        <w:gridCol w:w="81"/>
        <w:gridCol w:w="36"/>
        <w:gridCol w:w="36"/>
        <w:gridCol w:w="36"/>
        <w:gridCol w:w="137"/>
        <w:gridCol w:w="816"/>
        <w:gridCol w:w="81"/>
      </w:tblGrid>
      <w:tr w:rsidR="003734EC" w14:paraId="3693DEF9" w14:textId="77777777">
        <w:tc>
          <w:tcPr>
            <w:tcW w:w="50" w:type="pct"/>
            <w:shd w:val="clear" w:color="auto" w:fill="auto"/>
            <w:vAlign w:val="center"/>
          </w:tcPr>
          <w:p w14:paraId="3693DEED" w14:textId="77777777" w:rsidR="003734EC" w:rsidRDefault="003734EC">
            <w:pPr>
              <w:rPr>
                <w:rFonts w:ascii="宋体"/>
              </w:rPr>
            </w:pPr>
          </w:p>
        </w:tc>
        <w:tc>
          <w:tcPr>
            <w:tcW w:w="3600" w:type="pct"/>
            <w:shd w:val="clear" w:color="auto" w:fill="auto"/>
            <w:vAlign w:val="center"/>
          </w:tcPr>
          <w:p w14:paraId="3693DEEE" w14:textId="77777777" w:rsidR="003734EC" w:rsidRDefault="003734EC">
            <w:pPr>
              <w:rPr>
                <w:rFonts w:ascii="宋体"/>
              </w:rPr>
            </w:pPr>
          </w:p>
        </w:tc>
        <w:tc>
          <w:tcPr>
            <w:tcW w:w="50" w:type="pct"/>
            <w:shd w:val="clear" w:color="auto" w:fill="auto"/>
            <w:vAlign w:val="center"/>
          </w:tcPr>
          <w:p w14:paraId="3693DEEF" w14:textId="77777777" w:rsidR="003734EC" w:rsidRDefault="003734EC">
            <w:pPr>
              <w:rPr>
                <w:rFonts w:ascii="宋体"/>
              </w:rPr>
            </w:pPr>
          </w:p>
        </w:tc>
        <w:tc>
          <w:tcPr>
            <w:tcW w:w="50" w:type="pct"/>
            <w:shd w:val="clear" w:color="auto" w:fill="auto"/>
            <w:vAlign w:val="center"/>
          </w:tcPr>
          <w:p w14:paraId="3693DEF0" w14:textId="77777777" w:rsidR="003734EC" w:rsidRDefault="003734EC">
            <w:pPr>
              <w:rPr>
                <w:rFonts w:ascii="宋体"/>
              </w:rPr>
            </w:pPr>
          </w:p>
        </w:tc>
        <w:tc>
          <w:tcPr>
            <w:tcW w:w="538" w:type="pct"/>
            <w:shd w:val="clear" w:color="auto" w:fill="auto"/>
            <w:vAlign w:val="center"/>
          </w:tcPr>
          <w:p w14:paraId="3693DEF1" w14:textId="77777777" w:rsidR="003734EC" w:rsidRDefault="003734EC">
            <w:pPr>
              <w:rPr>
                <w:rFonts w:ascii="宋体"/>
              </w:rPr>
            </w:pPr>
          </w:p>
        </w:tc>
        <w:tc>
          <w:tcPr>
            <w:tcW w:w="50" w:type="pct"/>
            <w:shd w:val="clear" w:color="auto" w:fill="auto"/>
            <w:vAlign w:val="center"/>
          </w:tcPr>
          <w:p w14:paraId="3693DEF2" w14:textId="77777777" w:rsidR="003734EC" w:rsidRDefault="003734EC">
            <w:pPr>
              <w:rPr>
                <w:rFonts w:ascii="宋体"/>
              </w:rPr>
            </w:pPr>
          </w:p>
        </w:tc>
        <w:tc>
          <w:tcPr>
            <w:tcW w:w="5" w:type="pct"/>
            <w:shd w:val="clear" w:color="auto" w:fill="auto"/>
            <w:vAlign w:val="center"/>
          </w:tcPr>
          <w:p w14:paraId="3693DEF3" w14:textId="77777777" w:rsidR="003734EC" w:rsidRDefault="003734EC">
            <w:pPr>
              <w:rPr>
                <w:rFonts w:ascii="宋体"/>
              </w:rPr>
            </w:pPr>
          </w:p>
        </w:tc>
        <w:tc>
          <w:tcPr>
            <w:tcW w:w="26" w:type="pct"/>
            <w:shd w:val="clear" w:color="auto" w:fill="auto"/>
            <w:vAlign w:val="center"/>
          </w:tcPr>
          <w:p w14:paraId="3693DEF4" w14:textId="77777777" w:rsidR="003734EC" w:rsidRDefault="003734EC">
            <w:pPr>
              <w:rPr>
                <w:rFonts w:ascii="宋体"/>
              </w:rPr>
            </w:pPr>
          </w:p>
        </w:tc>
        <w:tc>
          <w:tcPr>
            <w:tcW w:w="5" w:type="pct"/>
            <w:shd w:val="clear" w:color="auto" w:fill="auto"/>
            <w:vAlign w:val="center"/>
          </w:tcPr>
          <w:p w14:paraId="3693DEF5" w14:textId="77777777" w:rsidR="003734EC" w:rsidRDefault="003734EC">
            <w:pPr>
              <w:rPr>
                <w:rFonts w:ascii="宋体"/>
              </w:rPr>
            </w:pPr>
          </w:p>
        </w:tc>
        <w:tc>
          <w:tcPr>
            <w:tcW w:w="50" w:type="pct"/>
            <w:shd w:val="clear" w:color="auto" w:fill="auto"/>
            <w:vAlign w:val="center"/>
          </w:tcPr>
          <w:p w14:paraId="3693DEF6" w14:textId="77777777" w:rsidR="003734EC" w:rsidRDefault="003734EC">
            <w:pPr>
              <w:rPr>
                <w:rFonts w:ascii="宋体"/>
              </w:rPr>
            </w:pPr>
          </w:p>
        </w:tc>
        <w:tc>
          <w:tcPr>
            <w:tcW w:w="524" w:type="pct"/>
            <w:shd w:val="clear" w:color="auto" w:fill="auto"/>
            <w:vAlign w:val="center"/>
          </w:tcPr>
          <w:p w14:paraId="3693DEF7" w14:textId="77777777" w:rsidR="003734EC" w:rsidRDefault="003734EC">
            <w:pPr>
              <w:rPr>
                <w:rFonts w:ascii="宋体"/>
              </w:rPr>
            </w:pPr>
          </w:p>
        </w:tc>
        <w:tc>
          <w:tcPr>
            <w:tcW w:w="50" w:type="pct"/>
            <w:shd w:val="clear" w:color="auto" w:fill="auto"/>
            <w:vAlign w:val="center"/>
          </w:tcPr>
          <w:p w14:paraId="3693DEF8" w14:textId="77777777" w:rsidR="003734EC" w:rsidRDefault="003734EC">
            <w:pPr>
              <w:rPr>
                <w:rFonts w:ascii="宋体"/>
              </w:rPr>
            </w:pPr>
          </w:p>
        </w:tc>
      </w:tr>
      <w:tr w:rsidR="003734EC" w14:paraId="3693DEFE" w14:textId="77777777">
        <w:tc>
          <w:tcPr>
            <w:tcW w:w="0" w:type="auto"/>
            <w:gridSpan w:val="3"/>
            <w:shd w:val="clear" w:color="auto" w:fill="auto"/>
            <w:tcMar>
              <w:left w:w="20" w:type="dxa"/>
              <w:right w:w="20" w:type="dxa"/>
            </w:tcMar>
            <w:vAlign w:val="bottom"/>
          </w:tcPr>
          <w:p w14:paraId="3693DEF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EFB"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left w:w="20" w:type="dxa"/>
              <w:right w:w="20" w:type="dxa"/>
            </w:tcMar>
            <w:vAlign w:val="bottom"/>
          </w:tcPr>
          <w:p w14:paraId="3693DEF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EFD" w14:textId="77777777" w:rsidR="003734EC" w:rsidRDefault="000E364E">
            <w:pPr>
              <w:jc w:val="center"/>
              <w:textAlignment w:val="bottom"/>
            </w:pPr>
            <w:r>
              <w:rPr>
                <w:rFonts w:ascii="sans-serif" w:eastAsia="sans-serif" w:hAnsi="sans-serif" w:cs="sans-serif"/>
                <w:b/>
                <w:bCs/>
                <w:color w:val="000000"/>
                <w:sz w:val="20"/>
                <w:szCs w:val="20"/>
              </w:rPr>
              <w:t>January 26,</w:t>
            </w:r>
          </w:p>
        </w:tc>
      </w:tr>
      <w:tr w:rsidR="003734EC" w14:paraId="3693DF03" w14:textId="77777777">
        <w:tc>
          <w:tcPr>
            <w:tcW w:w="0" w:type="auto"/>
            <w:gridSpan w:val="3"/>
            <w:shd w:val="clear" w:color="auto" w:fill="auto"/>
            <w:tcMar>
              <w:top w:w="40" w:type="dxa"/>
              <w:left w:w="20" w:type="dxa"/>
              <w:bottom w:w="40" w:type="dxa"/>
              <w:right w:w="20" w:type="dxa"/>
            </w:tcMar>
            <w:vAlign w:val="bottom"/>
          </w:tcPr>
          <w:p w14:paraId="3693DEFF"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DF00"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DF01"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DF02" w14:textId="77777777" w:rsidR="003734EC" w:rsidRDefault="000E364E">
            <w:pPr>
              <w:jc w:val="center"/>
              <w:textAlignment w:val="bottom"/>
            </w:pPr>
            <w:r>
              <w:rPr>
                <w:rFonts w:ascii="sans-serif" w:eastAsia="sans-serif" w:hAnsi="sans-serif" w:cs="sans-serif"/>
                <w:b/>
                <w:bCs/>
                <w:color w:val="000000"/>
                <w:sz w:val="20"/>
                <w:szCs w:val="20"/>
              </w:rPr>
              <w:t>2020</w:t>
            </w:r>
          </w:p>
        </w:tc>
      </w:tr>
      <w:tr w:rsidR="003734EC" w14:paraId="3693DF08" w14:textId="77777777">
        <w:tc>
          <w:tcPr>
            <w:tcW w:w="0" w:type="auto"/>
            <w:gridSpan w:val="3"/>
            <w:shd w:val="clear" w:color="auto" w:fill="E2EFD9"/>
            <w:tcMar>
              <w:top w:w="40" w:type="dxa"/>
              <w:left w:w="20" w:type="dxa"/>
              <w:bottom w:w="40" w:type="dxa"/>
              <w:right w:w="20" w:type="dxa"/>
            </w:tcMar>
            <w:vAlign w:val="bottom"/>
          </w:tcPr>
          <w:p w14:paraId="3693DF04" w14:textId="77777777" w:rsidR="003734EC" w:rsidRDefault="000E364E">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left w:w="20" w:type="dxa"/>
              <w:right w:w="20" w:type="dxa"/>
            </w:tcMar>
            <w:vAlign w:val="bottom"/>
          </w:tcPr>
          <w:p w14:paraId="3693DF05"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DF06" w14:textId="77777777" w:rsidR="003734EC" w:rsidRDefault="003734EC">
            <w:pPr>
              <w:rPr>
                <w:rFonts w:ascii="宋体"/>
              </w:rPr>
            </w:pPr>
          </w:p>
        </w:tc>
        <w:tc>
          <w:tcPr>
            <w:tcW w:w="0" w:type="auto"/>
            <w:gridSpan w:val="3"/>
            <w:tcBorders>
              <w:top w:val="single" w:sz="8" w:space="0" w:color="000000"/>
            </w:tcBorders>
            <w:shd w:val="clear" w:color="auto" w:fill="E2EFD9"/>
            <w:tcMar>
              <w:left w:w="20" w:type="dxa"/>
              <w:right w:w="20" w:type="dxa"/>
            </w:tcMar>
            <w:vAlign w:val="bottom"/>
          </w:tcPr>
          <w:p w14:paraId="3693DF07" w14:textId="77777777" w:rsidR="003734EC" w:rsidRDefault="003734EC">
            <w:pPr>
              <w:rPr>
                <w:rFonts w:ascii="宋体"/>
              </w:rPr>
            </w:pPr>
          </w:p>
        </w:tc>
      </w:tr>
      <w:tr w:rsidR="003734EC" w14:paraId="3693DF0E" w14:textId="77777777">
        <w:tc>
          <w:tcPr>
            <w:tcW w:w="0" w:type="auto"/>
            <w:gridSpan w:val="3"/>
            <w:shd w:val="clear" w:color="auto" w:fill="FFFFFF"/>
            <w:tcMar>
              <w:top w:w="40" w:type="dxa"/>
              <w:left w:w="20" w:type="dxa"/>
              <w:bottom w:w="40" w:type="dxa"/>
              <w:right w:w="20" w:type="dxa"/>
            </w:tcMar>
            <w:vAlign w:val="bottom"/>
          </w:tcPr>
          <w:p w14:paraId="3693DF09" w14:textId="77777777" w:rsidR="003734EC" w:rsidRDefault="000E364E">
            <w:pPr>
              <w:textAlignment w:val="bottom"/>
            </w:pPr>
            <w:r>
              <w:rPr>
                <w:rFonts w:ascii="sans-serif" w:eastAsia="sans-serif" w:hAnsi="sans-serif" w:cs="sans-serif"/>
                <w:color w:val="000000"/>
                <w:sz w:val="20"/>
                <w:szCs w:val="20"/>
              </w:rPr>
              <w:t xml:space="preserve">Current </w:t>
            </w:r>
            <w:r>
              <w:rPr>
                <w:rFonts w:ascii="sans-serif" w:eastAsia="sans-serif" w:hAnsi="sans-serif" w:cs="sans-serif"/>
                <w:color w:val="000000"/>
                <w:sz w:val="20"/>
                <w:szCs w:val="20"/>
              </w:rPr>
              <w:t>assets:</w:t>
            </w:r>
          </w:p>
        </w:tc>
        <w:tc>
          <w:tcPr>
            <w:tcW w:w="0" w:type="auto"/>
            <w:gridSpan w:val="2"/>
            <w:shd w:val="clear" w:color="auto" w:fill="FFFFFF"/>
            <w:tcMar>
              <w:top w:w="40" w:type="dxa"/>
              <w:left w:w="20" w:type="dxa"/>
              <w:bottom w:w="40" w:type="dxa"/>
              <w:right w:w="0" w:type="dxa"/>
            </w:tcMar>
            <w:vAlign w:val="bottom"/>
          </w:tcPr>
          <w:p w14:paraId="3693DF0A"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F0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0C"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DF0D" w14:textId="77777777" w:rsidR="003734EC" w:rsidRDefault="000E364E">
            <w:pPr>
              <w:textAlignment w:val="bottom"/>
            </w:pPr>
            <w:r>
              <w:rPr>
                <w:rFonts w:ascii="sans-serif" w:eastAsia="sans-serif" w:hAnsi="sans-serif" w:cs="sans-serif"/>
                <w:color w:val="000000"/>
                <w:sz w:val="20"/>
                <w:szCs w:val="20"/>
              </w:rPr>
              <w:t> </w:t>
            </w:r>
          </w:p>
        </w:tc>
      </w:tr>
      <w:tr w:rsidR="003734EC" w14:paraId="3693DF17" w14:textId="77777777">
        <w:tc>
          <w:tcPr>
            <w:tcW w:w="0" w:type="auto"/>
            <w:gridSpan w:val="3"/>
            <w:shd w:val="clear" w:color="auto" w:fill="E2EFD9"/>
            <w:tcMar>
              <w:top w:w="40" w:type="dxa"/>
              <w:left w:w="225" w:type="dxa"/>
              <w:bottom w:w="40" w:type="dxa"/>
              <w:right w:w="20" w:type="dxa"/>
            </w:tcMar>
            <w:vAlign w:val="bottom"/>
          </w:tcPr>
          <w:p w14:paraId="3693DF0F" w14:textId="77777777" w:rsidR="003734EC" w:rsidRDefault="000E364E">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tcMar>
            <w:vAlign w:val="bottom"/>
          </w:tcPr>
          <w:p w14:paraId="3693DF10"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F11" w14:textId="77777777" w:rsidR="003734EC" w:rsidRDefault="000E364E">
            <w:pPr>
              <w:jc w:val="right"/>
              <w:textAlignment w:val="bottom"/>
            </w:pPr>
            <w:r>
              <w:rPr>
                <w:rFonts w:ascii="sans-serif" w:eastAsia="sans-serif" w:hAnsi="sans-serif" w:cs="sans-serif"/>
                <w:color w:val="000000"/>
                <w:sz w:val="20"/>
                <w:szCs w:val="20"/>
              </w:rPr>
              <w:t>15,494 </w:t>
            </w:r>
          </w:p>
        </w:tc>
        <w:tc>
          <w:tcPr>
            <w:tcW w:w="0" w:type="auto"/>
            <w:shd w:val="clear" w:color="auto" w:fill="E2EFD9"/>
            <w:tcMar>
              <w:top w:w="40" w:type="dxa"/>
              <w:bottom w:w="40" w:type="dxa"/>
              <w:right w:w="20" w:type="dxa"/>
            </w:tcMar>
            <w:vAlign w:val="bottom"/>
          </w:tcPr>
          <w:p w14:paraId="3693DF1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13"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DF1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F15" w14:textId="77777777" w:rsidR="003734EC" w:rsidRDefault="000E364E">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bottom w:w="40" w:type="dxa"/>
              <w:right w:w="20" w:type="dxa"/>
            </w:tcMar>
            <w:vAlign w:val="bottom"/>
          </w:tcPr>
          <w:p w14:paraId="3693DF16"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1E" w14:textId="77777777">
        <w:tc>
          <w:tcPr>
            <w:tcW w:w="0" w:type="auto"/>
            <w:gridSpan w:val="3"/>
            <w:shd w:val="clear" w:color="auto" w:fill="FFFFFF"/>
            <w:tcMar>
              <w:top w:w="40" w:type="dxa"/>
              <w:left w:w="225" w:type="dxa"/>
              <w:bottom w:w="40" w:type="dxa"/>
              <w:right w:w="20" w:type="dxa"/>
            </w:tcMar>
            <w:vAlign w:val="bottom"/>
          </w:tcPr>
          <w:p w14:paraId="3693DF18" w14:textId="77777777" w:rsidR="003734EC" w:rsidRDefault="000E364E">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3693DF19" w14:textId="77777777" w:rsidR="003734EC" w:rsidRDefault="000E364E">
            <w:pPr>
              <w:jc w:val="right"/>
              <w:textAlignment w:val="bottom"/>
            </w:pPr>
            <w:r>
              <w:rPr>
                <w:rFonts w:ascii="sans-serif" w:eastAsia="sans-serif" w:hAnsi="sans-serif" w:cs="sans-serif"/>
                <w:color w:val="000000"/>
                <w:sz w:val="20"/>
                <w:szCs w:val="20"/>
              </w:rPr>
              <w:t>860 </w:t>
            </w:r>
          </w:p>
        </w:tc>
        <w:tc>
          <w:tcPr>
            <w:tcW w:w="0" w:type="auto"/>
            <w:shd w:val="clear" w:color="auto" w:fill="FFFFFF"/>
            <w:tcMar>
              <w:top w:w="40" w:type="dxa"/>
              <w:bottom w:w="40" w:type="dxa"/>
              <w:right w:w="20" w:type="dxa"/>
            </w:tcMar>
            <w:vAlign w:val="bottom"/>
          </w:tcPr>
          <w:p w14:paraId="3693DF1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1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1C"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3693DF1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25" w14:textId="77777777">
        <w:tc>
          <w:tcPr>
            <w:tcW w:w="0" w:type="auto"/>
            <w:gridSpan w:val="3"/>
            <w:shd w:val="clear" w:color="auto" w:fill="E2EFD9"/>
            <w:tcMar>
              <w:top w:w="40" w:type="dxa"/>
              <w:left w:w="225" w:type="dxa"/>
              <w:bottom w:w="40" w:type="dxa"/>
              <w:right w:w="20" w:type="dxa"/>
            </w:tcMar>
            <w:vAlign w:val="bottom"/>
          </w:tcPr>
          <w:p w14:paraId="3693DF1F" w14:textId="77777777" w:rsidR="003734EC" w:rsidRDefault="000E364E">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3693DF20" w14:textId="77777777" w:rsidR="003734EC" w:rsidRDefault="000E364E">
            <w:pPr>
              <w:jc w:val="right"/>
              <w:textAlignment w:val="bottom"/>
            </w:pPr>
            <w:r>
              <w:rPr>
                <w:rFonts w:ascii="sans-serif" w:eastAsia="sans-serif" w:hAnsi="sans-serif" w:cs="sans-serif"/>
                <w:color w:val="000000"/>
                <w:sz w:val="20"/>
                <w:szCs w:val="20"/>
              </w:rPr>
              <w:t>1,907 </w:t>
            </w:r>
          </w:p>
        </w:tc>
        <w:tc>
          <w:tcPr>
            <w:tcW w:w="0" w:type="auto"/>
            <w:shd w:val="clear" w:color="auto" w:fill="E2EFD9"/>
            <w:tcMar>
              <w:top w:w="40" w:type="dxa"/>
              <w:bottom w:w="40" w:type="dxa"/>
              <w:right w:w="20" w:type="dxa"/>
            </w:tcMar>
            <w:vAlign w:val="bottom"/>
          </w:tcPr>
          <w:p w14:paraId="3693DF2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22"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23" w14:textId="77777777" w:rsidR="003734EC" w:rsidRDefault="000E364E">
            <w:pPr>
              <w:jc w:val="right"/>
              <w:textAlignment w:val="bottom"/>
            </w:pPr>
            <w:r>
              <w:rPr>
                <w:rFonts w:ascii="sans-serif" w:eastAsia="sans-serif" w:hAnsi="sans-serif" w:cs="sans-serif"/>
                <w:color w:val="000000"/>
                <w:sz w:val="20"/>
                <w:szCs w:val="20"/>
              </w:rPr>
              <w:t>1,657 </w:t>
            </w:r>
          </w:p>
        </w:tc>
        <w:tc>
          <w:tcPr>
            <w:tcW w:w="0" w:type="auto"/>
            <w:shd w:val="clear" w:color="auto" w:fill="E2EFD9"/>
            <w:tcMar>
              <w:top w:w="40" w:type="dxa"/>
              <w:bottom w:w="40" w:type="dxa"/>
              <w:right w:w="20" w:type="dxa"/>
            </w:tcMar>
            <w:vAlign w:val="bottom"/>
          </w:tcPr>
          <w:p w14:paraId="3693DF24"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2C" w14:textId="77777777">
        <w:tc>
          <w:tcPr>
            <w:tcW w:w="0" w:type="auto"/>
            <w:gridSpan w:val="3"/>
            <w:shd w:val="clear" w:color="auto" w:fill="FFFFFF"/>
            <w:tcMar>
              <w:top w:w="40" w:type="dxa"/>
              <w:left w:w="225" w:type="dxa"/>
              <w:bottom w:w="40" w:type="dxa"/>
              <w:right w:w="20" w:type="dxa"/>
            </w:tcMar>
            <w:vAlign w:val="bottom"/>
          </w:tcPr>
          <w:p w14:paraId="3693DF26" w14:textId="77777777" w:rsidR="003734EC" w:rsidRDefault="000E364E">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693DF27" w14:textId="77777777" w:rsidR="003734EC" w:rsidRDefault="000E364E">
            <w:pPr>
              <w:jc w:val="right"/>
              <w:textAlignment w:val="bottom"/>
            </w:pPr>
            <w:r>
              <w:rPr>
                <w:rFonts w:ascii="sans-serif" w:eastAsia="sans-serif" w:hAnsi="sans-serif" w:cs="sans-serif"/>
                <w:color w:val="000000"/>
                <w:sz w:val="20"/>
                <w:szCs w:val="20"/>
              </w:rPr>
              <w:t>1,128 </w:t>
            </w:r>
          </w:p>
        </w:tc>
        <w:tc>
          <w:tcPr>
            <w:tcW w:w="0" w:type="auto"/>
            <w:shd w:val="clear" w:color="auto" w:fill="FFFFFF"/>
            <w:tcMar>
              <w:top w:w="40" w:type="dxa"/>
              <w:bottom w:w="40" w:type="dxa"/>
              <w:right w:w="20" w:type="dxa"/>
            </w:tcMar>
            <w:vAlign w:val="bottom"/>
          </w:tcPr>
          <w:p w14:paraId="3693DF2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2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2A" w14:textId="77777777" w:rsidR="003734EC" w:rsidRDefault="000E364E">
            <w:pPr>
              <w:jc w:val="right"/>
              <w:textAlignment w:val="bottom"/>
            </w:pPr>
            <w:r>
              <w:rPr>
                <w:rFonts w:ascii="sans-serif" w:eastAsia="sans-serif" w:hAnsi="sans-serif" w:cs="sans-serif"/>
                <w:color w:val="000000"/>
                <w:sz w:val="20"/>
                <w:szCs w:val="20"/>
              </w:rPr>
              <w:t>979 </w:t>
            </w:r>
          </w:p>
        </w:tc>
        <w:tc>
          <w:tcPr>
            <w:tcW w:w="0" w:type="auto"/>
            <w:shd w:val="clear" w:color="auto" w:fill="FFFFFF"/>
            <w:tcMar>
              <w:top w:w="40" w:type="dxa"/>
              <w:bottom w:w="40" w:type="dxa"/>
              <w:right w:w="20" w:type="dxa"/>
            </w:tcMar>
            <w:vAlign w:val="bottom"/>
          </w:tcPr>
          <w:p w14:paraId="3693DF2B"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33" w14:textId="77777777">
        <w:tc>
          <w:tcPr>
            <w:tcW w:w="0" w:type="auto"/>
            <w:gridSpan w:val="3"/>
            <w:shd w:val="clear" w:color="auto" w:fill="E2EFD9"/>
            <w:tcMar>
              <w:top w:w="40" w:type="dxa"/>
              <w:left w:w="225" w:type="dxa"/>
              <w:bottom w:w="40" w:type="dxa"/>
              <w:right w:w="20" w:type="dxa"/>
            </w:tcMar>
            <w:vAlign w:val="bottom"/>
          </w:tcPr>
          <w:p w14:paraId="3693DF2D" w14:textId="77777777" w:rsidR="003734EC" w:rsidRDefault="000E364E">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3693DF2E" w14:textId="77777777" w:rsidR="003734EC" w:rsidRDefault="000E364E">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bottom w:w="40" w:type="dxa"/>
              <w:right w:w="20" w:type="dxa"/>
            </w:tcMar>
            <w:vAlign w:val="bottom"/>
          </w:tcPr>
          <w:p w14:paraId="3693DF2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30"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31" w14:textId="77777777" w:rsidR="003734EC" w:rsidRDefault="000E364E">
            <w:pPr>
              <w:jc w:val="right"/>
              <w:textAlignment w:val="bottom"/>
            </w:pPr>
            <w:r>
              <w:rPr>
                <w:rFonts w:ascii="sans-serif" w:eastAsia="sans-serif" w:hAnsi="sans-serif" w:cs="sans-serif"/>
                <w:color w:val="000000"/>
                <w:sz w:val="20"/>
                <w:szCs w:val="20"/>
              </w:rPr>
              <w:t>157 </w:t>
            </w:r>
          </w:p>
        </w:tc>
        <w:tc>
          <w:tcPr>
            <w:tcW w:w="0" w:type="auto"/>
            <w:shd w:val="clear" w:color="auto" w:fill="E2EFD9"/>
            <w:tcMar>
              <w:top w:w="40" w:type="dxa"/>
              <w:bottom w:w="40" w:type="dxa"/>
              <w:right w:w="20" w:type="dxa"/>
            </w:tcMar>
            <w:vAlign w:val="bottom"/>
          </w:tcPr>
          <w:p w14:paraId="3693DF32"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3A" w14:textId="77777777">
        <w:tc>
          <w:tcPr>
            <w:tcW w:w="0" w:type="auto"/>
            <w:gridSpan w:val="3"/>
            <w:shd w:val="clear" w:color="auto" w:fill="FFFFFF"/>
            <w:tcMar>
              <w:top w:w="40" w:type="dxa"/>
              <w:left w:w="20" w:type="dxa"/>
              <w:bottom w:w="40" w:type="dxa"/>
              <w:right w:w="20" w:type="dxa"/>
            </w:tcMar>
            <w:vAlign w:val="bottom"/>
          </w:tcPr>
          <w:p w14:paraId="3693DF34" w14:textId="77777777" w:rsidR="003734EC" w:rsidRDefault="000E364E">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F35" w14:textId="77777777" w:rsidR="003734EC" w:rsidRDefault="000E364E">
            <w:pPr>
              <w:jc w:val="right"/>
              <w:textAlignment w:val="bottom"/>
            </w:pPr>
            <w:r>
              <w:rPr>
                <w:rFonts w:ascii="sans-serif" w:eastAsia="sans-serif" w:hAnsi="sans-serif" w:cs="sans-serif"/>
                <w:color w:val="000000"/>
                <w:sz w:val="20"/>
                <w:szCs w:val="20"/>
              </w:rPr>
              <w:t>19,584 </w:t>
            </w:r>
          </w:p>
        </w:tc>
        <w:tc>
          <w:tcPr>
            <w:tcW w:w="0" w:type="auto"/>
            <w:tcBorders>
              <w:top w:val="single" w:sz="8" w:space="0" w:color="000000"/>
            </w:tcBorders>
            <w:shd w:val="clear" w:color="auto" w:fill="FFFFFF"/>
            <w:tcMar>
              <w:top w:w="40" w:type="dxa"/>
              <w:bottom w:w="40" w:type="dxa"/>
              <w:right w:w="20" w:type="dxa"/>
            </w:tcMar>
            <w:vAlign w:val="bottom"/>
          </w:tcPr>
          <w:p w14:paraId="3693DF3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37"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F38" w14:textId="77777777" w:rsidR="003734EC" w:rsidRDefault="000E364E">
            <w:pPr>
              <w:jc w:val="right"/>
              <w:textAlignment w:val="bottom"/>
            </w:pPr>
            <w:r>
              <w:rPr>
                <w:rFonts w:ascii="sans-serif" w:eastAsia="sans-serif" w:hAnsi="sans-serif" w:cs="sans-serif"/>
                <w:color w:val="000000"/>
                <w:sz w:val="20"/>
                <w:szCs w:val="20"/>
              </w:rPr>
              <w:t>13,690 </w:t>
            </w:r>
          </w:p>
        </w:tc>
        <w:tc>
          <w:tcPr>
            <w:tcW w:w="0" w:type="auto"/>
            <w:tcBorders>
              <w:top w:val="single" w:sz="8" w:space="0" w:color="000000"/>
            </w:tcBorders>
            <w:shd w:val="clear" w:color="auto" w:fill="FFFFFF"/>
            <w:tcMar>
              <w:top w:w="40" w:type="dxa"/>
              <w:bottom w:w="40" w:type="dxa"/>
              <w:right w:w="20" w:type="dxa"/>
            </w:tcMar>
            <w:vAlign w:val="bottom"/>
          </w:tcPr>
          <w:p w14:paraId="3693DF39"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41" w14:textId="77777777">
        <w:tc>
          <w:tcPr>
            <w:tcW w:w="0" w:type="auto"/>
            <w:gridSpan w:val="3"/>
            <w:shd w:val="clear" w:color="auto" w:fill="E2EFD9"/>
            <w:tcMar>
              <w:top w:w="40" w:type="dxa"/>
              <w:left w:w="20" w:type="dxa"/>
              <w:bottom w:w="40" w:type="dxa"/>
              <w:right w:w="20" w:type="dxa"/>
            </w:tcMar>
            <w:vAlign w:val="bottom"/>
          </w:tcPr>
          <w:p w14:paraId="3693DF3B" w14:textId="77777777" w:rsidR="003734EC" w:rsidRDefault="000E364E">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3693DF3C" w14:textId="77777777" w:rsidR="003734EC" w:rsidRDefault="000E364E">
            <w:pPr>
              <w:jc w:val="right"/>
              <w:textAlignment w:val="bottom"/>
            </w:pPr>
            <w:r>
              <w:rPr>
                <w:rFonts w:ascii="sans-serif" w:eastAsia="sans-serif" w:hAnsi="sans-serif" w:cs="sans-serif"/>
                <w:color w:val="000000"/>
                <w:sz w:val="20"/>
                <w:szCs w:val="20"/>
              </w:rPr>
              <w:t>1,715 </w:t>
            </w:r>
          </w:p>
        </w:tc>
        <w:tc>
          <w:tcPr>
            <w:tcW w:w="0" w:type="auto"/>
            <w:shd w:val="clear" w:color="auto" w:fill="E2EFD9"/>
            <w:tcMar>
              <w:top w:w="40" w:type="dxa"/>
              <w:bottom w:w="40" w:type="dxa"/>
              <w:right w:w="20" w:type="dxa"/>
            </w:tcMar>
            <w:vAlign w:val="bottom"/>
          </w:tcPr>
          <w:p w14:paraId="3693DF3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3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3F" w14:textId="77777777" w:rsidR="003734EC" w:rsidRDefault="000E364E">
            <w:pPr>
              <w:jc w:val="right"/>
              <w:textAlignment w:val="bottom"/>
            </w:pPr>
            <w:r>
              <w:rPr>
                <w:rFonts w:ascii="sans-serif" w:eastAsia="sans-serif" w:hAnsi="sans-serif" w:cs="sans-serif"/>
                <w:color w:val="000000"/>
                <w:sz w:val="20"/>
                <w:szCs w:val="20"/>
              </w:rPr>
              <w:t>1,674 </w:t>
            </w:r>
          </w:p>
        </w:tc>
        <w:tc>
          <w:tcPr>
            <w:tcW w:w="0" w:type="auto"/>
            <w:shd w:val="clear" w:color="auto" w:fill="E2EFD9"/>
            <w:tcMar>
              <w:top w:w="40" w:type="dxa"/>
              <w:bottom w:w="40" w:type="dxa"/>
              <w:right w:w="20" w:type="dxa"/>
            </w:tcMar>
            <w:vAlign w:val="bottom"/>
          </w:tcPr>
          <w:p w14:paraId="3693DF40"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48" w14:textId="77777777">
        <w:tc>
          <w:tcPr>
            <w:tcW w:w="0" w:type="auto"/>
            <w:gridSpan w:val="3"/>
            <w:shd w:val="clear" w:color="auto" w:fill="FFFFFF"/>
            <w:tcMar>
              <w:top w:w="40" w:type="dxa"/>
              <w:left w:w="20" w:type="dxa"/>
              <w:bottom w:w="40" w:type="dxa"/>
              <w:right w:w="20" w:type="dxa"/>
            </w:tcMar>
            <w:vAlign w:val="bottom"/>
          </w:tcPr>
          <w:p w14:paraId="3693DF42" w14:textId="77777777" w:rsidR="003734EC" w:rsidRDefault="000E364E">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3693DF43" w14:textId="77777777" w:rsidR="003734EC" w:rsidRDefault="000E364E">
            <w:pPr>
              <w:jc w:val="right"/>
              <w:textAlignment w:val="bottom"/>
            </w:pPr>
            <w:r>
              <w:rPr>
                <w:rFonts w:ascii="sans-serif" w:eastAsia="sans-serif" w:hAnsi="sans-serif" w:cs="sans-serif"/>
                <w:color w:val="000000"/>
                <w:sz w:val="20"/>
                <w:szCs w:val="20"/>
              </w:rPr>
              <w:t>595 </w:t>
            </w:r>
          </w:p>
        </w:tc>
        <w:tc>
          <w:tcPr>
            <w:tcW w:w="0" w:type="auto"/>
            <w:shd w:val="clear" w:color="auto" w:fill="FFFFFF"/>
            <w:tcMar>
              <w:top w:w="40" w:type="dxa"/>
              <w:bottom w:w="40" w:type="dxa"/>
              <w:right w:w="20" w:type="dxa"/>
            </w:tcMar>
            <w:vAlign w:val="bottom"/>
          </w:tcPr>
          <w:p w14:paraId="3693DF4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4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46" w14:textId="77777777" w:rsidR="003734EC" w:rsidRDefault="000E364E">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bottom w:w="40" w:type="dxa"/>
              <w:right w:w="20" w:type="dxa"/>
            </w:tcMar>
            <w:vAlign w:val="bottom"/>
          </w:tcPr>
          <w:p w14:paraId="3693DF47"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4F" w14:textId="77777777">
        <w:tc>
          <w:tcPr>
            <w:tcW w:w="0" w:type="auto"/>
            <w:gridSpan w:val="3"/>
            <w:shd w:val="clear" w:color="auto" w:fill="E2EFD9"/>
            <w:tcMar>
              <w:top w:w="40" w:type="dxa"/>
              <w:left w:w="20" w:type="dxa"/>
              <w:bottom w:w="40" w:type="dxa"/>
              <w:right w:w="20" w:type="dxa"/>
            </w:tcMar>
            <w:vAlign w:val="bottom"/>
          </w:tcPr>
          <w:p w14:paraId="3693DF49" w14:textId="77777777" w:rsidR="003734EC" w:rsidRDefault="000E364E">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3693DF4A" w14:textId="77777777" w:rsidR="003734EC" w:rsidRDefault="000E364E">
            <w:pPr>
              <w:jc w:val="right"/>
              <w:textAlignment w:val="bottom"/>
            </w:pPr>
            <w:r>
              <w:rPr>
                <w:rFonts w:ascii="sans-serif" w:eastAsia="sans-serif" w:hAnsi="sans-serif" w:cs="sans-serif"/>
                <w:color w:val="000000"/>
                <w:sz w:val="20"/>
                <w:szCs w:val="20"/>
              </w:rPr>
              <w:t>628 </w:t>
            </w:r>
          </w:p>
        </w:tc>
        <w:tc>
          <w:tcPr>
            <w:tcW w:w="0" w:type="auto"/>
            <w:shd w:val="clear" w:color="auto" w:fill="E2EFD9"/>
            <w:tcMar>
              <w:top w:w="40" w:type="dxa"/>
              <w:bottom w:w="40" w:type="dxa"/>
              <w:right w:w="20" w:type="dxa"/>
            </w:tcMar>
            <w:vAlign w:val="bottom"/>
          </w:tcPr>
          <w:p w14:paraId="3693DF4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4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4D" w14:textId="77777777" w:rsidR="003734EC" w:rsidRDefault="000E364E">
            <w:pPr>
              <w:jc w:val="right"/>
              <w:textAlignment w:val="bottom"/>
            </w:pPr>
            <w:r>
              <w:rPr>
                <w:rFonts w:ascii="sans-serif" w:eastAsia="sans-serif" w:hAnsi="sans-serif" w:cs="sans-serif"/>
                <w:color w:val="000000"/>
                <w:sz w:val="20"/>
                <w:szCs w:val="20"/>
              </w:rPr>
              <w:t>618 </w:t>
            </w:r>
          </w:p>
        </w:tc>
        <w:tc>
          <w:tcPr>
            <w:tcW w:w="0" w:type="auto"/>
            <w:shd w:val="clear" w:color="auto" w:fill="E2EFD9"/>
            <w:tcMar>
              <w:top w:w="40" w:type="dxa"/>
              <w:bottom w:w="40" w:type="dxa"/>
              <w:right w:w="20" w:type="dxa"/>
            </w:tcMar>
            <w:vAlign w:val="bottom"/>
          </w:tcPr>
          <w:p w14:paraId="3693DF4E"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56" w14:textId="77777777">
        <w:tc>
          <w:tcPr>
            <w:tcW w:w="0" w:type="auto"/>
            <w:gridSpan w:val="3"/>
            <w:shd w:val="clear" w:color="auto" w:fill="FFFFFF"/>
            <w:tcMar>
              <w:top w:w="40" w:type="dxa"/>
              <w:left w:w="20" w:type="dxa"/>
              <w:bottom w:w="40" w:type="dxa"/>
              <w:right w:w="20" w:type="dxa"/>
            </w:tcMar>
            <w:vAlign w:val="bottom"/>
          </w:tcPr>
          <w:p w14:paraId="3693DF50" w14:textId="77777777" w:rsidR="003734EC" w:rsidRDefault="000E364E">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3693DF51" w14:textId="77777777" w:rsidR="003734EC" w:rsidRDefault="000E364E">
            <w:pPr>
              <w:jc w:val="right"/>
              <w:textAlignment w:val="bottom"/>
            </w:pPr>
            <w:r>
              <w:rPr>
                <w:rFonts w:ascii="sans-serif" w:eastAsia="sans-serif" w:hAnsi="sans-serif" w:cs="sans-serif"/>
                <w:color w:val="000000"/>
                <w:sz w:val="20"/>
                <w:szCs w:val="20"/>
              </w:rPr>
              <w:t>80 </w:t>
            </w:r>
          </w:p>
        </w:tc>
        <w:tc>
          <w:tcPr>
            <w:tcW w:w="0" w:type="auto"/>
            <w:shd w:val="clear" w:color="auto" w:fill="FFFFFF"/>
            <w:tcMar>
              <w:top w:w="40" w:type="dxa"/>
              <w:bottom w:w="40" w:type="dxa"/>
              <w:right w:w="20" w:type="dxa"/>
            </w:tcMar>
            <w:vAlign w:val="bottom"/>
          </w:tcPr>
          <w:p w14:paraId="3693DF5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53"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54" w14:textId="77777777" w:rsidR="003734EC" w:rsidRDefault="000E364E">
            <w:pPr>
              <w:jc w:val="right"/>
              <w:textAlignment w:val="bottom"/>
            </w:pPr>
            <w:r>
              <w:rPr>
                <w:rFonts w:ascii="sans-serif" w:eastAsia="sans-serif" w:hAnsi="sans-serif" w:cs="sans-serif"/>
                <w:color w:val="000000"/>
                <w:sz w:val="20"/>
                <w:szCs w:val="20"/>
              </w:rPr>
              <w:t>49 </w:t>
            </w:r>
          </w:p>
        </w:tc>
        <w:tc>
          <w:tcPr>
            <w:tcW w:w="0" w:type="auto"/>
            <w:shd w:val="clear" w:color="auto" w:fill="FFFFFF"/>
            <w:tcMar>
              <w:top w:w="40" w:type="dxa"/>
              <w:bottom w:w="40" w:type="dxa"/>
              <w:right w:w="20" w:type="dxa"/>
            </w:tcMar>
            <w:vAlign w:val="bottom"/>
          </w:tcPr>
          <w:p w14:paraId="3693DF5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5D" w14:textId="77777777">
        <w:tc>
          <w:tcPr>
            <w:tcW w:w="0" w:type="auto"/>
            <w:gridSpan w:val="3"/>
            <w:shd w:val="clear" w:color="auto" w:fill="E2EFD9"/>
            <w:tcMar>
              <w:top w:w="40" w:type="dxa"/>
              <w:left w:w="20" w:type="dxa"/>
              <w:bottom w:w="40" w:type="dxa"/>
              <w:right w:w="20" w:type="dxa"/>
            </w:tcMar>
            <w:vAlign w:val="bottom"/>
          </w:tcPr>
          <w:p w14:paraId="3693DF57" w14:textId="77777777" w:rsidR="003734EC" w:rsidRDefault="000E364E">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3693DF58" w14:textId="77777777" w:rsidR="003734EC" w:rsidRDefault="000E364E">
            <w:pPr>
              <w:jc w:val="right"/>
              <w:textAlignment w:val="bottom"/>
            </w:pPr>
            <w:r>
              <w:rPr>
                <w:rFonts w:ascii="sans-serif" w:eastAsia="sans-serif" w:hAnsi="sans-serif" w:cs="sans-serif"/>
                <w:color w:val="000000"/>
                <w:sz w:val="20"/>
                <w:szCs w:val="20"/>
              </w:rPr>
              <w:t>533 </w:t>
            </w:r>
          </w:p>
        </w:tc>
        <w:tc>
          <w:tcPr>
            <w:tcW w:w="0" w:type="auto"/>
            <w:shd w:val="clear" w:color="auto" w:fill="E2EFD9"/>
            <w:tcMar>
              <w:top w:w="40" w:type="dxa"/>
              <w:bottom w:w="40" w:type="dxa"/>
              <w:right w:w="20" w:type="dxa"/>
            </w:tcMar>
            <w:vAlign w:val="bottom"/>
          </w:tcPr>
          <w:p w14:paraId="3693DF5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5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5B" w14:textId="77777777" w:rsidR="003734EC" w:rsidRDefault="000E364E">
            <w:pPr>
              <w:jc w:val="right"/>
              <w:textAlignment w:val="bottom"/>
            </w:pPr>
            <w:r>
              <w:rPr>
                <w:rFonts w:ascii="sans-serif" w:eastAsia="sans-serif" w:hAnsi="sans-serif" w:cs="sans-serif"/>
                <w:color w:val="000000"/>
                <w:sz w:val="20"/>
                <w:szCs w:val="20"/>
              </w:rPr>
              <w:t>548 </w:t>
            </w:r>
          </w:p>
        </w:tc>
        <w:tc>
          <w:tcPr>
            <w:tcW w:w="0" w:type="auto"/>
            <w:shd w:val="clear" w:color="auto" w:fill="E2EFD9"/>
            <w:tcMar>
              <w:top w:w="40" w:type="dxa"/>
              <w:bottom w:w="40" w:type="dxa"/>
              <w:right w:w="20" w:type="dxa"/>
            </w:tcMar>
            <w:vAlign w:val="bottom"/>
          </w:tcPr>
          <w:p w14:paraId="3693DF5C"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64" w14:textId="77777777">
        <w:tc>
          <w:tcPr>
            <w:tcW w:w="0" w:type="auto"/>
            <w:gridSpan w:val="3"/>
            <w:shd w:val="clear" w:color="auto" w:fill="FFFFFF"/>
            <w:tcMar>
              <w:top w:w="40" w:type="dxa"/>
              <w:left w:w="20" w:type="dxa"/>
              <w:bottom w:w="40" w:type="dxa"/>
              <w:right w:w="20" w:type="dxa"/>
            </w:tcMar>
            <w:vAlign w:val="bottom"/>
          </w:tcPr>
          <w:p w14:paraId="3693DF5E" w14:textId="77777777" w:rsidR="003734EC" w:rsidRDefault="000E364E">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3693DF5F" w14:textId="77777777" w:rsidR="003734EC" w:rsidRDefault="000E364E">
            <w:pPr>
              <w:jc w:val="right"/>
              <w:textAlignment w:val="bottom"/>
            </w:pPr>
            <w:r>
              <w:rPr>
                <w:rFonts w:ascii="sans-serif" w:eastAsia="sans-serif" w:hAnsi="sans-serif" w:cs="sans-serif"/>
                <w:color w:val="000000"/>
                <w:sz w:val="20"/>
                <w:szCs w:val="20"/>
              </w:rPr>
              <w:t>119 </w:t>
            </w:r>
          </w:p>
        </w:tc>
        <w:tc>
          <w:tcPr>
            <w:tcW w:w="0" w:type="auto"/>
            <w:shd w:val="clear" w:color="auto" w:fill="FFFFFF"/>
            <w:tcMar>
              <w:top w:w="40" w:type="dxa"/>
              <w:bottom w:w="40" w:type="dxa"/>
              <w:right w:w="20" w:type="dxa"/>
            </w:tcMar>
            <w:vAlign w:val="bottom"/>
          </w:tcPr>
          <w:p w14:paraId="3693DF6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6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62" w14:textId="77777777" w:rsidR="003734EC" w:rsidRDefault="000E364E">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bottom w:w="40" w:type="dxa"/>
              <w:right w:w="20" w:type="dxa"/>
            </w:tcMar>
            <w:vAlign w:val="bottom"/>
          </w:tcPr>
          <w:p w14:paraId="3693DF63"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6D" w14:textId="77777777">
        <w:tc>
          <w:tcPr>
            <w:tcW w:w="0" w:type="auto"/>
            <w:gridSpan w:val="3"/>
            <w:shd w:val="clear" w:color="auto" w:fill="E2EFD9"/>
            <w:tcMar>
              <w:top w:w="40" w:type="dxa"/>
              <w:left w:w="20" w:type="dxa"/>
              <w:bottom w:w="40" w:type="dxa"/>
              <w:right w:w="20" w:type="dxa"/>
            </w:tcMar>
            <w:vAlign w:val="bottom"/>
          </w:tcPr>
          <w:p w14:paraId="3693DF65" w14:textId="77777777" w:rsidR="003734EC" w:rsidRDefault="000E364E">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tcMar>
            <w:vAlign w:val="bottom"/>
          </w:tcPr>
          <w:p w14:paraId="3693DF66"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3693DF67" w14:textId="77777777" w:rsidR="003734EC" w:rsidRDefault="000E364E">
            <w:pPr>
              <w:jc w:val="right"/>
              <w:textAlignment w:val="bottom"/>
            </w:pPr>
            <w:r>
              <w:rPr>
                <w:rFonts w:ascii="sans-serif" w:eastAsia="sans-serif" w:hAnsi="sans-serif" w:cs="sans-serif"/>
                <w:color w:val="000000"/>
                <w:sz w:val="20"/>
                <w:szCs w:val="20"/>
              </w:rPr>
              <w:t>23,254 </w:t>
            </w:r>
          </w:p>
        </w:tc>
        <w:tc>
          <w:tcPr>
            <w:tcW w:w="0" w:type="auto"/>
            <w:tcBorders>
              <w:top w:val="single" w:sz="8" w:space="0" w:color="000000"/>
            </w:tcBorders>
            <w:shd w:val="clear" w:color="auto" w:fill="E2EFD9"/>
            <w:tcMar>
              <w:top w:w="40" w:type="dxa"/>
              <w:bottom w:w="40" w:type="dxa"/>
              <w:right w:w="20" w:type="dxa"/>
            </w:tcMar>
            <w:vAlign w:val="bottom"/>
          </w:tcPr>
          <w:p w14:paraId="3693DF6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69"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DF6A"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3693DF6B" w14:textId="77777777" w:rsidR="003734EC" w:rsidRDefault="000E364E">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tcBorders>
            <w:shd w:val="clear" w:color="auto" w:fill="E2EFD9"/>
            <w:tcMar>
              <w:top w:w="40" w:type="dxa"/>
              <w:bottom w:w="40" w:type="dxa"/>
              <w:right w:w="20" w:type="dxa"/>
            </w:tcMar>
            <w:vAlign w:val="bottom"/>
          </w:tcPr>
          <w:p w14:paraId="3693DF6C"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72" w14:textId="77777777">
        <w:trPr>
          <w:trHeight w:val="300"/>
        </w:trPr>
        <w:tc>
          <w:tcPr>
            <w:tcW w:w="0" w:type="auto"/>
            <w:gridSpan w:val="3"/>
            <w:shd w:val="clear" w:color="auto" w:fill="FFFFFF"/>
            <w:tcMar>
              <w:left w:w="20" w:type="dxa"/>
              <w:right w:w="20" w:type="dxa"/>
            </w:tcMar>
            <w:vAlign w:val="bottom"/>
          </w:tcPr>
          <w:p w14:paraId="3693DF6E"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F6F"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F70"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DF71" w14:textId="77777777" w:rsidR="003734EC" w:rsidRDefault="003734EC">
            <w:pPr>
              <w:rPr>
                <w:rFonts w:ascii="宋体"/>
              </w:rPr>
            </w:pPr>
          </w:p>
        </w:tc>
      </w:tr>
      <w:tr w:rsidR="003734EC" w14:paraId="3693DF78" w14:textId="77777777">
        <w:tc>
          <w:tcPr>
            <w:tcW w:w="0" w:type="auto"/>
            <w:gridSpan w:val="3"/>
            <w:shd w:val="clear" w:color="auto" w:fill="E2EFD9"/>
            <w:tcMar>
              <w:top w:w="40" w:type="dxa"/>
              <w:left w:w="20" w:type="dxa"/>
              <w:bottom w:w="40" w:type="dxa"/>
              <w:right w:w="20" w:type="dxa"/>
            </w:tcMar>
            <w:vAlign w:val="bottom"/>
          </w:tcPr>
          <w:p w14:paraId="3693DF73" w14:textId="77777777" w:rsidR="003734EC" w:rsidRDefault="000E364E">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3693DF74"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7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76"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DF77"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7E" w14:textId="77777777">
        <w:tc>
          <w:tcPr>
            <w:tcW w:w="0" w:type="auto"/>
            <w:gridSpan w:val="3"/>
            <w:shd w:val="clear" w:color="auto" w:fill="FFFFFF"/>
            <w:tcMar>
              <w:top w:w="40" w:type="dxa"/>
              <w:left w:w="20" w:type="dxa"/>
              <w:bottom w:w="40" w:type="dxa"/>
              <w:right w:w="20" w:type="dxa"/>
            </w:tcMar>
            <w:vAlign w:val="bottom"/>
          </w:tcPr>
          <w:p w14:paraId="3693DF79" w14:textId="77777777" w:rsidR="003734EC" w:rsidRDefault="000E364E">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3693DF7A"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7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7C"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F7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87" w14:textId="77777777">
        <w:tc>
          <w:tcPr>
            <w:tcW w:w="0" w:type="auto"/>
            <w:gridSpan w:val="3"/>
            <w:shd w:val="clear" w:color="auto" w:fill="E2EFD9"/>
            <w:tcMar>
              <w:top w:w="40" w:type="dxa"/>
              <w:left w:w="225" w:type="dxa"/>
              <w:bottom w:w="40" w:type="dxa"/>
              <w:right w:w="20" w:type="dxa"/>
            </w:tcMar>
            <w:vAlign w:val="bottom"/>
          </w:tcPr>
          <w:p w14:paraId="3693DF7F" w14:textId="77777777" w:rsidR="003734EC" w:rsidRDefault="000E364E">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tcMar>
            <w:vAlign w:val="bottom"/>
          </w:tcPr>
          <w:p w14:paraId="3693DF80"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F81" w14:textId="77777777" w:rsidR="003734EC" w:rsidRDefault="000E364E">
            <w:pPr>
              <w:jc w:val="right"/>
              <w:textAlignment w:val="bottom"/>
            </w:pPr>
            <w:r>
              <w:rPr>
                <w:rFonts w:ascii="sans-serif" w:eastAsia="sans-serif" w:hAnsi="sans-serif" w:cs="sans-serif"/>
                <w:color w:val="000000"/>
                <w:sz w:val="20"/>
                <w:szCs w:val="20"/>
              </w:rPr>
              <w:t>761 </w:t>
            </w:r>
          </w:p>
        </w:tc>
        <w:tc>
          <w:tcPr>
            <w:tcW w:w="0" w:type="auto"/>
            <w:shd w:val="clear" w:color="auto" w:fill="E2EFD9"/>
            <w:tcMar>
              <w:top w:w="40" w:type="dxa"/>
              <w:bottom w:w="40" w:type="dxa"/>
              <w:right w:w="20" w:type="dxa"/>
            </w:tcMar>
            <w:vAlign w:val="bottom"/>
          </w:tcPr>
          <w:p w14:paraId="3693DF8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83"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DF8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DF85" w14:textId="77777777" w:rsidR="003734EC" w:rsidRDefault="000E364E">
            <w:pPr>
              <w:jc w:val="right"/>
              <w:textAlignment w:val="bottom"/>
            </w:pPr>
            <w:r>
              <w:rPr>
                <w:rFonts w:ascii="sans-serif" w:eastAsia="sans-serif" w:hAnsi="sans-serif" w:cs="sans-serif"/>
                <w:color w:val="000000"/>
                <w:sz w:val="20"/>
                <w:szCs w:val="20"/>
              </w:rPr>
              <w:t>687 </w:t>
            </w:r>
          </w:p>
        </w:tc>
        <w:tc>
          <w:tcPr>
            <w:tcW w:w="0" w:type="auto"/>
            <w:shd w:val="clear" w:color="auto" w:fill="E2EFD9"/>
            <w:tcMar>
              <w:top w:w="40" w:type="dxa"/>
              <w:bottom w:w="40" w:type="dxa"/>
              <w:right w:w="20" w:type="dxa"/>
            </w:tcMar>
            <w:vAlign w:val="bottom"/>
          </w:tcPr>
          <w:p w14:paraId="3693DF86"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8E" w14:textId="77777777">
        <w:tc>
          <w:tcPr>
            <w:tcW w:w="0" w:type="auto"/>
            <w:gridSpan w:val="3"/>
            <w:shd w:val="clear" w:color="auto" w:fill="FFFFFF"/>
            <w:tcMar>
              <w:top w:w="40" w:type="dxa"/>
              <w:left w:w="225" w:type="dxa"/>
              <w:bottom w:w="40" w:type="dxa"/>
              <w:right w:w="20" w:type="dxa"/>
            </w:tcMar>
            <w:vAlign w:val="bottom"/>
          </w:tcPr>
          <w:p w14:paraId="3693DF88" w14:textId="77777777" w:rsidR="003734EC" w:rsidRDefault="000E364E">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3693DF89" w14:textId="77777777" w:rsidR="003734EC" w:rsidRDefault="000E364E">
            <w:pPr>
              <w:jc w:val="right"/>
              <w:textAlignment w:val="bottom"/>
            </w:pPr>
            <w:r>
              <w:rPr>
                <w:rFonts w:ascii="sans-serif" w:eastAsia="sans-serif" w:hAnsi="sans-serif" w:cs="sans-serif"/>
                <w:color w:val="000000"/>
                <w:sz w:val="20"/>
                <w:szCs w:val="20"/>
              </w:rPr>
              <w:t>1,142 </w:t>
            </w:r>
          </w:p>
        </w:tc>
        <w:tc>
          <w:tcPr>
            <w:tcW w:w="0" w:type="auto"/>
            <w:shd w:val="clear" w:color="auto" w:fill="FFFFFF"/>
            <w:tcMar>
              <w:top w:w="40" w:type="dxa"/>
              <w:bottom w:w="40" w:type="dxa"/>
              <w:right w:w="20" w:type="dxa"/>
            </w:tcMar>
            <w:vAlign w:val="bottom"/>
          </w:tcPr>
          <w:p w14:paraId="3693DF8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8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8C" w14:textId="77777777" w:rsidR="003734EC" w:rsidRDefault="000E364E">
            <w:pPr>
              <w:jc w:val="right"/>
              <w:textAlignment w:val="bottom"/>
            </w:pPr>
            <w:r>
              <w:rPr>
                <w:rFonts w:ascii="sans-serif" w:eastAsia="sans-serif" w:hAnsi="sans-serif" w:cs="sans-serif"/>
                <w:color w:val="000000"/>
                <w:sz w:val="20"/>
                <w:szCs w:val="20"/>
              </w:rPr>
              <w:t>1,097 </w:t>
            </w:r>
          </w:p>
        </w:tc>
        <w:tc>
          <w:tcPr>
            <w:tcW w:w="0" w:type="auto"/>
            <w:shd w:val="clear" w:color="auto" w:fill="FFFFFF"/>
            <w:tcMar>
              <w:top w:w="40" w:type="dxa"/>
              <w:bottom w:w="40" w:type="dxa"/>
              <w:right w:w="20" w:type="dxa"/>
            </w:tcMar>
            <w:vAlign w:val="bottom"/>
          </w:tcPr>
          <w:p w14:paraId="3693DF8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93" w14:textId="77777777">
        <w:trPr>
          <w:hidden/>
        </w:trPr>
        <w:tc>
          <w:tcPr>
            <w:tcW w:w="0" w:type="auto"/>
            <w:gridSpan w:val="3"/>
            <w:shd w:val="clear" w:color="auto" w:fill="auto"/>
            <w:vAlign w:val="center"/>
          </w:tcPr>
          <w:p w14:paraId="3693DF8F" w14:textId="77777777" w:rsidR="003734EC" w:rsidRDefault="003734EC">
            <w:pPr>
              <w:rPr>
                <w:rFonts w:ascii="宋体"/>
                <w:vanish/>
              </w:rPr>
            </w:pPr>
          </w:p>
        </w:tc>
        <w:tc>
          <w:tcPr>
            <w:tcW w:w="0" w:type="auto"/>
            <w:gridSpan w:val="3"/>
            <w:shd w:val="clear" w:color="auto" w:fill="auto"/>
            <w:vAlign w:val="center"/>
          </w:tcPr>
          <w:p w14:paraId="3693DF90" w14:textId="77777777" w:rsidR="003734EC" w:rsidRDefault="003734EC">
            <w:pPr>
              <w:rPr>
                <w:rFonts w:ascii="宋体"/>
                <w:vanish/>
              </w:rPr>
            </w:pPr>
          </w:p>
        </w:tc>
        <w:tc>
          <w:tcPr>
            <w:tcW w:w="0" w:type="auto"/>
            <w:gridSpan w:val="3"/>
            <w:shd w:val="clear" w:color="auto" w:fill="auto"/>
            <w:vAlign w:val="center"/>
          </w:tcPr>
          <w:p w14:paraId="3693DF91" w14:textId="77777777" w:rsidR="003734EC" w:rsidRDefault="003734EC">
            <w:pPr>
              <w:rPr>
                <w:rFonts w:ascii="宋体"/>
                <w:vanish/>
              </w:rPr>
            </w:pPr>
          </w:p>
        </w:tc>
        <w:tc>
          <w:tcPr>
            <w:tcW w:w="0" w:type="auto"/>
            <w:gridSpan w:val="3"/>
            <w:shd w:val="clear" w:color="auto" w:fill="auto"/>
            <w:vAlign w:val="center"/>
          </w:tcPr>
          <w:p w14:paraId="3693DF92" w14:textId="77777777" w:rsidR="003734EC" w:rsidRDefault="003734EC">
            <w:pPr>
              <w:rPr>
                <w:rFonts w:ascii="宋体"/>
                <w:vanish/>
              </w:rPr>
            </w:pPr>
          </w:p>
        </w:tc>
      </w:tr>
      <w:tr w:rsidR="003734EC" w14:paraId="3693DF9A" w14:textId="77777777">
        <w:tc>
          <w:tcPr>
            <w:tcW w:w="0" w:type="auto"/>
            <w:gridSpan w:val="3"/>
            <w:shd w:val="clear" w:color="auto" w:fill="E2EFD9"/>
            <w:tcMar>
              <w:top w:w="40" w:type="dxa"/>
              <w:left w:w="20" w:type="dxa"/>
              <w:bottom w:w="40" w:type="dxa"/>
              <w:right w:w="20" w:type="dxa"/>
            </w:tcMar>
            <w:vAlign w:val="bottom"/>
          </w:tcPr>
          <w:p w14:paraId="3693DF94" w14:textId="77777777" w:rsidR="003734EC" w:rsidRDefault="000E364E">
            <w:pPr>
              <w:textAlignment w:val="bottom"/>
            </w:pPr>
            <w:r>
              <w:rPr>
                <w:rFonts w:ascii="sans-serif" w:eastAsia="sans-serif" w:hAnsi="sans-serif" w:cs="sans-serif"/>
                <w:color w:val="000000"/>
                <w:sz w:val="20"/>
                <w:szCs w:val="20"/>
              </w:rPr>
              <w:t xml:space="preserve">Total current </w:t>
            </w:r>
            <w:r>
              <w:rPr>
                <w:rFonts w:ascii="sans-serif" w:eastAsia="sans-serif" w:hAnsi="sans-serif" w:cs="sans-serif"/>
                <w:color w:val="000000"/>
                <w:sz w:val="20"/>
                <w:szCs w:val="20"/>
              </w:rPr>
              <w:t>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F95" w14:textId="77777777" w:rsidR="003734EC" w:rsidRDefault="000E364E">
            <w:pPr>
              <w:jc w:val="right"/>
              <w:textAlignment w:val="bottom"/>
            </w:pPr>
            <w:r>
              <w:rPr>
                <w:rFonts w:ascii="sans-serif" w:eastAsia="sans-serif" w:hAnsi="sans-serif" w:cs="sans-serif"/>
                <w:color w:val="000000"/>
                <w:sz w:val="20"/>
                <w:szCs w:val="20"/>
              </w:rPr>
              <w:t>1,903 </w:t>
            </w:r>
          </w:p>
        </w:tc>
        <w:tc>
          <w:tcPr>
            <w:tcW w:w="0" w:type="auto"/>
            <w:tcBorders>
              <w:top w:val="single" w:sz="8" w:space="0" w:color="000000"/>
            </w:tcBorders>
            <w:shd w:val="clear" w:color="auto" w:fill="E2EFD9"/>
            <w:tcMar>
              <w:top w:w="40" w:type="dxa"/>
              <w:bottom w:w="40" w:type="dxa"/>
              <w:right w:w="20" w:type="dxa"/>
            </w:tcMar>
            <w:vAlign w:val="bottom"/>
          </w:tcPr>
          <w:p w14:paraId="3693DF9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97"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F98" w14:textId="77777777" w:rsidR="003734EC" w:rsidRDefault="000E364E">
            <w:pPr>
              <w:jc w:val="right"/>
              <w:textAlignment w:val="bottom"/>
            </w:pPr>
            <w:r>
              <w:rPr>
                <w:rFonts w:ascii="sans-serif" w:eastAsia="sans-serif" w:hAnsi="sans-serif" w:cs="sans-serif"/>
                <w:color w:val="000000"/>
                <w:sz w:val="20"/>
                <w:szCs w:val="20"/>
              </w:rPr>
              <w:t>1,784 </w:t>
            </w:r>
          </w:p>
        </w:tc>
        <w:tc>
          <w:tcPr>
            <w:tcW w:w="0" w:type="auto"/>
            <w:tcBorders>
              <w:top w:val="single" w:sz="8" w:space="0" w:color="000000"/>
            </w:tcBorders>
            <w:shd w:val="clear" w:color="auto" w:fill="E2EFD9"/>
            <w:tcMar>
              <w:top w:w="40" w:type="dxa"/>
              <w:bottom w:w="40" w:type="dxa"/>
              <w:right w:w="20" w:type="dxa"/>
            </w:tcMar>
            <w:vAlign w:val="bottom"/>
          </w:tcPr>
          <w:p w14:paraId="3693DF99"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A1" w14:textId="77777777">
        <w:tc>
          <w:tcPr>
            <w:tcW w:w="0" w:type="auto"/>
            <w:gridSpan w:val="3"/>
            <w:shd w:val="clear" w:color="auto" w:fill="FFFFFF"/>
            <w:tcMar>
              <w:top w:w="40" w:type="dxa"/>
              <w:left w:w="20" w:type="dxa"/>
              <w:bottom w:w="40" w:type="dxa"/>
              <w:right w:w="20" w:type="dxa"/>
            </w:tcMar>
            <w:vAlign w:val="bottom"/>
          </w:tcPr>
          <w:p w14:paraId="3693DF9B" w14:textId="77777777" w:rsidR="003734EC" w:rsidRDefault="000E364E">
            <w:pPr>
              <w:textAlignment w:val="bottom"/>
            </w:pPr>
            <w:r>
              <w:rPr>
                <w:rFonts w:ascii="sans-serif" w:eastAsia="sans-serif" w:hAnsi="sans-serif" w:cs="sans-serif"/>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3693DF9C" w14:textId="77777777" w:rsidR="003734EC" w:rsidRDefault="000E364E">
            <w:pPr>
              <w:jc w:val="right"/>
              <w:textAlignment w:val="bottom"/>
            </w:pPr>
            <w:r>
              <w:rPr>
                <w:rFonts w:ascii="sans-serif" w:eastAsia="sans-serif" w:hAnsi="sans-serif" w:cs="sans-serif"/>
                <w:color w:val="000000"/>
                <w:sz w:val="20"/>
                <w:szCs w:val="20"/>
              </w:rPr>
              <w:t>6,959 </w:t>
            </w:r>
          </w:p>
        </w:tc>
        <w:tc>
          <w:tcPr>
            <w:tcW w:w="0" w:type="auto"/>
            <w:shd w:val="clear" w:color="auto" w:fill="FFFFFF"/>
            <w:tcMar>
              <w:top w:w="40" w:type="dxa"/>
              <w:bottom w:w="40" w:type="dxa"/>
              <w:right w:w="20" w:type="dxa"/>
            </w:tcMar>
            <w:vAlign w:val="bottom"/>
          </w:tcPr>
          <w:p w14:paraId="3693DF9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9E"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9F" w14:textId="77777777" w:rsidR="003734EC" w:rsidRDefault="000E364E">
            <w:pPr>
              <w:jc w:val="right"/>
              <w:textAlignment w:val="bottom"/>
            </w:pPr>
            <w:r>
              <w:rPr>
                <w:rFonts w:ascii="sans-serif" w:eastAsia="sans-serif" w:hAnsi="sans-serif" w:cs="sans-serif"/>
                <w:color w:val="000000"/>
                <w:sz w:val="20"/>
                <w:szCs w:val="20"/>
              </w:rPr>
              <w:t>1,991 </w:t>
            </w:r>
          </w:p>
        </w:tc>
        <w:tc>
          <w:tcPr>
            <w:tcW w:w="0" w:type="auto"/>
            <w:shd w:val="clear" w:color="auto" w:fill="FFFFFF"/>
            <w:tcMar>
              <w:top w:w="40" w:type="dxa"/>
              <w:bottom w:w="40" w:type="dxa"/>
              <w:right w:w="20" w:type="dxa"/>
            </w:tcMar>
            <w:vAlign w:val="bottom"/>
          </w:tcPr>
          <w:p w14:paraId="3693DFA0"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A8" w14:textId="77777777">
        <w:tc>
          <w:tcPr>
            <w:tcW w:w="0" w:type="auto"/>
            <w:gridSpan w:val="3"/>
            <w:shd w:val="clear" w:color="auto" w:fill="E2EFD9"/>
            <w:tcMar>
              <w:top w:w="40" w:type="dxa"/>
              <w:left w:w="20" w:type="dxa"/>
              <w:bottom w:w="40" w:type="dxa"/>
              <w:right w:w="20" w:type="dxa"/>
            </w:tcMar>
            <w:vAlign w:val="bottom"/>
          </w:tcPr>
          <w:p w14:paraId="3693DFA2" w14:textId="77777777" w:rsidR="003734EC" w:rsidRDefault="000E364E">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E2EFD9"/>
            <w:tcMar>
              <w:top w:w="40" w:type="dxa"/>
              <w:left w:w="20" w:type="dxa"/>
              <w:bottom w:w="40" w:type="dxa"/>
              <w:right w:w="0" w:type="dxa"/>
            </w:tcMar>
            <w:vAlign w:val="bottom"/>
          </w:tcPr>
          <w:p w14:paraId="3693DFA3" w14:textId="77777777" w:rsidR="003734EC" w:rsidRDefault="000E364E">
            <w:pPr>
              <w:jc w:val="right"/>
              <w:textAlignment w:val="bottom"/>
            </w:pPr>
            <w:r>
              <w:rPr>
                <w:rFonts w:ascii="sans-serif" w:eastAsia="sans-serif" w:hAnsi="sans-serif" w:cs="sans-serif"/>
                <w:color w:val="000000"/>
                <w:sz w:val="20"/>
                <w:szCs w:val="20"/>
              </w:rPr>
              <w:t>519 </w:t>
            </w:r>
          </w:p>
        </w:tc>
        <w:tc>
          <w:tcPr>
            <w:tcW w:w="0" w:type="auto"/>
            <w:shd w:val="clear" w:color="auto" w:fill="E2EFD9"/>
            <w:tcMar>
              <w:top w:w="40" w:type="dxa"/>
              <w:bottom w:w="40" w:type="dxa"/>
              <w:right w:w="20" w:type="dxa"/>
            </w:tcMar>
            <w:vAlign w:val="bottom"/>
          </w:tcPr>
          <w:p w14:paraId="3693DFA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A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A6" w14:textId="77777777" w:rsidR="003734EC" w:rsidRDefault="000E364E">
            <w:pPr>
              <w:jc w:val="right"/>
              <w:textAlignment w:val="bottom"/>
            </w:pPr>
            <w:r>
              <w:rPr>
                <w:rFonts w:ascii="sans-serif" w:eastAsia="sans-serif" w:hAnsi="sans-serif" w:cs="sans-serif"/>
                <w:color w:val="000000"/>
                <w:sz w:val="20"/>
                <w:szCs w:val="20"/>
              </w:rPr>
              <w:t>561 </w:t>
            </w:r>
          </w:p>
        </w:tc>
        <w:tc>
          <w:tcPr>
            <w:tcW w:w="0" w:type="auto"/>
            <w:shd w:val="clear" w:color="auto" w:fill="E2EFD9"/>
            <w:tcMar>
              <w:top w:w="40" w:type="dxa"/>
              <w:bottom w:w="40" w:type="dxa"/>
              <w:right w:w="20" w:type="dxa"/>
            </w:tcMar>
            <w:vAlign w:val="bottom"/>
          </w:tcPr>
          <w:p w14:paraId="3693DFA7"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AF" w14:textId="77777777">
        <w:tc>
          <w:tcPr>
            <w:tcW w:w="0" w:type="auto"/>
            <w:gridSpan w:val="3"/>
            <w:shd w:val="clear" w:color="auto" w:fill="FFFFFF"/>
            <w:tcMar>
              <w:top w:w="40" w:type="dxa"/>
              <w:left w:w="20" w:type="dxa"/>
              <w:bottom w:w="40" w:type="dxa"/>
              <w:right w:w="20" w:type="dxa"/>
            </w:tcMar>
            <w:vAlign w:val="bottom"/>
          </w:tcPr>
          <w:p w14:paraId="3693DFA9" w14:textId="77777777" w:rsidR="003734EC" w:rsidRDefault="000E364E">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3693DFAA" w14:textId="77777777" w:rsidR="003734EC" w:rsidRDefault="000E364E">
            <w:pPr>
              <w:jc w:val="right"/>
              <w:textAlignment w:val="bottom"/>
            </w:pPr>
            <w:r>
              <w:rPr>
                <w:rFonts w:ascii="sans-serif" w:eastAsia="sans-serif" w:hAnsi="sans-serif" w:cs="sans-serif"/>
                <w:color w:val="000000"/>
                <w:sz w:val="20"/>
                <w:szCs w:val="20"/>
              </w:rPr>
              <w:t>774 </w:t>
            </w:r>
          </w:p>
        </w:tc>
        <w:tc>
          <w:tcPr>
            <w:tcW w:w="0" w:type="auto"/>
            <w:shd w:val="clear" w:color="auto" w:fill="FFFFFF"/>
            <w:tcMar>
              <w:top w:w="40" w:type="dxa"/>
              <w:bottom w:w="40" w:type="dxa"/>
              <w:right w:w="20" w:type="dxa"/>
            </w:tcMar>
            <w:vAlign w:val="bottom"/>
          </w:tcPr>
          <w:p w14:paraId="3693DF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A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AD" w14:textId="77777777" w:rsidR="003734EC" w:rsidRDefault="000E364E">
            <w:pPr>
              <w:jc w:val="right"/>
              <w:textAlignment w:val="bottom"/>
            </w:pPr>
            <w:r>
              <w:rPr>
                <w:rFonts w:ascii="sans-serif" w:eastAsia="sans-serif" w:hAnsi="sans-serif" w:cs="sans-serif"/>
                <w:color w:val="000000"/>
                <w:sz w:val="20"/>
                <w:szCs w:val="20"/>
              </w:rPr>
              <w:t>775 </w:t>
            </w:r>
          </w:p>
        </w:tc>
        <w:tc>
          <w:tcPr>
            <w:tcW w:w="0" w:type="auto"/>
            <w:shd w:val="clear" w:color="auto" w:fill="FFFFFF"/>
            <w:tcMar>
              <w:top w:w="40" w:type="dxa"/>
              <w:bottom w:w="40" w:type="dxa"/>
              <w:right w:w="20" w:type="dxa"/>
            </w:tcMar>
            <w:vAlign w:val="bottom"/>
          </w:tcPr>
          <w:p w14:paraId="3693DFAE"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B6" w14:textId="77777777">
        <w:tc>
          <w:tcPr>
            <w:tcW w:w="0" w:type="auto"/>
            <w:gridSpan w:val="3"/>
            <w:shd w:val="clear" w:color="auto" w:fill="E2EFD9"/>
            <w:tcMar>
              <w:top w:w="40" w:type="dxa"/>
              <w:left w:w="20" w:type="dxa"/>
              <w:bottom w:w="40" w:type="dxa"/>
              <w:right w:w="20" w:type="dxa"/>
            </w:tcMar>
            <w:vAlign w:val="bottom"/>
          </w:tcPr>
          <w:p w14:paraId="3693DFB0" w14:textId="77777777" w:rsidR="003734EC" w:rsidRDefault="000E364E">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FB1" w14:textId="77777777" w:rsidR="003734EC" w:rsidRDefault="000E364E">
            <w:pPr>
              <w:jc w:val="right"/>
              <w:textAlignment w:val="bottom"/>
            </w:pPr>
            <w:r>
              <w:rPr>
                <w:rFonts w:ascii="sans-serif" w:eastAsia="sans-serif" w:hAnsi="sans-serif" w:cs="sans-serif"/>
                <w:color w:val="000000"/>
                <w:sz w:val="20"/>
                <w:szCs w:val="20"/>
              </w:rPr>
              <w:t>10,155 </w:t>
            </w:r>
          </w:p>
        </w:tc>
        <w:tc>
          <w:tcPr>
            <w:tcW w:w="0" w:type="auto"/>
            <w:tcBorders>
              <w:top w:val="single" w:sz="8" w:space="0" w:color="000000"/>
            </w:tcBorders>
            <w:shd w:val="clear" w:color="auto" w:fill="E2EFD9"/>
            <w:tcMar>
              <w:top w:w="40" w:type="dxa"/>
              <w:bottom w:w="40" w:type="dxa"/>
              <w:right w:w="20" w:type="dxa"/>
            </w:tcMar>
            <w:vAlign w:val="bottom"/>
          </w:tcPr>
          <w:p w14:paraId="3693DFB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B3"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DFB4" w14:textId="77777777" w:rsidR="003734EC" w:rsidRDefault="000E364E">
            <w:pPr>
              <w:jc w:val="right"/>
              <w:textAlignment w:val="bottom"/>
            </w:pPr>
            <w:r>
              <w:rPr>
                <w:rFonts w:ascii="sans-serif" w:eastAsia="sans-serif" w:hAnsi="sans-serif" w:cs="sans-serif"/>
                <w:color w:val="000000"/>
                <w:sz w:val="20"/>
                <w:szCs w:val="20"/>
              </w:rPr>
              <w:t>5,111 </w:t>
            </w:r>
          </w:p>
        </w:tc>
        <w:tc>
          <w:tcPr>
            <w:tcW w:w="0" w:type="auto"/>
            <w:tcBorders>
              <w:top w:val="single" w:sz="8" w:space="0" w:color="000000"/>
            </w:tcBorders>
            <w:shd w:val="clear" w:color="auto" w:fill="E2EFD9"/>
            <w:tcMar>
              <w:top w:w="40" w:type="dxa"/>
              <w:bottom w:w="40" w:type="dxa"/>
              <w:right w:w="20" w:type="dxa"/>
            </w:tcMar>
            <w:vAlign w:val="bottom"/>
          </w:tcPr>
          <w:p w14:paraId="3693DFB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BB" w14:textId="77777777">
        <w:tc>
          <w:tcPr>
            <w:tcW w:w="0" w:type="auto"/>
            <w:gridSpan w:val="3"/>
            <w:shd w:val="clear" w:color="auto" w:fill="FFFFFF"/>
            <w:tcMar>
              <w:top w:w="40" w:type="dxa"/>
              <w:left w:w="20" w:type="dxa"/>
              <w:bottom w:w="40" w:type="dxa"/>
              <w:right w:w="20" w:type="dxa"/>
            </w:tcMar>
            <w:vAlign w:val="bottom"/>
          </w:tcPr>
          <w:p w14:paraId="3693DFB7" w14:textId="77777777" w:rsidR="003734EC" w:rsidRDefault="000E364E">
            <w:pPr>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FFFFFF"/>
            <w:tcMar>
              <w:left w:w="20" w:type="dxa"/>
              <w:right w:w="20" w:type="dxa"/>
            </w:tcMar>
            <w:vAlign w:val="bottom"/>
          </w:tcPr>
          <w:p w14:paraId="3693DFB8"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FB9"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DFBA" w14:textId="77777777" w:rsidR="003734EC" w:rsidRDefault="003734EC">
            <w:pPr>
              <w:rPr>
                <w:rFonts w:ascii="宋体"/>
              </w:rPr>
            </w:pPr>
          </w:p>
        </w:tc>
      </w:tr>
      <w:tr w:rsidR="003734EC" w14:paraId="3693DFC0" w14:textId="77777777">
        <w:trPr>
          <w:hidden/>
        </w:trPr>
        <w:tc>
          <w:tcPr>
            <w:tcW w:w="0" w:type="auto"/>
            <w:gridSpan w:val="3"/>
            <w:shd w:val="clear" w:color="auto" w:fill="auto"/>
            <w:vAlign w:val="center"/>
          </w:tcPr>
          <w:p w14:paraId="3693DFBC" w14:textId="77777777" w:rsidR="003734EC" w:rsidRDefault="003734EC">
            <w:pPr>
              <w:rPr>
                <w:rFonts w:ascii="宋体"/>
                <w:vanish/>
              </w:rPr>
            </w:pPr>
          </w:p>
        </w:tc>
        <w:tc>
          <w:tcPr>
            <w:tcW w:w="0" w:type="auto"/>
            <w:gridSpan w:val="3"/>
            <w:shd w:val="clear" w:color="auto" w:fill="auto"/>
            <w:vAlign w:val="center"/>
          </w:tcPr>
          <w:p w14:paraId="3693DFBD" w14:textId="77777777" w:rsidR="003734EC" w:rsidRDefault="003734EC">
            <w:pPr>
              <w:rPr>
                <w:rFonts w:ascii="宋体"/>
                <w:vanish/>
              </w:rPr>
            </w:pPr>
          </w:p>
        </w:tc>
        <w:tc>
          <w:tcPr>
            <w:tcW w:w="0" w:type="auto"/>
            <w:gridSpan w:val="3"/>
            <w:shd w:val="clear" w:color="auto" w:fill="auto"/>
            <w:vAlign w:val="center"/>
          </w:tcPr>
          <w:p w14:paraId="3693DFBE" w14:textId="77777777" w:rsidR="003734EC" w:rsidRDefault="003734EC">
            <w:pPr>
              <w:rPr>
                <w:rFonts w:ascii="宋体"/>
                <w:vanish/>
              </w:rPr>
            </w:pPr>
          </w:p>
        </w:tc>
        <w:tc>
          <w:tcPr>
            <w:tcW w:w="0" w:type="auto"/>
            <w:gridSpan w:val="3"/>
            <w:shd w:val="clear" w:color="auto" w:fill="auto"/>
            <w:vAlign w:val="center"/>
          </w:tcPr>
          <w:p w14:paraId="3693DFBF" w14:textId="77777777" w:rsidR="003734EC" w:rsidRDefault="003734EC">
            <w:pPr>
              <w:rPr>
                <w:rFonts w:ascii="宋体"/>
                <w:vanish/>
              </w:rPr>
            </w:pPr>
          </w:p>
        </w:tc>
      </w:tr>
      <w:tr w:rsidR="003734EC" w14:paraId="3693DFC6" w14:textId="77777777">
        <w:tc>
          <w:tcPr>
            <w:tcW w:w="0" w:type="auto"/>
            <w:gridSpan w:val="3"/>
            <w:shd w:val="clear" w:color="auto" w:fill="E2EFD9"/>
            <w:tcMar>
              <w:top w:w="40" w:type="dxa"/>
              <w:left w:w="20" w:type="dxa"/>
              <w:bottom w:w="40" w:type="dxa"/>
              <w:right w:w="20" w:type="dxa"/>
            </w:tcMar>
            <w:vAlign w:val="bottom"/>
          </w:tcPr>
          <w:p w14:paraId="3693DFC1" w14:textId="77777777" w:rsidR="003734EC" w:rsidRDefault="000E364E">
            <w:pPr>
              <w:textAlignment w:val="bottom"/>
            </w:pPr>
            <w:r>
              <w:rPr>
                <w:rFonts w:ascii="sans-serif" w:eastAsia="sans-serif" w:hAnsi="sans-serif" w:cs="sans-serif"/>
                <w:color w:val="000000"/>
                <w:sz w:val="20"/>
                <w:szCs w:val="20"/>
              </w:rPr>
              <w:t>Shareholders’ equity:</w:t>
            </w:r>
          </w:p>
        </w:tc>
        <w:tc>
          <w:tcPr>
            <w:tcW w:w="0" w:type="auto"/>
            <w:gridSpan w:val="2"/>
            <w:shd w:val="clear" w:color="auto" w:fill="E2EFD9"/>
            <w:tcMar>
              <w:top w:w="40" w:type="dxa"/>
              <w:left w:w="20" w:type="dxa"/>
              <w:bottom w:w="40" w:type="dxa"/>
              <w:right w:w="0" w:type="dxa"/>
            </w:tcMar>
            <w:vAlign w:val="bottom"/>
          </w:tcPr>
          <w:p w14:paraId="3693DFC2"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DFC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C4"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DFC5" w14:textId="77777777" w:rsidR="003734EC" w:rsidRDefault="000E364E">
            <w:pPr>
              <w:textAlignment w:val="bottom"/>
            </w:pPr>
            <w:r>
              <w:rPr>
                <w:rFonts w:ascii="sans-serif" w:eastAsia="sans-serif" w:hAnsi="sans-serif" w:cs="sans-serif"/>
                <w:color w:val="000000"/>
                <w:sz w:val="20"/>
                <w:szCs w:val="20"/>
              </w:rPr>
              <w:t> </w:t>
            </w:r>
          </w:p>
        </w:tc>
      </w:tr>
      <w:tr w:rsidR="003734EC" w14:paraId="3693DFCD" w14:textId="77777777">
        <w:tc>
          <w:tcPr>
            <w:tcW w:w="0" w:type="auto"/>
            <w:gridSpan w:val="3"/>
            <w:shd w:val="clear" w:color="auto" w:fill="FFFFFF"/>
            <w:tcMar>
              <w:top w:w="40" w:type="dxa"/>
              <w:left w:w="225" w:type="dxa"/>
              <w:bottom w:w="40" w:type="dxa"/>
              <w:right w:w="20" w:type="dxa"/>
            </w:tcMar>
            <w:vAlign w:val="bottom"/>
          </w:tcPr>
          <w:p w14:paraId="3693DFC7" w14:textId="77777777" w:rsidR="003734EC" w:rsidRDefault="000E364E">
            <w:pPr>
              <w:textAlignment w:val="bottom"/>
            </w:pPr>
            <w:r>
              <w:rPr>
                <w:rFonts w:ascii="sans-serif" w:eastAsia="sans-serif" w:hAnsi="sans-serif" w:cs="sans-serif"/>
                <w:color w:val="000000"/>
                <w:sz w:val="20"/>
                <w:szCs w:val="20"/>
              </w:rPr>
              <w:t>Preferred stock</w:t>
            </w:r>
          </w:p>
        </w:tc>
        <w:tc>
          <w:tcPr>
            <w:tcW w:w="0" w:type="auto"/>
            <w:gridSpan w:val="2"/>
            <w:shd w:val="clear" w:color="auto" w:fill="FFFFFF"/>
            <w:tcMar>
              <w:top w:w="40" w:type="dxa"/>
              <w:left w:w="20" w:type="dxa"/>
              <w:bottom w:w="40" w:type="dxa"/>
              <w:right w:w="0" w:type="dxa"/>
            </w:tcMar>
            <w:vAlign w:val="bottom"/>
          </w:tcPr>
          <w:p w14:paraId="3693DFC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FC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C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C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DFCC"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D4" w14:textId="77777777">
        <w:tc>
          <w:tcPr>
            <w:tcW w:w="0" w:type="auto"/>
            <w:gridSpan w:val="3"/>
            <w:shd w:val="clear" w:color="auto" w:fill="E2EFD9"/>
            <w:tcMar>
              <w:top w:w="40" w:type="dxa"/>
              <w:left w:w="225" w:type="dxa"/>
              <w:bottom w:w="40" w:type="dxa"/>
              <w:right w:w="20" w:type="dxa"/>
            </w:tcMar>
            <w:vAlign w:val="bottom"/>
          </w:tcPr>
          <w:p w14:paraId="3693DFCE" w14:textId="77777777" w:rsidR="003734EC" w:rsidRDefault="000E364E">
            <w:pPr>
              <w:textAlignment w:val="bottom"/>
            </w:pPr>
            <w:r>
              <w:rPr>
                <w:rFonts w:ascii="sans-serif" w:eastAsia="sans-serif" w:hAnsi="sans-serif" w:cs="sans-serif"/>
                <w:color w:val="000000"/>
                <w:sz w:val="20"/>
                <w:szCs w:val="20"/>
              </w:rPr>
              <w:t>Common stock</w:t>
            </w:r>
          </w:p>
        </w:tc>
        <w:tc>
          <w:tcPr>
            <w:tcW w:w="0" w:type="auto"/>
            <w:gridSpan w:val="2"/>
            <w:shd w:val="clear" w:color="auto" w:fill="E2EFD9"/>
            <w:tcMar>
              <w:top w:w="40" w:type="dxa"/>
              <w:left w:w="20" w:type="dxa"/>
              <w:bottom w:w="40" w:type="dxa"/>
              <w:right w:w="0" w:type="dxa"/>
            </w:tcMar>
            <w:vAlign w:val="bottom"/>
          </w:tcPr>
          <w:p w14:paraId="3693DFCF"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3693DFD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D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D2"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3693DFD3"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DB" w14:textId="77777777">
        <w:tc>
          <w:tcPr>
            <w:tcW w:w="0" w:type="auto"/>
            <w:gridSpan w:val="3"/>
            <w:shd w:val="clear" w:color="auto" w:fill="FFFFFF"/>
            <w:tcMar>
              <w:top w:w="40" w:type="dxa"/>
              <w:left w:w="225" w:type="dxa"/>
              <w:bottom w:w="40" w:type="dxa"/>
              <w:right w:w="20" w:type="dxa"/>
            </w:tcMar>
            <w:vAlign w:val="bottom"/>
          </w:tcPr>
          <w:p w14:paraId="3693DFD5" w14:textId="77777777" w:rsidR="003734EC" w:rsidRDefault="000E364E">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3693DFD6" w14:textId="77777777" w:rsidR="003734EC" w:rsidRDefault="000E364E">
            <w:pPr>
              <w:jc w:val="right"/>
              <w:textAlignment w:val="bottom"/>
            </w:pPr>
            <w:r>
              <w:rPr>
                <w:rFonts w:ascii="sans-serif" w:eastAsia="sans-serif" w:hAnsi="sans-serif" w:cs="sans-serif"/>
                <w:color w:val="000000"/>
                <w:sz w:val="20"/>
                <w:szCs w:val="20"/>
              </w:rPr>
              <w:t>7,354 </w:t>
            </w:r>
          </w:p>
        </w:tc>
        <w:tc>
          <w:tcPr>
            <w:tcW w:w="0" w:type="auto"/>
            <w:shd w:val="clear" w:color="auto" w:fill="FFFFFF"/>
            <w:tcMar>
              <w:top w:w="40" w:type="dxa"/>
              <w:bottom w:w="40" w:type="dxa"/>
              <w:right w:w="20" w:type="dxa"/>
            </w:tcMar>
            <w:vAlign w:val="bottom"/>
          </w:tcPr>
          <w:p w14:paraId="3693DFD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D8"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D9" w14:textId="77777777" w:rsidR="003734EC" w:rsidRDefault="000E364E">
            <w:pPr>
              <w:jc w:val="right"/>
              <w:textAlignment w:val="bottom"/>
            </w:pPr>
            <w:r>
              <w:rPr>
                <w:rFonts w:ascii="sans-serif" w:eastAsia="sans-serif" w:hAnsi="sans-serif" w:cs="sans-serif"/>
                <w:color w:val="000000"/>
                <w:sz w:val="20"/>
                <w:szCs w:val="20"/>
              </w:rPr>
              <w:t>7,045 </w:t>
            </w:r>
          </w:p>
        </w:tc>
        <w:tc>
          <w:tcPr>
            <w:tcW w:w="0" w:type="auto"/>
            <w:shd w:val="clear" w:color="auto" w:fill="FFFFFF"/>
            <w:tcMar>
              <w:top w:w="40" w:type="dxa"/>
              <w:bottom w:w="40" w:type="dxa"/>
              <w:right w:w="20" w:type="dxa"/>
            </w:tcMar>
            <w:vAlign w:val="bottom"/>
          </w:tcPr>
          <w:p w14:paraId="3693DFDA"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E2" w14:textId="77777777">
        <w:tc>
          <w:tcPr>
            <w:tcW w:w="0" w:type="auto"/>
            <w:gridSpan w:val="3"/>
            <w:shd w:val="clear" w:color="auto" w:fill="E2EFD9"/>
            <w:tcMar>
              <w:top w:w="40" w:type="dxa"/>
              <w:left w:w="225" w:type="dxa"/>
              <w:bottom w:w="40" w:type="dxa"/>
              <w:right w:w="20" w:type="dxa"/>
            </w:tcMar>
            <w:vAlign w:val="bottom"/>
          </w:tcPr>
          <w:p w14:paraId="3693DFDC" w14:textId="77777777" w:rsidR="003734EC" w:rsidRDefault="000E364E">
            <w:pPr>
              <w:textAlignment w:val="bottom"/>
            </w:pPr>
            <w:r>
              <w:rPr>
                <w:rFonts w:ascii="sans-serif" w:eastAsia="sans-serif" w:hAnsi="sans-serif" w:cs="sans-serif"/>
                <w:color w:val="000000"/>
                <w:sz w:val="20"/>
                <w:szCs w:val="20"/>
              </w:rPr>
              <w:t>Treasury stock, at cost</w:t>
            </w:r>
          </w:p>
        </w:tc>
        <w:tc>
          <w:tcPr>
            <w:tcW w:w="0" w:type="auto"/>
            <w:gridSpan w:val="2"/>
            <w:shd w:val="clear" w:color="auto" w:fill="E2EFD9"/>
            <w:tcMar>
              <w:top w:w="40" w:type="dxa"/>
              <w:left w:w="20" w:type="dxa"/>
              <w:bottom w:w="40" w:type="dxa"/>
              <w:right w:w="0" w:type="dxa"/>
            </w:tcMar>
            <w:vAlign w:val="bottom"/>
          </w:tcPr>
          <w:p w14:paraId="3693DFDD" w14:textId="77777777" w:rsidR="003734EC" w:rsidRDefault="000E364E">
            <w:pPr>
              <w:jc w:val="right"/>
              <w:textAlignment w:val="bottom"/>
            </w:pPr>
            <w:r>
              <w:rPr>
                <w:rFonts w:ascii="sans-serif" w:eastAsia="sans-serif" w:hAnsi="sans-serif" w:cs="sans-serif"/>
                <w:color w:val="000000"/>
                <w:sz w:val="20"/>
                <w:szCs w:val="20"/>
              </w:rPr>
              <w:t>(10,036)</w:t>
            </w:r>
          </w:p>
        </w:tc>
        <w:tc>
          <w:tcPr>
            <w:tcW w:w="0" w:type="auto"/>
            <w:shd w:val="clear" w:color="auto" w:fill="E2EFD9"/>
            <w:tcMar>
              <w:top w:w="40" w:type="dxa"/>
              <w:bottom w:w="40" w:type="dxa"/>
              <w:right w:w="20" w:type="dxa"/>
            </w:tcMar>
            <w:vAlign w:val="bottom"/>
          </w:tcPr>
          <w:p w14:paraId="3693DF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DF"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E0" w14:textId="77777777" w:rsidR="003734EC" w:rsidRDefault="000E364E">
            <w:pPr>
              <w:jc w:val="right"/>
              <w:textAlignment w:val="bottom"/>
            </w:pPr>
            <w:r>
              <w:rPr>
                <w:rFonts w:ascii="sans-serif" w:eastAsia="sans-serif" w:hAnsi="sans-serif" w:cs="sans-serif"/>
                <w:color w:val="000000"/>
                <w:sz w:val="20"/>
                <w:szCs w:val="20"/>
              </w:rPr>
              <w:t>(9,814)</w:t>
            </w:r>
          </w:p>
        </w:tc>
        <w:tc>
          <w:tcPr>
            <w:tcW w:w="0" w:type="auto"/>
            <w:shd w:val="clear" w:color="auto" w:fill="E2EFD9"/>
            <w:tcMar>
              <w:top w:w="40" w:type="dxa"/>
              <w:bottom w:w="40" w:type="dxa"/>
              <w:right w:w="20" w:type="dxa"/>
            </w:tcMar>
            <w:vAlign w:val="bottom"/>
          </w:tcPr>
          <w:p w14:paraId="3693DFE1"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E9" w14:textId="77777777">
        <w:tc>
          <w:tcPr>
            <w:tcW w:w="0" w:type="auto"/>
            <w:gridSpan w:val="3"/>
            <w:shd w:val="clear" w:color="auto" w:fill="FFFFFF"/>
            <w:tcMar>
              <w:top w:w="40" w:type="dxa"/>
              <w:left w:w="225" w:type="dxa"/>
              <w:bottom w:w="40" w:type="dxa"/>
              <w:right w:w="20" w:type="dxa"/>
            </w:tcMar>
            <w:vAlign w:val="bottom"/>
          </w:tcPr>
          <w:p w14:paraId="3693DFE3" w14:textId="77777777" w:rsidR="003734EC" w:rsidRDefault="000E364E">
            <w:pPr>
              <w:textAlignment w:val="bottom"/>
            </w:pPr>
            <w:r>
              <w:rPr>
                <w:rFonts w:ascii="sans-serif" w:eastAsia="sans-serif" w:hAnsi="sans-serif" w:cs="sans-serif"/>
                <w:color w:val="000000"/>
                <w:sz w:val="20"/>
                <w:szCs w:val="20"/>
              </w:rPr>
              <w:t>Accumulated other comprehensive income (loss)</w:t>
            </w:r>
          </w:p>
        </w:tc>
        <w:tc>
          <w:tcPr>
            <w:tcW w:w="0" w:type="auto"/>
            <w:gridSpan w:val="2"/>
            <w:shd w:val="clear" w:color="auto" w:fill="FFFFFF"/>
            <w:tcMar>
              <w:top w:w="40" w:type="dxa"/>
              <w:left w:w="20" w:type="dxa"/>
              <w:bottom w:w="40" w:type="dxa"/>
              <w:right w:w="0" w:type="dxa"/>
            </w:tcMar>
            <w:vAlign w:val="bottom"/>
          </w:tcPr>
          <w:p w14:paraId="3693DFE4" w14:textId="77777777" w:rsidR="003734EC" w:rsidRDefault="000E364E">
            <w:pPr>
              <w:jc w:val="right"/>
              <w:textAlignment w:val="bottom"/>
            </w:pPr>
            <w:r>
              <w:rPr>
                <w:rFonts w:ascii="sans-serif" w:eastAsia="sans-serif" w:hAnsi="sans-serif" w:cs="sans-serif"/>
                <w:color w:val="000000"/>
                <w:sz w:val="20"/>
                <w:szCs w:val="20"/>
              </w:rPr>
              <w:t>(10)</w:t>
            </w:r>
          </w:p>
        </w:tc>
        <w:tc>
          <w:tcPr>
            <w:tcW w:w="0" w:type="auto"/>
            <w:shd w:val="clear" w:color="auto" w:fill="FFFFFF"/>
            <w:tcMar>
              <w:top w:w="40" w:type="dxa"/>
              <w:bottom w:w="40" w:type="dxa"/>
              <w:right w:w="20" w:type="dxa"/>
            </w:tcMar>
            <w:vAlign w:val="bottom"/>
          </w:tcPr>
          <w:p w14:paraId="3693DFE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E6"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DFE7"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3693DFE8"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F0" w14:textId="77777777">
        <w:tc>
          <w:tcPr>
            <w:tcW w:w="0" w:type="auto"/>
            <w:gridSpan w:val="3"/>
            <w:shd w:val="clear" w:color="auto" w:fill="E2EFD9"/>
            <w:tcMar>
              <w:top w:w="40" w:type="dxa"/>
              <w:left w:w="225" w:type="dxa"/>
              <w:bottom w:w="40" w:type="dxa"/>
              <w:right w:w="20" w:type="dxa"/>
            </w:tcMar>
            <w:vAlign w:val="bottom"/>
          </w:tcPr>
          <w:p w14:paraId="3693DFEA" w14:textId="77777777" w:rsidR="003734EC" w:rsidRDefault="000E364E">
            <w:pPr>
              <w:textAlignment w:val="bottom"/>
            </w:pPr>
            <w:r>
              <w:rPr>
                <w:rFonts w:ascii="sans-serif" w:eastAsia="sans-serif" w:hAnsi="sans-serif" w:cs="sans-serif"/>
                <w:color w:val="000000"/>
                <w:sz w:val="20"/>
                <w:szCs w:val="20"/>
              </w:rPr>
              <w:t xml:space="preserve">Retained </w:t>
            </w:r>
            <w:r>
              <w:rPr>
                <w:rFonts w:ascii="sans-serif" w:eastAsia="sans-serif" w:hAnsi="sans-serif" w:cs="sans-serif"/>
                <w:color w:val="000000"/>
                <w:sz w:val="20"/>
                <w:szCs w:val="20"/>
              </w:rPr>
              <w:t>earnings</w:t>
            </w:r>
          </w:p>
        </w:tc>
        <w:tc>
          <w:tcPr>
            <w:tcW w:w="0" w:type="auto"/>
            <w:gridSpan w:val="2"/>
            <w:shd w:val="clear" w:color="auto" w:fill="E2EFD9"/>
            <w:tcMar>
              <w:top w:w="40" w:type="dxa"/>
              <w:left w:w="20" w:type="dxa"/>
              <w:bottom w:w="40" w:type="dxa"/>
              <w:right w:w="0" w:type="dxa"/>
            </w:tcMar>
            <w:vAlign w:val="bottom"/>
          </w:tcPr>
          <w:p w14:paraId="3693DFEB" w14:textId="77777777" w:rsidR="003734EC" w:rsidRDefault="000E364E">
            <w:pPr>
              <w:jc w:val="right"/>
              <w:textAlignment w:val="bottom"/>
            </w:pPr>
            <w:r>
              <w:rPr>
                <w:rFonts w:ascii="sans-serif" w:eastAsia="sans-serif" w:hAnsi="sans-serif" w:cs="sans-serif"/>
                <w:color w:val="000000"/>
                <w:sz w:val="20"/>
                <w:szCs w:val="20"/>
              </w:rPr>
              <w:t>15,790 </w:t>
            </w:r>
          </w:p>
        </w:tc>
        <w:tc>
          <w:tcPr>
            <w:tcW w:w="0" w:type="auto"/>
            <w:shd w:val="clear" w:color="auto" w:fill="E2EFD9"/>
            <w:tcMar>
              <w:top w:w="40" w:type="dxa"/>
              <w:bottom w:w="40" w:type="dxa"/>
              <w:right w:w="20" w:type="dxa"/>
            </w:tcMar>
            <w:vAlign w:val="bottom"/>
          </w:tcPr>
          <w:p w14:paraId="3693DFE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E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DFEE" w14:textId="77777777" w:rsidR="003734EC" w:rsidRDefault="000E364E">
            <w:pPr>
              <w:jc w:val="right"/>
              <w:textAlignment w:val="bottom"/>
            </w:pPr>
            <w:r>
              <w:rPr>
                <w:rFonts w:ascii="sans-serif" w:eastAsia="sans-serif" w:hAnsi="sans-serif" w:cs="sans-serif"/>
                <w:color w:val="000000"/>
                <w:sz w:val="20"/>
                <w:szCs w:val="20"/>
              </w:rPr>
              <w:t>14,971 </w:t>
            </w:r>
          </w:p>
        </w:tc>
        <w:tc>
          <w:tcPr>
            <w:tcW w:w="0" w:type="auto"/>
            <w:shd w:val="clear" w:color="auto" w:fill="E2EFD9"/>
            <w:tcMar>
              <w:top w:w="40" w:type="dxa"/>
              <w:bottom w:w="40" w:type="dxa"/>
              <w:right w:w="20" w:type="dxa"/>
            </w:tcMar>
            <w:vAlign w:val="bottom"/>
          </w:tcPr>
          <w:p w14:paraId="3693DFEF"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DFF7" w14:textId="77777777">
        <w:tc>
          <w:tcPr>
            <w:tcW w:w="0" w:type="auto"/>
            <w:gridSpan w:val="3"/>
            <w:shd w:val="clear" w:color="auto" w:fill="FFFFFF"/>
            <w:tcMar>
              <w:top w:w="40" w:type="dxa"/>
              <w:left w:w="20" w:type="dxa"/>
              <w:bottom w:w="40" w:type="dxa"/>
              <w:right w:w="20" w:type="dxa"/>
            </w:tcMar>
            <w:vAlign w:val="bottom"/>
          </w:tcPr>
          <w:p w14:paraId="3693DFF1" w14:textId="77777777" w:rsidR="003734EC" w:rsidRDefault="000E364E">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FF2" w14:textId="77777777" w:rsidR="003734EC" w:rsidRDefault="000E364E">
            <w:pPr>
              <w:jc w:val="right"/>
              <w:textAlignment w:val="bottom"/>
            </w:pPr>
            <w:r>
              <w:rPr>
                <w:rFonts w:ascii="sans-serif" w:eastAsia="sans-serif" w:hAnsi="sans-serif" w:cs="sans-serif"/>
                <w:color w:val="000000"/>
                <w:sz w:val="20"/>
                <w:szCs w:val="20"/>
              </w:rPr>
              <w:t>13,099 </w:t>
            </w:r>
          </w:p>
        </w:tc>
        <w:tc>
          <w:tcPr>
            <w:tcW w:w="0" w:type="auto"/>
            <w:tcBorders>
              <w:top w:val="single" w:sz="8" w:space="0" w:color="000000"/>
            </w:tcBorders>
            <w:shd w:val="clear" w:color="auto" w:fill="FFFFFF"/>
            <w:tcMar>
              <w:top w:w="40" w:type="dxa"/>
              <w:bottom w:w="40" w:type="dxa"/>
              <w:right w:w="20" w:type="dxa"/>
            </w:tcMar>
            <w:vAlign w:val="bottom"/>
          </w:tcPr>
          <w:p w14:paraId="3693DFF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DFF4"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DFF5" w14:textId="77777777" w:rsidR="003734EC" w:rsidRDefault="000E364E">
            <w:pPr>
              <w:jc w:val="right"/>
              <w:textAlignment w:val="bottom"/>
            </w:pPr>
            <w:r>
              <w:rPr>
                <w:rFonts w:ascii="sans-serif" w:eastAsia="sans-serif" w:hAnsi="sans-serif" w:cs="sans-serif"/>
                <w:color w:val="000000"/>
                <w:sz w:val="20"/>
                <w:szCs w:val="20"/>
              </w:rPr>
              <w:t>12,204 </w:t>
            </w:r>
          </w:p>
        </w:tc>
        <w:tc>
          <w:tcPr>
            <w:tcW w:w="0" w:type="auto"/>
            <w:tcBorders>
              <w:top w:val="single" w:sz="8" w:space="0" w:color="000000"/>
            </w:tcBorders>
            <w:shd w:val="clear" w:color="auto" w:fill="FFFFFF"/>
            <w:tcMar>
              <w:top w:w="40" w:type="dxa"/>
              <w:bottom w:w="40" w:type="dxa"/>
              <w:right w:w="20" w:type="dxa"/>
            </w:tcMar>
            <w:vAlign w:val="bottom"/>
          </w:tcPr>
          <w:p w14:paraId="3693DFF6"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000" w14:textId="77777777">
        <w:tc>
          <w:tcPr>
            <w:tcW w:w="0" w:type="auto"/>
            <w:gridSpan w:val="3"/>
            <w:shd w:val="clear" w:color="auto" w:fill="E2EFD9"/>
            <w:tcMar>
              <w:top w:w="40" w:type="dxa"/>
              <w:left w:w="20" w:type="dxa"/>
              <w:bottom w:w="40" w:type="dxa"/>
              <w:right w:w="20" w:type="dxa"/>
            </w:tcMar>
            <w:vAlign w:val="bottom"/>
          </w:tcPr>
          <w:p w14:paraId="3693DFF8" w14:textId="77777777" w:rsidR="003734EC" w:rsidRDefault="000E364E">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DFF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DFFA" w14:textId="77777777" w:rsidR="003734EC" w:rsidRDefault="000E364E">
            <w:pPr>
              <w:jc w:val="right"/>
              <w:textAlignment w:val="bottom"/>
            </w:pPr>
            <w:r>
              <w:rPr>
                <w:rFonts w:ascii="sans-serif" w:eastAsia="sans-serif" w:hAnsi="sans-serif" w:cs="sans-serif"/>
                <w:color w:val="000000"/>
                <w:sz w:val="20"/>
                <w:szCs w:val="20"/>
              </w:rPr>
              <w:t>23,254 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DFF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DFFC"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DFF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DFFE" w14:textId="77777777" w:rsidR="003734EC" w:rsidRDefault="000E364E">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DFFF" w14:textId="77777777" w:rsidR="003734EC" w:rsidRDefault="000E364E">
            <w:pPr>
              <w:jc w:val="right"/>
              <w:textAlignment w:val="bottom"/>
            </w:pPr>
            <w:r>
              <w:rPr>
                <w:rFonts w:ascii="sans-serif" w:eastAsia="sans-serif" w:hAnsi="sans-serif" w:cs="sans-serif"/>
                <w:color w:val="000000"/>
                <w:sz w:val="20"/>
                <w:szCs w:val="20"/>
              </w:rPr>
              <w:t> </w:t>
            </w:r>
          </w:p>
        </w:tc>
      </w:tr>
    </w:tbl>
    <w:p w14:paraId="3693E001" w14:textId="77777777" w:rsidR="003734EC" w:rsidRDefault="000E364E">
      <w:pPr>
        <w:spacing w:after="180"/>
        <w:jc w:val="center"/>
      </w:pPr>
      <w:r>
        <w:rPr>
          <w:rFonts w:ascii="sans-serif" w:eastAsia="sans-serif" w:hAnsi="sans-serif" w:cs="sans-serif"/>
          <w:color w:val="000000"/>
          <w:sz w:val="20"/>
          <w:szCs w:val="20"/>
        </w:rPr>
        <w:t>See accompanying Notes to Condensed Consolidated Financial Statements.</w:t>
      </w:r>
    </w:p>
    <w:p w14:paraId="3693E002" w14:textId="77777777" w:rsidR="003734EC" w:rsidRDefault="003734EC">
      <w:pPr>
        <w:spacing w:after="180"/>
        <w:jc w:val="center"/>
      </w:pPr>
    </w:p>
    <w:p w14:paraId="3693E003" w14:textId="77777777" w:rsidR="003734EC" w:rsidRDefault="000E364E">
      <w:pPr>
        <w:spacing w:after="180"/>
        <w:jc w:val="center"/>
      </w:pPr>
      <w:r>
        <w:rPr>
          <w:rFonts w:ascii="sans-serif" w:eastAsia="sans-serif" w:hAnsi="sans-serif" w:cs="sans-serif"/>
          <w:color w:val="000000"/>
          <w:sz w:val="20"/>
          <w:szCs w:val="20"/>
        </w:rPr>
        <w:t>5</w:t>
      </w:r>
    </w:p>
    <w:p w14:paraId="3693E004" w14:textId="77777777" w:rsidR="003734EC" w:rsidRDefault="000E364E">
      <w:r>
        <w:pict w14:anchorId="3693FF4F">
          <v:rect id="_x0000_i1029" style="width:415.3pt;height:1.5pt" o:hralign="center" o:hrstd="t" o:hr="t" fillcolor="#a0a0a0" stroked="f"/>
        </w:pict>
      </w:r>
    </w:p>
    <w:p w14:paraId="3693E005" w14:textId="77777777" w:rsidR="003734EC" w:rsidRDefault="003734EC">
      <w:pPr>
        <w:spacing w:after="180"/>
        <w:jc w:val="both"/>
      </w:pPr>
    </w:p>
    <w:p w14:paraId="3693E006" w14:textId="77777777" w:rsidR="003734EC" w:rsidRDefault="000E364E">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3693E007" w14:textId="77777777" w:rsidR="003734EC" w:rsidRDefault="000E364E">
      <w:pPr>
        <w:jc w:val="center"/>
      </w:pPr>
      <w:r>
        <w:rPr>
          <w:rFonts w:ascii="sans-serif" w:eastAsia="sans-serif" w:hAnsi="sans-serif" w:cs="sans-serif"/>
          <w:b/>
          <w:bCs/>
          <w:color w:val="000000"/>
          <w:sz w:val="20"/>
          <w:szCs w:val="20"/>
        </w:rPr>
        <w:t>CONDENSED CONSOLIDATED STATEMENTS OF SHAREHOLDERS’ EQUITY</w:t>
      </w:r>
    </w:p>
    <w:p w14:paraId="3693E008" w14:textId="77777777" w:rsidR="003734EC" w:rsidRDefault="000E364E">
      <w:pPr>
        <w:jc w:val="center"/>
      </w:pPr>
      <w:r>
        <w:rPr>
          <w:rFonts w:ascii="sans-serif" w:eastAsia="sans-serif" w:hAnsi="sans-serif" w:cs="sans-serif"/>
          <w:b/>
          <w:bCs/>
          <w:color w:val="000000"/>
          <w:sz w:val="20"/>
          <w:szCs w:val="20"/>
        </w:rPr>
        <w:t>FOR THE THREE MONTHS ENDED APRIL 26, 2020 AND APRIL 28, 2019</w:t>
      </w:r>
    </w:p>
    <w:p w14:paraId="3693E009" w14:textId="77777777" w:rsidR="003734EC" w:rsidRDefault="000E364E">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571"/>
        <w:gridCol w:w="37"/>
        <w:gridCol w:w="73"/>
        <w:gridCol w:w="324"/>
        <w:gridCol w:w="73"/>
        <w:gridCol w:w="37"/>
        <w:gridCol w:w="38"/>
        <w:gridCol w:w="41"/>
        <w:gridCol w:w="113"/>
        <w:gridCol w:w="374"/>
        <w:gridCol w:w="86"/>
        <w:gridCol w:w="36"/>
        <w:gridCol w:w="36"/>
        <w:gridCol w:w="41"/>
        <w:gridCol w:w="112"/>
        <w:gridCol w:w="391"/>
        <w:gridCol w:w="69"/>
        <w:gridCol w:w="36"/>
        <w:gridCol w:w="36"/>
        <w:gridCol w:w="41"/>
        <w:gridCol w:w="112"/>
        <w:gridCol w:w="524"/>
        <w:gridCol w:w="69"/>
        <w:gridCol w:w="36"/>
        <w:gridCol w:w="36"/>
        <w:gridCol w:w="41"/>
        <w:gridCol w:w="113"/>
        <w:gridCol w:w="481"/>
        <w:gridCol w:w="69"/>
        <w:gridCol w:w="36"/>
        <w:gridCol w:w="36"/>
        <w:gridCol w:w="41"/>
        <w:gridCol w:w="144"/>
        <w:gridCol w:w="725"/>
        <w:gridCol w:w="143"/>
        <w:gridCol w:w="36"/>
        <w:gridCol w:w="36"/>
        <w:gridCol w:w="41"/>
        <w:gridCol w:w="112"/>
        <w:gridCol w:w="467"/>
        <w:gridCol w:w="69"/>
        <w:gridCol w:w="36"/>
        <w:gridCol w:w="36"/>
        <w:gridCol w:w="36"/>
        <w:gridCol w:w="299"/>
        <w:gridCol w:w="299"/>
        <w:gridCol w:w="299"/>
        <w:gridCol w:w="36"/>
        <w:gridCol w:w="36"/>
        <w:gridCol w:w="36"/>
        <w:gridCol w:w="36"/>
        <w:gridCol w:w="36"/>
        <w:gridCol w:w="36"/>
        <w:gridCol w:w="36"/>
        <w:gridCol w:w="36"/>
        <w:gridCol w:w="36"/>
      </w:tblGrid>
      <w:tr w:rsidR="003734EC" w14:paraId="3693E034" w14:textId="77777777">
        <w:trPr>
          <w:gridAfter w:val="15"/>
          <w:jc w:val="center"/>
        </w:trPr>
        <w:tc>
          <w:tcPr>
            <w:tcW w:w="50" w:type="pct"/>
            <w:shd w:val="clear" w:color="auto" w:fill="auto"/>
            <w:vAlign w:val="center"/>
          </w:tcPr>
          <w:p w14:paraId="3693E00A" w14:textId="77777777" w:rsidR="003734EC" w:rsidRDefault="003734EC">
            <w:pPr>
              <w:rPr>
                <w:rFonts w:ascii="宋体"/>
              </w:rPr>
            </w:pPr>
          </w:p>
        </w:tc>
        <w:tc>
          <w:tcPr>
            <w:tcW w:w="1838" w:type="pct"/>
            <w:shd w:val="clear" w:color="auto" w:fill="auto"/>
            <w:vAlign w:val="center"/>
          </w:tcPr>
          <w:p w14:paraId="3693E00B" w14:textId="77777777" w:rsidR="003734EC" w:rsidRDefault="003734EC">
            <w:pPr>
              <w:rPr>
                <w:rFonts w:ascii="宋体"/>
              </w:rPr>
            </w:pPr>
          </w:p>
        </w:tc>
        <w:tc>
          <w:tcPr>
            <w:tcW w:w="50" w:type="pct"/>
            <w:shd w:val="clear" w:color="auto" w:fill="auto"/>
            <w:vAlign w:val="center"/>
          </w:tcPr>
          <w:p w14:paraId="3693E00C" w14:textId="77777777" w:rsidR="003734EC" w:rsidRDefault="003734EC">
            <w:pPr>
              <w:rPr>
                <w:rFonts w:ascii="宋体"/>
              </w:rPr>
            </w:pPr>
          </w:p>
        </w:tc>
        <w:tc>
          <w:tcPr>
            <w:tcW w:w="50" w:type="pct"/>
            <w:shd w:val="clear" w:color="auto" w:fill="auto"/>
            <w:vAlign w:val="center"/>
          </w:tcPr>
          <w:p w14:paraId="3693E00D" w14:textId="77777777" w:rsidR="003734EC" w:rsidRDefault="003734EC">
            <w:pPr>
              <w:rPr>
                <w:rFonts w:ascii="宋体"/>
              </w:rPr>
            </w:pPr>
          </w:p>
        </w:tc>
        <w:tc>
          <w:tcPr>
            <w:tcW w:w="223" w:type="pct"/>
            <w:shd w:val="clear" w:color="auto" w:fill="auto"/>
            <w:vAlign w:val="center"/>
          </w:tcPr>
          <w:p w14:paraId="3693E00E" w14:textId="77777777" w:rsidR="003734EC" w:rsidRDefault="003734EC">
            <w:pPr>
              <w:rPr>
                <w:rFonts w:ascii="宋体"/>
              </w:rPr>
            </w:pPr>
          </w:p>
        </w:tc>
        <w:tc>
          <w:tcPr>
            <w:tcW w:w="50" w:type="pct"/>
            <w:shd w:val="clear" w:color="auto" w:fill="auto"/>
            <w:vAlign w:val="center"/>
          </w:tcPr>
          <w:p w14:paraId="3693E00F" w14:textId="77777777" w:rsidR="003734EC" w:rsidRDefault="003734EC">
            <w:pPr>
              <w:rPr>
                <w:rFonts w:ascii="宋体"/>
              </w:rPr>
            </w:pPr>
          </w:p>
        </w:tc>
        <w:tc>
          <w:tcPr>
            <w:tcW w:w="5" w:type="pct"/>
            <w:shd w:val="clear" w:color="auto" w:fill="auto"/>
            <w:vAlign w:val="center"/>
          </w:tcPr>
          <w:p w14:paraId="3693E010" w14:textId="77777777" w:rsidR="003734EC" w:rsidRDefault="003734EC">
            <w:pPr>
              <w:rPr>
                <w:rFonts w:ascii="宋体"/>
              </w:rPr>
            </w:pPr>
          </w:p>
        </w:tc>
        <w:tc>
          <w:tcPr>
            <w:tcW w:w="26" w:type="pct"/>
            <w:shd w:val="clear" w:color="auto" w:fill="auto"/>
            <w:vAlign w:val="center"/>
          </w:tcPr>
          <w:p w14:paraId="3693E011" w14:textId="77777777" w:rsidR="003734EC" w:rsidRDefault="003734EC">
            <w:pPr>
              <w:rPr>
                <w:rFonts w:ascii="宋体"/>
              </w:rPr>
            </w:pPr>
          </w:p>
        </w:tc>
        <w:tc>
          <w:tcPr>
            <w:tcW w:w="5" w:type="pct"/>
            <w:shd w:val="clear" w:color="auto" w:fill="auto"/>
            <w:vAlign w:val="center"/>
          </w:tcPr>
          <w:p w14:paraId="3693E012" w14:textId="77777777" w:rsidR="003734EC" w:rsidRDefault="003734EC">
            <w:pPr>
              <w:rPr>
                <w:rFonts w:ascii="宋体"/>
              </w:rPr>
            </w:pPr>
          </w:p>
        </w:tc>
        <w:tc>
          <w:tcPr>
            <w:tcW w:w="50" w:type="pct"/>
            <w:shd w:val="clear" w:color="auto" w:fill="auto"/>
            <w:vAlign w:val="center"/>
          </w:tcPr>
          <w:p w14:paraId="3693E013" w14:textId="77777777" w:rsidR="003734EC" w:rsidRDefault="003734EC">
            <w:pPr>
              <w:rPr>
                <w:rFonts w:ascii="宋体"/>
              </w:rPr>
            </w:pPr>
          </w:p>
        </w:tc>
        <w:tc>
          <w:tcPr>
            <w:tcW w:w="215" w:type="pct"/>
            <w:shd w:val="clear" w:color="auto" w:fill="auto"/>
            <w:vAlign w:val="center"/>
          </w:tcPr>
          <w:p w14:paraId="3693E014" w14:textId="77777777" w:rsidR="003734EC" w:rsidRDefault="003734EC">
            <w:pPr>
              <w:rPr>
                <w:rFonts w:ascii="宋体"/>
              </w:rPr>
            </w:pPr>
          </w:p>
        </w:tc>
        <w:tc>
          <w:tcPr>
            <w:tcW w:w="50" w:type="pct"/>
            <w:shd w:val="clear" w:color="auto" w:fill="auto"/>
            <w:vAlign w:val="center"/>
          </w:tcPr>
          <w:p w14:paraId="3693E015" w14:textId="77777777" w:rsidR="003734EC" w:rsidRDefault="003734EC">
            <w:pPr>
              <w:rPr>
                <w:rFonts w:ascii="宋体"/>
              </w:rPr>
            </w:pPr>
          </w:p>
        </w:tc>
        <w:tc>
          <w:tcPr>
            <w:tcW w:w="5" w:type="pct"/>
            <w:shd w:val="clear" w:color="auto" w:fill="auto"/>
            <w:vAlign w:val="center"/>
          </w:tcPr>
          <w:p w14:paraId="3693E016" w14:textId="77777777" w:rsidR="003734EC" w:rsidRDefault="003734EC">
            <w:pPr>
              <w:rPr>
                <w:rFonts w:ascii="宋体"/>
              </w:rPr>
            </w:pPr>
          </w:p>
        </w:tc>
        <w:tc>
          <w:tcPr>
            <w:tcW w:w="26" w:type="pct"/>
            <w:shd w:val="clear" w:color="auto" w:fill="auto"/>
            <w:vAlign w:val="center"/>
          </w:tcPr>
          <w:p w14:paraId="3693E017" w14:textId="77777777" w:rsidR="003734EC" w:rsidRDefault="003734EC">
            <w:pPr>
              <w:rPr>
                <w:rFonts w:ascii="宋体"/>
              </w:rPr>
            </w:pPr>
          </w:p>
        </w:tc>
        <w:tc>
          <w:tcPr>
            <w:tcW w:w="5" w:type="pct"/>
            <w:shd w:val="clear" w:color="auto" w:fill="auto"/>
            <w:vAlign w:val="center"/>
          </w:tcPr>
          <w:p w14:paraId="3693E018" w14:textId="77777777" w:rsidR="003734EC" w:rsidRDefault="003734EC">
            <w:pPr>
              <w:rPr>
                <w:rFonts w:ascii="宋体"/>
              </w:rPr>
            </w:pPr>
          </w:p>
        </w:tc>
        <w:tc>
          <w:tcPr>
            <w:tcW w:w="50" w:type="pct"/>
            <w:shd w:val="clear" w:color="auto" w:fill="auto"/>
            <w:vAlign w:val="center"/>
          </w:tcPr>
          <w:p w14:paraId="3693E019" w14:textId="77777777" w:rsidR="003734EC" w:rsidRDefault="003734EC">
            <w:pPr>
              <w:rPr>
                <w:rFonts w:ascii="宋体"/>
              </w:rPr>
            </w:pPr>
          </w:p>
        </w:tc>
        <w:tc>
          <w:tcPr>
            <w:tcW w:w="289" w:type="pct"/>
            <w:shd w:val="clear" w:color="auto" w:fill="auto"/>
            <w:vAlign w:val="center"/>
          </w:tcPr>
          <w:p w14:paraId="3693E01A" w14:textId="77777777" w:rsidR="003734EC" w:rsidRDefault="003734EC">
            <w:pPr>
              <w:rPr>
                <w:rFonts w:ascii="宋体"/>
              </w:rPr>
            </w:pPr>
          </w:p>
        </w:tc>
        <w:tc>
          <w:tcPr>
            <w:tcW w:w="50" w:type="pct"/>
            <w:shd w:val="clear" w:color="auto" w:fill="auto"/>
            <w:vAlign w:val="center"/>
          </w:tcPr>
          <w:p w14:paraId="3693E01B" w14:textId="77777777" w:rsidR="003734EC" w:rsidRDefault="003734EC">
            <w:pPr>
              <w:rPr>
                <w:rFonts w:ascii="宋体"/>
              </w:rPr>
            </w:pPr>
          </w:p>
        </w:tc>
        <w:tc>
          <w:tcPr>
            <w:tcW w:w="5" w:type="pct"/>
            <w:shd w:val="clear" w:color="auto" w:fill="auto"/>
            <w:vAlign w:val="center"/>
          </w:tcPr>
          <w:p w14:paraId="3693E01C" w14:textId="77777777" w:rsidR="003734EC" w:rsidRDefault="003734EC">
            <w:pPr>
              <w:rPr>
                <w:rFonts w:ascii="宋体"/>
              </w:rPr>
            </w:pPr>
          </w:p>
        </w:tc>
        <w:tc>
          <w:tcPr>
            <w:tcW w:w="26" w:type="pct"/>
            <w:shd w:val="clear" w:color="auto" w:fill="auto"/>
            <w:vAlign w:val="center"/>
          </w:tcPr>
          <w:p w14:paraId="3693E01D" w14:textId="77777777" w:rsidR="003734EC" w:rsidRDefault="003734EC">
            <w:pPr>
              <w:rPr>
                <w:rFonts w:ascii="宋体"/>
              </w:rPr>
            </w:pPr>
          </w:p>
        </w:tc>
        <w:tc>
          <w:tcPr>
            <w:tcW w:w="5" w:type="pct"/>
            <w:shd w:val="clear" w:color="auto" w:fill="auto"/>
            <w:vAlign w:val="center"/>
          </w:tcPr>
          <w:p w14:paraId="3693E01E" w14:textId="77777777" w:rsidR="003734EC" w:rsidRDefault="003734EC">
            <w:pPr>
              <w:rPr>
                <w:rFonts w:ascii="宋体"/>
              </w:rPr>
            </w:pPr>
          </w:p>
        </w:tc>
        <w:tc>
          <w:tcPr>
            <w:tcW w:w="50" w:type="pct"/>
            <w:shd w:val="clear" w:color="auto" w:fill="auto"/>
            <w:vAlign w:val="center"/>
          </w:tcPr>
          <w:p w14:paraId="3693E01F" w14:textId="77777777" w:rsidR="003734EC" w:rsidRDefault="003734EC">
            <w:pPr>
              <w:rPr>
                <w:rFonts w:ascii="宋体"/>
              </w:rPr>
            </w:pPr>
          </w:p>
        </w:tc>
        <w:tc>
          <w:tcPr>
            <w:tcW w:w="259" w:type="pct"/>
            <w:shd w:val="clear" w:color="auto" w:fill="auto"/>
            <w:vAlign w:val="center"/>
          </w:tcPr>
          <w:p w14:paraId="3693E020" w14:textId="77777777" w:rsidR="003734EC" w:rsidRDefault="003734EC">
            <w:pPr>
              <w:rPr>
                <w:rFonts w:ascii="宋体"/>
              </w:rPr>
            </w:pPr>
          </w:p>
        </w:tc>
        <w:tc>
          <w:tcPr>
            <w:tcW w:w="50" w:type="pct"/>
            <w:shd w:val="clear" w:color="auto" w:fill="auto"/>
            <w:vAlign w:val="center"/>
          </w:tcPr>
          <w:p w14:paraId="3693E021" w14:textId="77777777" w:rsidR="003734EC" w:rsidRDefault="003734EC">
            <w:pPr>
              <w:rPr>
                <w:rFonts w:ascii="宋体"/>
              </w:rPr>
            </w:pPr>
          </w:p>
        </w:tc>
        <w:tc>
          <w:tcPr>
            <w:tcW w:w="5" w:type="pct"/>
            <w:shd w:val="clear" w:color="auto" w:fill="auto"/>
            <w:vAlign w:val="center"/>
          </w:tcPr>
          <w:p w14:paraId="3693E022" w14:textId="77777777" w:rsidR="003734EC" w:rsidRDefault="003734EC">
            <w:pPr>
              <w:rPr>
                <w:rFonts w:ascii="宋体"/>
              </w:rPr>
            </w:pPr>
          </w:p>
        </w:tc>
        <w:tc>
          <w:tcPr>
            <w:tcW w:w="26" w:type="pct"/>
            <w:shd w:val="clear" w:color="auto" w:fill="auto"/>
            <w:vAlign w:val="center"/>
          </w:tcPr>
          <w:p w14:paraId="3693E023" w14:textId="77777777" w:rsidR="003734EC" w:rsidRDefault="003734EC">
            <w:pPr>
              <w:rPr>
                <w:rFonts w:ascii="宋体"/>
              </w:rPr>
            </w:pPr>
          </w:p>
        </w:tc>
        <w:tc>
          <w:tcPr>
            <w:tcW w:w="5" w:type="pct"/>
            <w:shd w:val="clear" w:color="auto" w:fill="auto"/>
            <w:vAlign w:val="center"/>
          </w:tcPr>
          <w:p w14:paraId="3693E024" w14:textId="77777777" w:rsidR="003734EC" w:rsidRDefault="003734EC">
            <w:pPr>
              <w:rPr>
                <w:rFonts w:ascii="宋体"/>
              </w:rPr>
            </w:pPr>
          </w:p>
        </w:tc>
        <w:tc>
          <w:tcPr>
            <w:tcW w:w="50" w:type="pct"/>
            <w:shd w:val="clear" w:color="auto" w:fill="auto"/>
            <w:vAlign w:val="center"/>
          </w:tcPr>
          <w:p w14:paraId="3693E025" w14:textId="77777777" w:rsidR="003734EC" w:rsidRDefault="003734EC">
            <w:pPr>
              <w:rPr>
                <w:rFonts w:ascii="宋体"/>
              </w:rPr>
            </w:pPr>
          </w:p>
        </w:tc>
        <w:tc>
          <w:tcPr>
            <w:tcW w:w="480" w:type="pct"/>
            <w:shd w:val="clear" w:color="auto" w:fill="auto"/>
            <w:vAlign w:val="center"/>
          </w:tcPr>
          <w:p w14:paraId="3693E026" w14:textId="77777777" w:rsidR="003734EC" w:rsidRDefault="003734EC">
            <w:pPr>
              <w:rPr>
                <w:rFonts w:ascii="宋体"/>
              </w:rPr>
            </w:pPr>
          </w:p>
        </w:tc>
        <w:tc>
          <w:tcPr>
            <w:tcW w:w="50" w:type="pct"/>
            <w:shd w:val="clear" w:color="auto" w:fill="auto"/>
            <w:vAlign w:val="center"/>
          </w:tcPr>
          <w:p w14:paraId="3693E027" w14:textId="77777777" w:rsidR="003734EC" w:rsidRDefault="003734EC">
            <w:pPr>
              <w:rPr>
                <w:rFonts w:ascii="宋体"/>
              </w:rPr>
            </w:pPr>
          </w:p>
        </w:tc>
        <w:tc>
          <w:tcPr>
            <w:tcW w:w="5" w:type="pct"/>
            <w:shd w:val="clear" w:color="auto" w:fill="auto"/>
            <w:vAlign w:val="center"/>
          </w:tcPr>
          <w:p w14:paraId="3693E028" w14:textId="77777777" w:rsidR="003734EC" w:rsidRDefault="003734EC">
            <w:pPr>
              <w:rPr>
                <w:rFonts w:ascii="宋体"/>
              </w:rPr>
            </w:pPr>
          </w:p>
        </w:tc>
        <w:tc>
          <w:tcPr>
            <w:tcW w:w="26" w:type="pct"/>
            <w:shd w:val="clear" w:color="auto" w:fill="auto"/>
            <w:vAlign w:val="center"/>
          </w:tcPr>
          <w:p w14:paraId="3693E029" w14:textId="77777777" w:rsidR="003734EC" w:rsidRDefault="003734EC">
            <w:pPr>
              <w:rPr>
                <w:rFonts w:ascii="宋体"/>
              </w:rPr>
            </w:pPr>
          </w:p>
        </w:tc>
        <w:tc>
          <w:tcPr>
            <w:tcW w:w="5" w:type="pct"/>
            <w:shd w:val="clear" w:color="auto" w:fill="auto"/>
            <w:vAlign w:val="center"/>
          </w:tcPr>
          <w:p w14:paraId="3693E02A" w14:textId="77777777" w:rsidR="003734EC" w:rsidRDefault="003734EC">
            <w:pPr>
              <w:rPr>
                <w:rFonts w:ascii="宋体"/>
              </w:rPr>
            </w:pPr>
          </w:p>
        </w:tc>
        <w:tc>
          <w:tcPr>
            <w:tcW w:w="50" w:type="pct"/>
            <w:shd w:val="clear" w:color="auto" w:fill="auto"/>
            <w:vAlign w:val="center"/>
          </w:tcPr>
          <w:p w14:paraId="3693E02B" w14:textId="77777777" w:rsidR="003734EC" w:rsidRDefault="003734EC">
            <w:pPr>
              <w:rPr>
                <w:rFonts w:ascii="宋体"/>
              </w:rPr>
            </w:pPr>
          </w:p>
        </w:tc>
        <w:tc>
          <w:tcPr>
            <w:tcW w:w="252" w:type="pct"/>
            <w:shd w:val="clear" w:color="auto" w:fill="auto"/>
            <w:vAlign w:val="center"/>
          </w:tcPr>
          <w:p w14:paraId="3693E02C" w14:textId="77777777" w:rsidR="003734EC" w:rsidRDefault="003734EC">
            <w:pPr>
              <w:rPr>
                <w:rFonts w:ascii="宋体"/>
              </w:rPr>
            </w:pPr>
          </w:p>
        </w:tc>
        <w:tc>
          <w:tcPr>
            <w:tcW w:w="50" w:type="pct"/>
            <w:shd w:val="clear" w:color="auto" w:fill="auto"/>
            <w:vAlign w:val="center"/>
          </w:tcPr>
          <w:p w14:paraId="3693E02D" w14:textId="77777777" w:rsidR="003734EC" w:rsidRDefault="003734EC">
            <w:pPr>
              <w:rPr>
                <w:rFonts w:ascii="宋体"/>
              </w:rPr>
            </w:pPr>
          </w:p>
        </w:tc>
        <w:tc>
          <w:tcPr>
            <w:tcW w:w="5" w:type="pct"/>
            <w:shd w:val="clear" w:color="auto" w:fill="auto"/>
            <w:vAlign w:val="center"/>
          </w:tcPr>
          <w:p w14:paraId="3693E02E" w14:textId="77777777" w:rsidR="003734EC" w:rsidRDefault="003734EC">
            <w:pPr>
              <w:rPr>
                <w:rFonts w:ascii="宋体"/>
              </w:rPr>
            </w:pPr>
          </w:p>
        </w:tc>
        <w:tc>
          <w:tcPr>
            <w:tcW w:w="26" w:type="pct"/>
            <w:shd w:val="clear" w:color="auto" w:fill="auto"/>
            <w:vAlign w:val="center"/>
          </w:tcPr>
          <w:p w14:paraId="3693E02F" w14:textId="77777777" w:rsidR="003734EC" w:rsidRDefault="003734EC">
            <w:pPr>
              <w:rPr>
                <w:rFonts w:ascii="宋体"/>
              </w:rPr>
            </w:pPr>
          </w:p>
        </w:tc>
        <w:tc>
          <w:tcPr>
            <w:tcW w:w="5" w:type="pct"/>
            <w:shd w:val="clear" w:color="auto" w:fill="auto"/>
            <w:vAlign w:val="center"/>
          </w:tcPr>
          <w:p w14:paraId="3693E030" w14:textId="77777777" w:rsidR="003734EC" w:rsidRDefault="003734EC">
            <w:pPr>
              <w:rPr>
                <w:rFonts w:ascii="宋体"/>
              </w:rPr>
            </w:pPr>
          </w:p>
        </w:tc>
        <w:tc>
          <w:tcPr>
            <w:tcW w:w="50" w:type="pct"/>
            <w:shd w:val="clear" w:color="auto" w:fill="auto"/>
            <w:vAlign w:val="center"/>
          </w:tcPr>
          <w:p w14:paraId="3693E031" w14:textId="77777777" w:rsidR="003734EC" w:rsidRDefault="003734EC">
            <w:pPr>
              <w:rPr>
                <w:rFonts w:ascii="宋体"/>
              </w:rPr>
            </w:pPr>
          </w:p>
        </w:tc>
        <w:tc>
          <w:tcPr>
            <w:tcW w:w="421" w:type="pct"/>
            <w:shd w:val="clear" w:color="auto" w:fill="auto"/>
            <w:vAlign w:val="center"/>
          </w:tcPr>
          <w:p w14:paraId="3693E032" w14:textId="77777777" w:rsidR="003734EC" w:rsidRDefault="003734EC">
            <w:pPr>
              <w:rPr>
                <w:rFonts w:ascii="宋体"/>
              </w:rPr>
            </w:pPr>
          </w:p>
        </w:tc>
        <w:tc>
          <w:tcPr>
            <w:tcW w:w="50" w:type="pct"/>
            <w:shd w:val="clear" w:color="auto" w:fill="auto"/>
            <w:vAlign w:val="center"/>
          </w:tcPr>
          <w:p w14:paraId="3693E033" w14:textId="77777777" w:rsidR="003734EC" w:rsidRDefault="003734EC">
            <w:pPr>
              <w:rPr>
                <w:rFonts w:ascii="宋体"/>
              </w:rPr>
            </w:pPr>
          </w:p>
        </w:tc>
      </w:tr>
      <w:tr w:rsidR="003734EC" w14:paraId="3693E044" w14:textId="77777777">
        <w:trPr>
          <w:gridAfter w:val="9"/>
          <w:jc w:val="center"/>
        </w:trPr>
        <w:tc>
          <w:tcPr>
            <w:tcW w:w="0" w:type="auto"/>
            <w:gridSpan w:val="3"/>
            <w:shd w:val="clear" w:color="auto" w:fill="auto"/>
            <w:tcMar>
              <w:left w:w="20" w:type="dxa"/>
              <w:right w:w="20" w:type="dxa"/>
            </w:tcMar>
            <w:vAlign w:val="bottom"/>
          </w:tcPr>
          <w:p w14:paraId="3693E035" w14:textId="77777777" w:rsidR="003734EC" w:rsidRDefault="003734EC">
            <w:pPr>
              <w:rPr>
                <w:rFonts w:ascii="宋体"/>
              </w:rPr>
            </w:pPr>
          </w:p>
        </w:tc>
        <w:tc>
          <w:tcPr>
            <w:tcW w:w="0" w:type="auto"/>
            <w:gridSpan w:val="9"/>
            <w:shd w:val="clear" w:color="auto" w:fill="auto"/>
            <w:tcMar>
              <w:top w:w="40" w:type="dxa"/>
              <w:left w:w="20" w:type="dxa"/>
              <w:bottom w:w="40" w:type="dxa"/>
              <w:right w:w="20" w:type="dxa"/>
            </w:tcMar>
            <w:vAlign w:val="bottom"/>
          </w:tcPr>
          <w:p w14:paraId="3693E036" w14:textId="77777777" w:rsidR="003734EC" w:rsidRDefault="000E364E">
            <w:pPr>
              <w:jc w:val="center"/>
              <w:textAlignment w:val="bottom"/>
            </w:pPr>
            <w:r>
              <w:rPr>
                <w:rFonts w:ascii="sans-serif" w:eastAsia="sans-serif" w:hAnsi="sans-serif" w:cs="sans-serif"/>
                <w:b/>
                <w:bCs/>
                <w:color w:val="000000"/>
                <w:sz w:val="15"/>
                <w:szCs w:val="15"/>
              </w:rPr>
              <w:t>Common Stock</w:t>
            </w:r>
          </w:p>
          <w:p w14:paraId="3693E037" w14:textId="77777777" w:rsidR="003734EC" w:rsidRDefault="000E364E">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vAlign w:val="center"/>
          </w:tcPr>
          <w:p w14:paraId="3693E038" w14:textId="77777777" w:rsidR="003734EC" w:rsidRDefault="003734EC">
            <w:pPr>
              <w:rPr>
                <w:rFonts w:ascii="宋体"/>
                <w:vanish/>
              </w:rPr>
            </w:pPr>
          </w:p>
        </w:tc>
        <w:tc>
          <w:tcPr>
            <w:tcW w:w="0" w:type="auto"/>
            <w:gridSpan w:val="3"/>
            <w:shd w:val="clear" w:color="auto" w:fill="auto"/>
            <w:vAlign w:val="center"/>
          </w:tcPr>
          <w:p w14:paraId="3693E039"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03A" w14:textId="77777777" w:rsidR="003734EC" w:rsidRDefault="003734E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93E03B" w14:textId="77777777" w:rsidR="003734EC" w:rsidRDefault="000E364E">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left w:w="20" w:type="dxa"/>
              <w:right w:w="20" w:type="dxa"/>
            </w:tcMar>
            <w:vAlign w:val="bottom"/>
          </w:tcPr>
          <w:p w14:paraId="3693E03C" w14:textId="77777777" w:rsidR="003734EC" w:rsidRDefault="003734E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93E03D" w14:textId="77777777" w:rsidR="003734EC" w:rsidRDefault="000E364E">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left w:w="20" w:type="dxa"/>
              <w:right w:w="20" w:type="dxa"/>
            </w:tcMar>
            <w:vAlign w:val="bottom"/>
          </w:tcPr>
          <w:p w14:paraId="3693E03E" w14:textId="77777777" w:rsidR="003734EC" w:rsidRDefault="003734E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93E03F" w14:textId="77777777" w:rsidR="003734EC" w:rsidRDefault="000E364E">
            <w:pPr>
              <w:jc w:val="center"/>
              <w:textAlignment w:val="bottom"/>
            </w:pPr>
            <w:r>
              <w:rPr>
                <w:rFonts w:ascii="sans-serif" w:eastAsia="sans-serif" w:hAnsi="sans-serif" w:cs="sans-serif"/>
                <w:b/>
                <w:bCs/>
                <w:color w:val="000000"/>
                <w:sz w:val="15"/>
                <w:szCs w:val="15"/>
              </w:rPr>
              <w:t>Accumulated Other Comprehensive Loss</w:t>
            </w:r>
          </w:p>
        </w:tc>
        <w:tc>
          <w:tcPr>
            <w:tcW w:w="0" w:type="auto"/>
            <w:gridSpan w:val="3"/>
            <w:shd w:val="clear" w:color="auto" w:fill="auto"/>
            <w:tcMar>
              <w:left w:w="20" w:type="dxa"/>
              <w:right w:w="20" w:type="dxa"/>
            </w:tcMar>
            <w:vAlign w:val="bottom"/>
          </w:tcPr>
          <w:p w14:paraId="3693E040" w14:textId="77777777" w:rsidR="003734EC" w:rsidRDefault="003734E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93E041" w14:textId="77777777" w:rsidR="003734EC" w:rsidRDefault="000E364E">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left w:w="20" w:type="dxa"/>
              <w:right w:w="20" w:type="dxa"/>
            </w:tcMar>
            <w:vAlign w:val="bottom"/>
          </w:tcPr>
          <w:p w14:paraId="3693E042" w14:textId="77777777" w:rsidR="003734EC" w:rsidRDefault="003734E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93E043" w14:textId="77777777" w:rsidR="003734EC" w:rsidRDefault="000E364E">
            <w:pPr>
              <w:jc w:val="center"/>
              <w:textAlignment w:val="bottom"/>
            </w:pPr>
            <w:r>
              <w:rPr>
                <w:rFonts w:ascii="sans-serif" w:eastAsia="sans-serif" w:hAnsi="sans-serif" w:cs="sans-serif"/>
                <w:b/>
                <w:bCs/>
                <w:color w:val="000000"/>
                <w:sz w:val="15"/>
                <w:szCs w:val="15"/>
              </w:rPr>
              <w:t>Total Shareholders' Equity</w:t>
            </w:r>
          </w:p>
        </w:tc>
      </w:tr>
      <w:tr w:rsidR="003734EC" w14:paraId="3693E058" w14:textId="77777777">
        <w:trPr>
          <w:jc w:val="center"/>
        </w:trPr>
        <w:tc>
          <w:tcPr>
            <w:tcW w:w="0" w:type="auto"/>
            <w:gridSpan w:val="3"/>
            <w:shd w:val="clear" w:color="auto" w:fill="auto"/>
            <w:tcMar>
              <w:top w:w="40" w:type="dxa"/>
              <w:left w:w="20" w:type="dxa"/>
              <w:bottom w:w="40" w:type="dxa"/>
              <w:right w:w="20" w:type="dxa"/>
            </w:tcMar>
            <w:vAlign w:val="bottom"/>
          </w:tcPr>
          <w:p w14:paraId="3693E045" w14:textId="77777777" w:rsidR="003734EC" w:rsidRDefault="000E364E">
            <w:pPr>
              <w:textAlignment w:val="bottom"/>
            </w:pPr>
            <w:r>
              <w:rPr>
                <w:rFonts w:ascii="sans-serif" w:eastAsia="sans-serif" w:hAnsi="sans-serif" w:cs="sans-serif"/>
                <w:b/>
                <w:bCs/>
                <w:color w:val="000000"/>
                <w:sz w:val="15"/>
                <w:szCs w:val="15"/>
              </w:rPr>
              <w:t>(</w:t>
            </w: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3693E046" w14:textId="77777777" w:rsidR="003734EC" w:rsidRDefault="000E364E">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left w:w="20" w:type="dxa"/>
              <w:right w:w="20" w:type="dxa"/>
            </w:tcMar>
            <w:vAlign w:val="bottom"/>
          </w:tcPr>
          <w:p w14:paraId="3693E047"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048" w14:textId="77777777" w:rsidR="003734EC" w:rsidRDefault="000E364E">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left w:w="20" w:type="dxa"/>
              <w:right w:w="20" w:type="dxa"/>
            </w:tcMar>
            <w:vAlign w:val="bottom"/>
          </w:tcPr>
          <w:p w14:paraId="3693E049" w14:textId="77777777" w:rsidR="003734EC" w:rsidRDefault="003734EC">
            <w:pPr>
              <w:rPr>
                <w:rFonts w:ascii="宋体"/>
              </w:rPr>
            </w:pPr>
          </w:p>
        </w:tc>
        <w:tc>
          <w:tcPr>
            <w:tcW w:w="0" w:type="auto"/>
            <w:gridSpan w:val="3"/>
            <w:shd w:val="clear" w:color="auto" w:fill="auto"/>
            <w:vAlign w:val="center"/>
          </w:tcPr>
          <w:p w14:paraId="3693E04A"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04B" w14:textId="77777777" w:rsidR="003734EC" w:rsidRDefault="003734EC">
            <w:pPr>
              <w:rPr>
                <w:rFonts w:ascii="宋体"/>
              </w:rPr>
            </w:pPr>
          </w:p>
        </w:tc>
        <w:tc>
          <w:tcPr>
            <w:tcW w:w="0" w:type="auto"/>
            <w:gridSpan w:val="3"/>
            <w:vMerge/>
            <w:shd w:val="clear" w:color="auto" w:fill="auto"/>
            <w:tcMar>
              <w:top w:w="40" w:type="dxa"/>
              <w:left w:w="20" w:type="dxa"/>
              <w:bottom w:w="40" w:type="dxa"/>
              <w:right w:w="20" w:type="dxa"/>
            </w:tcMar>
            <w:vAlign w:val="bottom"/>
          </w:tcPr>
          <w:p w14:paraId="3693E04C" w14:textId="77777777" w:rsidR="003734EC" w:rsidRDefault="003734EC">
            <w:pPr>
              <w:jc w:val="center"/>
              <w:rPr>
                <w:rFonts w:ascii="宋体"/>
              </w:rPr>
            </w:pPr>
          </w:p>
        </w:tc>
        <w:tc>
          <w:tcPr>
            <w:tcW w:w="0" w:type="auto"/>
            <w:gridSpan w:val="3"/>
            <w:shd w:val="clear" w:color="auto" w:fill="auto"/>
            <w:vAlign w:val="center"/>
          </w:tcPr>
          <w:p w14:paraId="3693E04D" w14:textId="77777777" w:rsidR="003734EC" w:rsidRDefault="003734EC">
            <w:pPr>
              <w:rPr>
                <w:rFonts w:ascii="宋体"/>
                <w:vanish/>
              </w:rPr>
            </w:pPr>
          </w:p>
        </w:tc>
        <w:tc>
          <w:tcPr>
            <w:tcW w:w="0" w:type="auto"/>
            <w:gridSpan w:val="3"/>
            <w:vMerge/>
            <w:shd w:val="clear" w:color="auto" w:fill="auto"/>
            <w:tcMar>
              <w:top w:w="40" w:type="dxa"/>
              <w:left w:w="20" w:type="dxa"/>
              <w:bottom w:w="40" w:type="dxa"/>
              <w:right w:w="20" w:type="dxa"/>
            </w:tcMar>
            <w:vAlign w:val="bottom"/>
          </w:tcPr>
          <w:p w14:paraId="3693E04E"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04F" w14:textId="77777777" w:rsidR="003734EC" w:rsidRDefault="003734EC">
            <w:pPr>
              <w:rPr>
                <w:rFonts w:ascii="宋体"/>
              </w:rPr>
            </w:pPr>
          </w:p>
        </w:tc>
        <w:tc>
          <w:tcPr>
            <w:tcW w:w="0" w:type="auto"/>
            <w:gridSpan w:val="3"/>
            <w:vMerge/>
            <w:shd w:val="clear" w:color="auto" w:fill="auto"/>
            <w:tcMar>
              <w:top w:w="40" w:type="dxa"/>
              <w:left w:w="20" w:type="dxa"/>
              <w:bottom w:w="40" w:type="dxa"/>
              <w:right w:w="20" w:type="dxa"/>
            </w:tcMar>
            <w:vAlign w:val="bottom"/>
          </w:tcPr>
          <w:p w14:paraId="3693E050" w14:textId="77777777" w:rsidR="003734EC" w:rsidRDefault="003734EC">
            <w:pPr>
              <w:jc w:val="center"/>
              <w:rPr>
                <w:rFonts w:ascii="宋体"/>
              </w:rPr>
            </w:pPr>
          </w:p>
        </w:tc>
        <w:tc>
          <w:tcPr>
            <w:tcW w:w="0" w:type="auto"/>
            <w:gridSpan w:val="3"/>
            <w:shd w:val="clear" w:color="auto" w:fill="auto"/>
            <w:vAlign w:val="center"/>
          </w:tcPr>
          <w:p w14:paraId="3693E051" w14:textId="77777777" w:rsidR="003734EC" w:rsidRDefault="003734EC">
            <w:pPr>
              <w:rPr>
                <w:rFonts w:ascii="宋体"/>
                <w:vanish/>
              </w:rPr>
            </w:pPr>
          </w:p>
        </w:tc>
        <w:tc>
          <w:tcPr>
            <w:tcW w:w="0" w:type="auto"/>
            <w:gridSpan w:val="3"/>
            <w:vMerge/>
            <w:shd w:val="clear" w:color="auto" w:fill="auto"/>
            <w:tcMar>
              <w:top w:w="40" w:type="dxa"/>
              <w:left w:w="20" w:type="dxa"/>
              <w:bottom w:w="40" w:type="dxa"/>
              <w:right w:w="20" w:type="dxa"/>
            </w:tcMar>
            <w:vAlign w:val="bottom"/>
          </w:tcPr>
          <w:p w14:paraId="3693E052"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053" w14:textId="77777777" w:rsidR="003734EC" w:rsidRDefault="003734EC">
            <w:pPr>
              <w:rPr>
                <w:rFonts w:ascii="宋体"/>
              </w:rPr>
            </w:pPr>
          </w:p>
        </w:tc>
        <w:tc>
          <w:tcPr>
            <w:tcW w:w="0" w:type="auto"/>
            <w:gridSpan w:val="3"/>
            <w:vMerge/>
            <w:shd w:val="clear" w:color="auto" w:fill="auto"/>
            <w:tcMar>
              <w:top w:w="40" w:type="dxa"/>
              <w:left w:w="20" w:type="dxa"/>
              <w:bottom w:w="40" w:type="dxa"/>
              <w:right w:w="20" w:type="dxa"/>
            </w:tcMar>
            <w:vAlign w:val="bottom"/>
          </w:tcPr>
          <w:p w14:paraId="3693E054" w14:textId="77777777" w:rsidR="003734EC" w:rsidRDefault="003734EC">
            <w:pPr>
              <w:jc w:val="center"/>
              <w:rPr>
                <w:rFonts w:ascii="宋体"/>
              </w:rPr>
            </w:pPr>
          </w:p>
        </w:tc>
        <w:tc>
          <w:tcPr>
            <w:tcW w:w="0" w:type="auto"/>
            <w:gridSpan w:val="3"/>
            <w:shd w:val="clear" w:color="auto" w:fill="auto"/>
            <w:vAlign w:val="center"/>
          </w:tcPr>
          <w:p w14:paraId="3693E055"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056" w14:textId="77777777" w:rsidR="003734EC" w:rsidRDefault="003734EC">
            <w:pPr>
              <w:rPr>
                <w:rFonts w:ascii="宋体"/>
              </w:rPr>
            </w:pPr>
          </w:p>
        </w:tc>
        <w:tc>
          <w:tcPr>
            <w:tcW w:w="0" w:type="auto"/>
            <w:gridSpan w:val="3"/>
            <w:shd w:val="clear" w:color="auto" w:fill="auto"/>
            <w:vAlign w:val="center"/>
          </w:tcPr>
          <w:p w14:paraId="3693E057" w14:textId="77777777" w:rsidR="003734EC" w:rsidRDefault="003734EC">
            <w:pPr>
              <w:rPr>
                <w:rFonts w:ascii="宋体"/>
                <w:vanish/>
              </w:rPr>
            </w:pPr>
          </w:p>
        </w:tc>
      </w:tr>
      <w:tr w:rsidR="003734EC" w14:paraId="3693E083" w14:textId="77777777">
        <w:trPr>
          <w:jc w:val="center"/>
        </w:trPr>
        <w:tc>
          <w:tcPr>
            <w:tcW w:w="0" w:type="auto"/>
            <w:gridSpan w:val="3"/>
            <w:shd w:val="clear" w:color="auto" w:fill="E2EFD9"/>
            <w:tcMar>
              <w:top w:w="40" w:type="dxa"/>
              <w:left w:w="20" w:type="dxa"/>
              <w:bottom w:w="40" w:type="dxa"/>
              <w:right w:w="20" w:type="dxa"/>
            </w:tcMar>
            <w:vAlign w:val="bottom"/>
          </w:tcPr>
          <w:p w14:paraId="3693E059" w14:textId="77777777" w:rsidR="003734EC" w:rsidRDefault="000E364E">
            <w:pPr>
              <w:textAlignment w:val="bottom"/>
            </w:pPr>
            <w:r>
              <w:rPr>
                <w:rFonts w:ascii="sans-serif" w:eastAsia="sans-serif" w:hAnsi="sans-serif" w:cs="sans-serif"/>
                <w:color w:val="000000"/>
                <w:sz w:val="15"/>
                <w:szCs w:val="15"/>
              </w:rPr>
              <w:t>Balances, January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05A" w14:textId="77777777" w:rsidR="003734EC" w:rsidRDefault="000E364E">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tcBorders>
            <w:shd w:val="clear" w:color="auto" w:fill="E2EFD9"/>
            <w:tcMar>
              <w:top w:w="40" w:type="dxa"/>
              <w:bottom w:w="40" w:type="dxa"/>
              <w:right w:w="20" w:type="dxa"/>
            </w:tcMar>
            <w:vAlign w:val="bottom"/>
          </w:tcPr>
          <w:p w14:paraId="3693E05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5C"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5D"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5E" w14:textId="77777777" w:rsidR="003734EC" w:rsidRDefault="000E364E">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3693E05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60"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61"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62" w14:textId="77777777" w:rsidR="003734EC" w:rsidRDefault="000E364E">
            <w:pPr>
              <w:jc w:val="right"/>
              <w:textAlignment w:val="bottom"/>
            </w:pPr>
            <w:r>
              <w:rPr>
                <w:rFonts w:ascii="sans-serif" w:eastAsia="sans-serif" w:hAnsi="sans-serif" w:cs="sans-serif"/>
                <w:color w:val="000000"/>
                <w:sz w:val="15"/>
                <w:szCs w:val="15"/>
              </w:rPr>
              <w:t>7,045 </w:t>
            </w:r>
          </w:p>
        </w:tc>
        <w:tc>
          <w:tcPr>
            <w:tcW w:w="0" w:type="auto"/>
            <w:tcBorders>
              <w:top w:val="single" w:sz="8" w:space="0" w:color="000000"/>
            </w:tcBorders>
            <w:shd w:val="clear" w:color="auto" w:fill="E2EFD9"/>
            <w:tcMar>
              <w:top w:w="40" w:type="dxa"/>
              <w:bottom w:w="40" w:type="dxa"/>
              <w:right w:w="20" w:type="dxa"/>
            </w:tcMar>
            <w:vAlign w:val="bottom"/>
          </w:tcPr>
          <w:p w14:paraId="3693E06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64"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65"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66" w14:textId="77777777" w:rsidR="003734EC" w:rsidRDefault="000E364E">
            <w:pPr>
              <w:jc w:val="right"/>
              <w:textAlignment w:val="bottom"/>
            </w:pPr>
            <w:r>
              <w:rPr>
                <w:rFonts w:ascii="sans-serif" w:eastAsia="sans-serif" w:hAnsi="sans-serif" w:cs="sans-serif"/>
                <w:color w:val="000000"/>
                <w:sz w:val="15"/>
                <w:szCs w:val="15"/>
              </w:rPr>
              <w:t>(9,814)</w:t>
            </w:r>
          </w:p>
        </w:tc>
        <w:tc>
          <w:tcPr>
            <w:tcW w:w="0" w:type="auto"/>
            <w:tcBorders>
              <w:top w:val="single" w:sz="8" w:space="0" w:color="000000"/>
            </w:tcBorders>
            <w:shd w:val="clear" w:color="auto" w:fill="E2EFD9"/>
            <w:tcMar>
              <w:top w:w="40" w:type="dxa"/>
              <w:bottom w:w="40" w:type="dxa"/>
              <w:right w:w="20" w:type="dxa"/>
            </w:tcMar>
            <w:vAlign w:val="bottom"/>
          </w:tcPr>
          <w:p w14:paraId="3693E06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68"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69"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6A" w14:textId="77777777" w:rsidR="003734EC" w:rsidRDefault="000E364E">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3693E06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6C"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6D"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6E" w14:textId="77777777" w:rsidR="003734EC" w:rsidRDefault="000E364E">
            <w:pPr>
              <w:jc w:val="right"/>
              <w:textAlignment w:val="bottom"/>
            </w:pPr>
            <w:r>
              <w:rPr>
                <w:rFonts w:ascii="sans-serif" w:eastAsia="sans-serif" w:hAnsi="sans-serif" w:cs="sans-serif"/>
                <w:color w:val="000000"/>
                <w:sz w:val="15"/>
                <w:szCs w:val="15"/>
              </w:rPr>
              <w:t>14,971 </w:t>
            </w:r>
          </w:p>
        </w:tc>
        <w:tc>
          <w:tcPr>
            <w:tcW w:w="0" w:type="auto"/>
            <w:tcBorders>
              <w:top w:val="single" w:sz="8" w:space="0" w:color="000000"/>
            </w:tcBorders>
            <w:shd w:val="clear" w:color="auto" w:fill="E2EFD9"/>
            <w:tcMar>
              <w:top w:w="40" w:type="dxa"/>
              <w:bottom w:w="40" w:type="dxa"/>
              <w:right w:w="20" w:type="dxa"/>
            </w:tcMar>
            <w:vAlign w:val="bottom"/>
          </w:tcPr>
          <w:p w14:paraId="3693E06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70"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071"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3693E072" w14:textId="77777777" w:rsidR="003734EC" w:rsidRDefault="000E364E">
            <w:pPr>
              <w:jc w:val="right"/>
              <w:textAlignment w:val="bottom"/>
            </w:pPr>
            <w:r>
              <w:rPr>
                <w:rFonts w:ascii="sans-serif" w:eastAsia="sans-serif" w:hAnsi="sans-serif" w:cs="sans-serif"/>
                <w:color w:val="000000"/>
                <w:sz w:val="15"/>
                <w:szCs w:val="15"/>
              </w:rPr>
              <w:t>12,204 </w:t>
            </w:r>
          </w:p>
        </w:tc>
        <w:tc>
          <w:tcPr>
            <w:tcW w:w="0" w:type="auto"/>
            <w:tcBorders>
              <w:top w:val="single" w:sz="8" w:space="0" w:color="000000"/>
            </w:tcBorders>
            <w:shd w:val="clear" w:color="auto" w:fill="E2EFD9"/>
            <w:tcMar>
              <w:top w:w="40" w:type="dxa"/>
              <w:bottom w:w="40" w:type="dxa"/>
              <w:right w:w="20" w:type="dxa"/>
            </w:tcMar>
            <w:vAlign w:val="bottom"/>
          </w:tcPr>
          <w:p w14:paraId="3693E07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074" w14:textId="77777777" w:rsidR="003734EC" w:rsidRDefault="003734EC">
            <w:pPr>
              <w:rPr>
                <w:rFonts w:ascii="宋体"/>
              </w:rPr>
            </w:pPr>
          </w:p>
        </w:tc>
        <w:tc>
          <w:tcPr>
            <w:tcW w:w="0" w:type="auto"/>
            <w:shd w:val="clear" w:color="auto" w:fill="auto"/>
            <w:vAlign w:val="center"/>
          </w:tcPr>
          <w:p w14:paraId="3693E075" w14:textId="77777777" w:rsidR="003734EC" w:rsidRDefault="003734EC">
            <w:pPr>
              <w:rPr>
                <w:rFonts w:ascii="宋体"/>
              </w:rPr>
            </w:pPr>
          </w:p>
        </w:tc>
        <w:tc>
          <w:tcPr>
            <w:tcW w:w="0" w:type="auto"/>
            <w:shd w:val="clear" w:color="auto" w:fill="auto"/>
            <w:vAlign w:val="center"/>
          </w:tcPr>
          <w:p w14:paraId="3693E076" w14:textId="77777777" w:rsidR="003734EC" w:rsidRDefault="003734EC">
            <w:pPr>
              <w:rPr>
                <w:rFonts w:ascii="宋体"/>
              </w:rPr>
            </w:pPr>
          </w:p>
        </w:tc>
        <w:tc>
          <w:tcPr>
            <w:tcW w:w="0" w:type="auto"/>
            <w:shd w:val="clear" w:color="auto" w:fill="auto"/>
            <w:vAlign w:val="center"/>
          </w:tcPr>
          <w:p w14:paraId="3693E077" w14:textId="77777777" w:rsidR="003734EC" w:rsidRDefault="003734EC">
            <w:pPr>
              <w:rPr>
                <w:rFonts w:ascii="宋体"/>
              </w:rPr>
            </w:pPr>
          </w:p>
        </w:tc>
        <w:tc>
          <w:tcPr>
            <w:tcW w:w="0" w:type="auto"/>
            <w:shd w:val="clear" w:color="auto" w:fill="auto"/>
            <w:vAlign w:val="center"/>
          </w:tcPr>
          <w:p w14:paraId="3693E078" w14:textId="77777777" w:rsidR="003734EC" w:rsidRDefault="003734EC">
            <w:pPr>
              <w:rPr>
                <w:rFonts w:ascii="宋体"/>
              </w:rPr>
            </w:pPr>
          </w:p>
        </w:tc>
        <w:tc>
          <w:tcPr>
            <w:tcW w:w="0" w:type="auto"/>
            <w:shd w:val="clear" w:color="auto" w:fill="auto"/>
            <w:vAlign w:val="center"/>
          </w:tcPr>
          <w:p w14:paraId="3693E079" w14:textId="77777777" w:rsidR="003734EC" w:rsidRDefault="003734EC">
            <w:pPr>
              <w:rPr>
                <w:rFonts w:ascii="宋体"/>
              </w:rPr>
            </w:pPr>
          </w:p>
        </w:tc>
        <w:tc>
          <w:tcPr>
            <w:tcW w:w="0" w:type="auto"/>
            <w:shd w:val="clear" w:color="auto" w:fill="auto"/>
            <w:vAlign w:val="center"/>
          </w:tcPr>
          <w:p w14:paraId="3693E07A" w14:textId="77777777" w:rsidR="003734EC" w:rsidRDefault="003734EC">
            <w:pPr>
              <w:rPr>
                <w:rFonts w:ascii="宋体"/>
              </w:rPr>
            </w:pPr>
          </w:p>
        </w:tc>
        <w:tc>
          <w:tcPr>
            <w:tcW w:w="0" w:type="auto"/>
            <w:shd w:val="clear" w:color="auto" w:fill="auto"/>
            <w:vAlign w:val="center"/>
          </w:tcPr>
          <w:p w14:paraId="3693E07B" w14:textId="77777777" w:rsidR="003734EC" w:rsidRDefault="003734EC">
            <w:pPr>
              <w:rPr>
                <w:rFonts w:ascii="宋体"/>
              </w:rPr>
            </w:pPr>
          </w:p>
        </w:tc>
        <w:tc>
          <w:tcPr>
            <w:tcW w:w="0" w:type="auto"/>
            <w:shd w:val="clear" w:color="auto" w:fill="auto"/>
            <w:vAlign w:val="center"/>
          </w:tcPr>
          <w:p w14:paraId="3693E07C" w14:textId="77777777" w:rsidR="003734EC" w:rsidRDefault="003734EC">
            <w:pPr>
              <w:rPr>
                <w:rFonts w:ascii="宋体"/>
              </w:rPr>
            </w:pPr>
          </w:p>
        </w:tc>
        <w:tc>
          <w:tcPr>
            <w:tcW w:w="0" w:type="auto"/>
            <w:shd w:val="clear" w:color="auto" w:fill="auto"/>
            <w:vAlign w:val="center"/>
          </w:tcPr>
          <w:p w14:paraId="3693E07D" w14:textId="77777777" w:rsidR="003734EC" w:rsidRDefault="003734EC">
            <w:pPr>
              <w:rPr>
                <w:rFonts w:ascii="宋体"/>
              </w:rPr>
            </w:pPr>
          </w:p>
        </w:tc>
        <w:tc>
          <w:tcPr>
            <w:tcW w:w="0" w:type="auto"/>
            <w:shd w:val="clear" w:color="auto" w:fill="auto"/>
            <w:vAlign w:val="center"/>
          </w:tcPr>
          <w:p w14:paraId="3693E07E" w14:textId="77777777" w:rsidR="003734EC" w:rsidRDefault="003734EC">
            <w:pPr>
              <w:rPr>
                <w:rFonts w:ascii="宋体"/>
              </w:rPr>
            </w:pPr>
          </w:p>
        </w:tc>
        <w:tc>
          <w:tcPr>
            <w:tcW w:w="0" w:type="auto"/>
            <w:shd w:val="clear" w:color="auto" w:fill="auto"/>
            <w:vAlign w:val="center"/>
          </w:tcPr>
          <w:p w14:paraId="3693E07F" w14:textId="77777777" w:rsidR="003734EC" w:rsidRDefault="003734EC">
            <w:pPr>
              <w:rPr>
                <w:rFonts w:ascii="宋体"/>
              </w:rPr>
            </w:pPr>
          </w:p>
        </w:tc>
        <w:tc>
          <w:tcPr>
            <w:tcW w:w="0" w:type="auto"/>
            <w:shd w:val="clear" w:color="auto" w:fill="auto"/>
            <w:vAlign w:val="center"/>
          </w:tcPr>
          <w:p w14:paraId="3693E080" w14:textId="77777777" w:rsidR="003734EC" w:rsidRDefault="003734EC">
            <w:pPr>
              <w:rPr>
                <w:rFonts w:ascii="宋体"/>
              </w:rPr>
            </w:pPr>
          </w:p>
        </w:tc>
        <w:tc>
          <w:tcPr>
            <w:tcW w:w="0" w:type="auto"/>
            <w:shd w:val="clear" w:color="auto" w:fill="auto"/>
            <w:vAlign w:val="center"/>
          </w:tcPr>
          <w:p w14:paraId="3693E081" w14:textId="77777777" w:rsidR="003734EC" w:rsidRDefault="003734EC">
            <w:pPr>
              <w:rPr>
                <w:rFonts w:ascii="宋体"/>
              </w:rPr>
            </w:pPr>
          </w:p>
        </w:tc>
        <w:tc>
          <w:tcPr>
            <w:tcW w:w="0" w:type="auto"/>
            <w:shd w:val="clear" w:color="auto" w:fill="auto"/>
            <w:vAlign w:val="center"/>
          </w:tcPr>
          <w:p w14:paraId="3693E082" w14:textId="77777777" w:rsidR="003734EC" w:rsidRDefault="003734EC">
            <w:pPr>
              <w:rPr>
                <w:rFonts w:ascii="宋体"/>
              </w:rPr>
            </w:pPr>
          </w:p>
        </w:tc>
      </w:tr>
      <w:tr w:rsidR="003734EC" w14:paraId="3693E0A8" w14:textId="77777777">
        <w:trPr>
          <w:jc w:val="center"/>
        </w:trPr>
        <w:tc>
          <w:tcPr>
            <w:tcW w:w="0" w:type="auto"/>
            <w:gridSpan w:val="3"/>
            <w:shd w:val="clear" w:color="auto" w:fill="FFFFFF"/>
            <w:tcMar>
              <w:top w:w="40" w:type="dxa"/>
              <w:left w:w="20" w:type="dxa"/>
              <w:bottom w:w="40" w:type="dxa"/>
              <w:right w:w="20" w:type="dxa"/>
            </w:tcMar>
            <w:vAlign w:val="bottom"/>
          </w:tcPr>
          <w:p w14:paraId="3693E084" w14:textId="77777777" w:rsidR="003734EC" w:rsidRDefault="000E364E">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3693E085"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8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8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8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89"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8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8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8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8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8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8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9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91" w14:textId="77777777" w:rsidR="003734EC" w:rsidRDefault="000E364E">
            <w:pPr>
              <w:jc w:val="right"/>
              <w:textAlignment w:val="bottom"/>
            </w:pPr>
            <w:r>
              <w:rPr>
                <w:rFonts w:ascii="sans-serif" w:eastAsia="sans-serif" w:hAnsi="sans-serif" w:cs="sans-serif"/>
                <w:color w:val="000000"/>
                <w:sz w:val="15"/>
                <w:szCs w:val="15"/>
              </w:rPr>
              <w:t>(11)</w:t>
            </w:r>
          </w:p>
        </w:tc>
        <w:tc>
          <w:tcPr>
            <w:tcW w:w="0" w:type="auto"/>
            <w:shd w:val="clear" w:color="auto" w:fill="FFFFFF"/>
            <w:tcMar>
              <w:top w:w="40" w:type="dxa"/>
              <w:bottom w:w="40" w:type="dxa"/>
              <w:right w:w="20" w:type="dxa"/>
            </w:tcMar>
            <w:vAlign w:val="bottom"/>
          </w:tcPr>
          <w:p w14:paraId="3693E09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93"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9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95"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96"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97" w14:textId="77777777" w:rsidR="003734EC" w:rsidRDefault="000E364E">
            <w:pPr>
              <w:jc w:val="right"/>
              <w:textAlignment w:val="bottom"/>
            </w:pPr>
            <w:r>
              <w:rPr>
                <w:rFonts w:ascii="sans-serif" w:eastAsia="sans-serif" w:hAnsi="sans-serif" w:cs="sans-serif"/>
                <w:color w:val="000000"/>
                <w:sz w:val="15"/>
                <w:szCs w:val="15"/>
              </w:rPr>
              <w:t>(11)</w:t>
            </w:r>
          </w:p>
        </w:tc>
        <w:tc>
          <w:tcPr>
            <w:tcW w:w="0" w:type="auto"/>
            <w:shd w:val="clear" w:color="auto" w:fill="FFFFFF"/>
            <w:tcMar>
              <w:top w:w="40" w:type="dxa"/>
              <w:bottom w:w="40" w:type="dxa"/>
              <w:right w:w="20" w:type="dxa"/>
            </w:tcMar>
            <w:vAlign w:val="bottom"/>
          </w:tcPr>
          <w:p w14:paraId="3693E09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099" w14:textId="77777777" w:rsidR="003734EC" w:rsidRDefault="003734EC">
            <w:pPr>
              <w:rPr>
                <w:rFonts w:ascii="宋体"/>
              </w:rPr>
            </w:pPr>
          </w:p>
        </w:tc>
        <w:tc>
          <w:tcPr>
            <w:tcW w:w="0" w:type="auto"/>
            <w:shd w:val="clear" w:color="auto" w:fill="auto"/>
            <w:vAlign w:val="center"/>
          </w:tcPr>
          <w:p w14:paraId="3693E09A" w14:textId="77777777" w:rsidR="003734EC" w:rsidRDefault="003734EC">
            <w:pPr>
              <w:rPr>
                <w:rFonts w:ascii="宋体"/>
              </w:rPr>
            </w:pPr>
          </w:p>
        </w:tc>
        <w:tc>
          <w:tcPr>
            <w:tcW w:w="0" w:type="auto"/>
            <w:shd w:val="clear" w:color="auto" w:fill="auto"/>
            <w:vAlign w:val="center"/>
          </w:tcPr>
          <w:p w14:paraId="3693E09B" w14:textId="77777777" w:rsidR="003734EC" w:rsidRDefault="003734EC">
            <w:pPr>
              <w:rPr>
                <w:rFonts w:ascii="宋体"/>
              </w:rPr>
            </w:pPr>
          </w:p>
        </w:tc>
        <w:tc>
          <w:tcPr>
            <w:tcW w:w="0" w:type="auto"/>
            <w:shd w:val="clear" w:color="auto" w:fill="auto"/>
            <w:vAlign w:val="center"/>
          </w:tcPr>
          <w:p w14:paraId="3693E09C" w14:textId="77777777" w:rsidR="003734EC" w:rsidRDefault="003734EC">
            <w:pPr>
              <w:rPr>
                <w:rFonts w:ascii="宋体"/>
              </w:rPr>
            </w:pPr>
          </w:p>
        </w:tc>
        <w:tc>
          <w:tcPr>
            <w:tcW w:w="0" w:type="auto"/>
            <w:shd w:val="clear" w:color="auto" w:fill="auto"/>
            <w:vAlign w:val="center"/>
          </w:tcPr>
          <w:p w14:paraId="3693E09D" w14:textId="77777777" w:rsidR="003734EC" w:rsidRDefault="003734EC">
            <w:pPr>
              <w:rPr>
                <w:rFonts w:ascii="宋体"/>
              </w:rPr>
            </w:pPr>
          </w:p>
        </w:tc>
        <w:tc>
          <w:tcPr>
            <w:tcW w:w="0" w:type="auto"/>
            <w:shd w:val="clear" w:color="auto" w:fill="auto"/>
            <w:vAlign w:val="center"/>
          </w:tcPr>
          <w:p w14:paraId="3693E09E" w14:textId="77777777" w:rsidR="003734EC" w:rsidRDefault="003734EC">
            <w:pPr>
              <w:rPr>
                <w:rFonts w:ascii="宋体"/>
              </w:rPr>
            </w:pPr>
          </w:p>
        </w:tc>
        <w:tc>
          <w:tcPr>
            <w:tcW w:w="0" w:type="auto"/>
            <w:shd w:val="clear" w:color="auto" w:fill="auto"/>
            <w:vAlign w:val="center"/>
          </w:tcPr>
          <w:p w14:paraId="3693E09F" w14:textId="77777777" w:rsidR="003734EC" w:rsidRDefault="003734EC">
            <w:pPr>
              <w:rPr>
                <w:rFonts w:ascii="宋体"/>
              </w:rPr>
            </w:pPr>
          </w:p>
        </w:tc>
        <w:tc>
          <w:tcPr>
            <w:tcW w:w="0" w:type="auto"/>
            <w:shd w:val="clear" w:color="auto" w:fill="auto"/>
            <w:vAlign w:val="center"/>
          </w:tcPr>
          <w:p w14:paraId="3693E0A0" w14:textId="77777777" w:rsidR="003734EC" w:rsidRDefault="003734EC">
            <w:pPr>
              <w:rPr>
                <w:rFonts w:ascii="宋体"/>
              </w:rPr>
            </w:pPr>
          </w:p>
        </w:tc>
        <w:tc>
          <w:tcPr>
            <w:tcW w:w="0" w:type="auto"/>
            <w:shd w:val="clear" w:color="auto" w:fill="auto"/>
            <w:vAlign w:val="center"/>
          </w:tcPr>
          <w:p w14:paraId="3693E0A1" w14:textId="77777777" w:rsidR="003734EC" w:rsidRDefault="003734EC">
            <w:pPr>
              <w:rPr>
                <w:rFonts w:ascii="宋体"/>
              </w:rPr>
            </w:pPr>
          </w:p>
        </w:tc>
        <w:tc>
          <w:tcPr>
            <w:tcW w:w="0" w:type="auto"/>
            <w:shd w:val="clear" w:color="auto" w:fill="auto"/>
            <w:vAlign w:val="center"/>
          </w:tcPr>
          <w:p w14:paraId="3693E0A2" w14:textId="77777777" w:rsidR="003734EC" w:rsidRDefault="003734EC">
            <w:pPr>
              <w:rPr>
                <w:rFonts w:ascii="宋体"/>
              </w:rPr>
            </w:pPr>
          </w:p>
        </w:tc>
        <w:tc>
          <w:tcPr>
            <w:tcW w:w="0" w:type="auto"/>
            <w:shd w:val="clear" w:color="auto" w:fill="auto"/>
            <w:vAlign w:val="center"/>
          </w:tcPr>
          <w:p w14:paraId="3693E0A3" w14:textId="77777777" w:rsidR="003734EC" w:rsidRDefault="003734EC">
            <w:pPr>
              <w:rPr>
                <w:rFonts w:ascii="宋体"/>
              </w:rPr>
            </w:pPr>
          </w:p>
        </w:tc>
        <w:tc>
          <w:tcPr>
            <w:tcW w:w="0" w:type="auto"/>
            <w:shd w:val="clear" w:color="auto" w:fill="auto"/>
            <w:vAlign w:val="center"/>
          </w:tcPr>
          <w:p w14:paraId="3693E0A4" w14:textId="77777777" w:rsidR="003734EC" w:rsidRDefault="003734EC">
            <w:pPr>
              <w:rPr>
                <w:rFonts w:ascii="宋体"/>
              </w:rPr>
            </w:pPr>
          </w:p>
        </w:tc>
        <w:tc>
          <w:tcPr>
            <w:tcW w:w="0" w:type="auto"/>
            <w:shd w:val="clear" w:color="auto" w:fill="auto"/>
            <w:vAlign w:val="center"/>
          </w:tcPr>
          <w:p w14:paraId="3693E0A5" w14:textId="77777777" w:rsidR="003734EC" w:rsidRDefault="003734EC">
            <w:pPr>
              <w:rPr>
                <w:rFonts w:ascii="宋体"/>
              </w:rPr>
            </w:pPr>
          </w:p>
        </w:tc>
        <w:tc>
          <w:tcPr>
            <w:tcW w:w="0" w:type="auto"/>
            <w:shd w:val="clear" w:color="auto" w:fill="auto"/>
            <w:vAlign w:val="center"/>
          </w:tcPr>
          <w:p w14:paraId="3693E0A6" w14:textId="77777777" w:rsidR="003734EC" w:rsidRDefault="003734EC">
            <w:pPr>
              <w:rPr>
                <w:rFonts w:ascii="宋体"/>
              </w:rPr>
            </w:pPr>
          </w:p>
        </w:tc>
        <w:tc>
          <w:tcPr>
            <w:tcW w:w="0" w:type="auto"/>
            <w:shd w:val="clear" w:color="auto" w:fill="auto"/>
            <w:vAlign w:val="center"/>
          </w:tcPr>
          <w:p w14:paraId="3693E0A7" w14:textId="77777777" w:rsidR="003734EC" w:rsidRDefault="003734EC">
            <w:pPr>
              <w:rPr>
                <w:rFonts w:ascii="宋体"/>
              </w:rPr>
            </w:pPr>
          </w:p>
        </w:tc>
      </w:tr>
      <w:tr w:rsidR="003734EC" w14:paraId="3693E0CD" w14:textId="77777777">
        <w:trPr>
          <w:jc w:val="center"/>
        </w:trPr>
        <w:tc>
          <w:tcPr>
            <w:tcW w:w="0" w:type="auto"/>
            <w:gridSpan w:val="3"/>
            <w:shd w:val="clear" w:color="auto" w:fill="E2EFD9"/>
            <w:tcMar>
              <w:top w:w="40" w:type="dxa"/>
              <w:left w:w="20" w:type="dxa"/>
              <w:bottom w:w="40" w:type="dxa"/>
              <w:right w:w="20" w:type="dxa"/>
            </w:tcMar>
            <w:vAlign w:val="bottom"/>
          </w:tcPr>
          <w:p w14:paraId="3693E0A9" w14:textId="77777777" w:rsidR="003734EC" w:rsidRDefault="000E364E">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3693E0A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A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A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A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A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AF"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B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B1"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B2"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B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B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B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B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B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B8"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B9" w14:textId="77777777" w:rsidR="003734EC" w:rsidRDefault="000E364E">
            <w:pPr>
              <w:jc w:val="right"/>
              <w:textAlignment w:val="bottom"/>
            </w:pPr>
            <w:r>
              <w:rPr>
                <w:rFonts w:ascii="sans-serif" w:eastAsia="sans-serif" w:hAnsi="sans-serif" w:cs="sans-serif"/>
                <w:color w:val="000000"/>
                <w:sz w:val="15"/>
                <w:szCs w:val="15"/>
              </w:rPr>
              <w:t>917 </w:t>
            </w:r>
          </w:p>
        </w:tc>
        <w:tc>
          <w:tcPr>
            <w:tcW w:w="0" w:type="auto"/>
            <w:shd w:val="clear" w:color="auto" w:fill="E2EFD9"/>
            <w:tcMar>
              <w:top w:w="40" w:type="dxa"/>
              <w:bottom w:w="40" w:type="dxa"/>
              <w:right w:w="20" w:type="dxa"/>
            </w:tcMar>
            <w:vAlign w:val="bottom"/>
          </w:tcPr>
          <w:p w14:paraId="3693E0B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B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BC" w14:textId="77777777" w:rsidR="003734EC" w:rsidRDefault="000E364E">
            <w:pPr>
              <w:jc w:val="right"/>
              <w:textAlignment w:val="bottom"/>
            </w:pPr>
            <w:r>
              <w:rPr>
                <w:rFonts w:ascii="sans-serif" w:eastAsia="sans-serif" w:hAnsi="sans-serif" w:cs="sans-serif"/>
                <w:color w:val="000000"/>
                <w:sz w:val="15"/>
                <w:szCs w:val="15"/>
              </w:rPr>
              <w:t>917 </w:t>
            </w:r>
          </w:p>
        </w:tc>
        <w:tc>
          <w:tcPr>
            <w:tcW w:w="0" w:type="auto"/>
            <w:shd w:val="clear" w:color="auto" w:fill="E2EFD9"/>
            <w:tcMar>
              <w:top w:w="40" w:type="dxa"/>
              <w:bottom w:w="40" w:type="dxa"/>
              <w:right w:w="20" w:type="dxa"/>
            </w:tcMar>
            <w:vAlign w:val="bottom"/>
          </w:tcPr>
          <w:p w14:paraId="3693E0B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0BE" w14:textId="77777777" w:rsidR="003734EC" w:rsidRDefault="003734EC">
            <w:pPr>
              <w:rPr>
                <w:rFonts w:ascii="宋体"/>
              </w:rPr>
            </w:pPr>
          </w:p>
        </w:tc>
        <w:tc>
          <w:tcPr>
            <w:tcW w:w="0" w:type="auto"/>
            <w:shd w:val="clear" w:color="auto" w:fill="auto"/>
            <w:vAlign w:val="center"/>
          </w:tcPr>
          <w:p w14:paraId="3693E0BF" w14:textId="77777777" w:rsidR="003734EC" w:rsidRDefault="003734EC">
            <w:pPr>
              <w:rPr>
                <w:rFonts w:ascii="宋体"/>
              </w:rPr>
            </w:pPr>
          </w:p>
        </w:tc>
        <w:tc>
          <w:tcPr>
            <w:tcW w:w="0" w:type="auto"/>
            <w:shd w:val="clear" w:color="auto" w:fill="auto"/>
            <w:vAlign w:val="center"/>
          </w:tcPr>
          <w:p w14:paraId="3693E0C0" w14:textId="77777777" w:rsidR="003734EC" w:rsidRDefault="003734EC">
            <w:pPr>
              <w:rPr>
                <w:rFonts w:ascii="宋体"/>
              </w:rPr>
            </w:pPr>
          </w:p>
        </w:tc>
        <w:tc>
          <w:tcPr>
            <w:tcW w:w="0" w:type="auto"/>
            <w:shd w:val="clear" w:color="auto" w:fill="auto"/>
            <w:vAlign w:val="center"/>
          </w:tcPr>
          <w:p w14:paraId="3693E0C1" w14:textId="77777777" w:rsidR="003734EC" w:rsidRDefault="003734EC">
            <w:pPr>
              <w:rPr>
                <w:rFonts w:ascii="宋体"/>
              </w:rPr>
            </w:pPr>
          </w:p>
        </w:tc>
        <w:tc>
          <w:tcPr>
            <w:tcW w:w="0" w:type="auto"/>
            <w:shd w:val="clear" w:color="auto" w:fill="auto"/>
            <w:vAlign w:val="center"/>
          </w:tcPr>
          <w:p w14:paraId="3693E0C2" w14:textId="77777777" w:rsidR="003734EC" w:rsidRDefault="003734EC">
            <w:pPr>
              <w:rPr>
                <w:rFonts w:ascii="宋体"/>
              </w:rPr>
            </w:pPr>
          </w:p>
        </w:tc>
        <w:tc>
          <w:tcPr>
            <w:tcW w:w="0" w:type="auto"/>
            <w:shd w:val="clear" w:color="auto" w:fill="auto"/>
            <w:vAlign w:val="center"/>
          </w:tcPr>
          <w:p w14:paraId="3693E0C3" w14:textId="77777777" w:rsidR="003734EC" w:rsidRDefault="003734EC">
            <w:pPr>
              <w:rPr>
                <w:rFonts w:ascii="宋体"/>
              </w:rPr>
            </w:pPr>
          </w:p>
        </w:tc>
        <w:tc>
          <w:tcPr>
            <w:tcW w:w="0" w:type="auto"/>
            <w:shd w:val="clear" w:color="auto" w:fill="auto"/>
            <w:vAlign w:val="center"/>
          </w:tcPr>
          <w:p w14:paraId="3693E0C4" w14:textId="77777777" w:rsidR="003734EC" w:rsidRDefault="003734EC">
            <w:pPr>
              <w:rPr>
                <w:rFonts w:ascii="宋体"/>
              </w:rPr>
            </w:pPr>
          </w:p>
        </w:tc>
        <w:tc>
          <w:tcPr>
            <w:tcW w:w="0" w:type="auto"/>
            <w:shd w:val="clear" w:color="auto" w:fill="auto"/>
            <w:vAlign w:val="center"/>
          </w:tcPr>
          <w:p w14:paraId="3693E0C5" w14:textId="77777777" w:rsidR="003734EC" w:rsidRDefault="003734EC">
            <w:pPr>
              <w:rPr>
                <w:rFonts w:ascii="宋体"/>
              </w:rPr>
            </w:pPr>
          </w:p>
        </w:tc>
        <w:tc>
          <w:tcPr>
            <w:tcW w:w="0" w:type="auto"/>
            <w:shd w:val="clear" w:color="auto" w:fill="auto"/>
            <w:vAlign w:val="center"/>
          </w:tcPr>
          <w:p w14:paraId="3693E0C6" w14:textId="77777777" w:rsidR="003734EC" w:rsidRDefault="003734EC">
            <w:pPr>
              <w:rPr>
                <w:rFonts w:ascii="宋体"/>
              </w:rPr>
            </w:pPr>
          </w:p>
        </w:tc>
        <w:tc>
          <w:tcPr>
            <w:tcW w:w="0" w:type="auto"/>
            <w:shd w:val="clear" w:color="auto" w:fill="auto"/>
            <w:vAlign w:val="center"/>
          </w:tcPr>
          <w:p w14:paraId="3693E0C7" w14:textId="77777777" w:rsidR="003734EC" w:rsidRDefault="003734EC">
            <w:pPr>
              <w:rPr>
                <w:rFonts w:ascii="宋体"/>
              </w:rPr>
            </w:pPr>
          </w:p>
        </w:tc>
        <w:tc>
          <w:tcPr>
            <w:tcW w:w="0" w:type="auto"/>
            <w:shd w:val="clear" w:color="auto" w:fill="auto"/>
            <w:vAlign w:val="center"/>
          </w:tcPr>
          <w:p w14:paraId="3693E0C8" w14:textId="77777777" w:rsidR="003734EC" w:rsidRDefault="003734EC">
            <w:pPr>
              <w:rPr>
                <w:rFonts w:ascii="宋体"/>
              </w:rPr>
            </w:pPr>
          </w:p>
        </w:tc>
        <w:tc>
          <w:tcPr>
            <w:tcW w:w="0" w:type="auto"/>
            <w:shd w:val="clear" w:color="auto" w:fill="auto"/>
            <w:vAlign w:val="center"/>
          </w:tcPr>
          <w:p w14:paraId="3693E0C9" w14:textId="77777777" w:rsidR="003734EC" w:rsidRDefault="003734EC">
            <w:pPr>
              <w:rPr>
                <w:rFonts w:ascii="宋体"/>
              </w:rPr>
            </w:pPr>
          </w:p>
        </w:tc>
        <w:tc>
          <w:tcPr>
            <w:tcW w:w="0" w:type="auto"/>
            <w:shd w:val="clear" w:color="auto" w:fill="auto"/>
            <w:vAlign w:val="center"/>
          </w:tcPr>
          <w:p w14:paraId="3693E0CA" w14:textId="77777777" w:rsidR="003734EC" w:rsidRDefault="003734EC">
            <w:pPr>
              <w:rPr>
                <w:rFonts w:ascii="宋体"/>
              </w:rPr>
            </w:pPr>
          </w:p>
        </w:tc>
        <w:tc>
          <w:tcPr>
            <w:tcW w:w="0" w:type="auto"/>
            <w:shd w:val="clear" w:color="auto" w:fill="auto"/>
            <w:vAlign w:val="center"/>
          </w:tcPr>
          <w:p w14:paraId="3693E0CB" w14:textId="77777777" w:rsidR="003734EC" w:rsidRDefault="003734EC">
            <w:pPr>
              <w:rPr>
                <w:rFonts w:ascii="宋体"/>
              </w:rPr>
            </w:pPr>
          </w:p>
        </w:tc>
        <w:tc>
          <w:tcPr>
            <w:tcW w:w="0" w:type="auto"/>
            <w:shd w:val="clear" w:color="auto" w:fill="auto"/>
            <w:vAlign w:val="center"/>
          </w:tcPr>
          <w:p w14:paraId="3693E0CC" w14:textId="77777777" w:rsidR="003734EC" w:rsidRDefault="003734EC">
            <w:pPr>
              <w:rPr>
                <w:rFonts w:ascii="宋体"/>
              </w:rPr>
            </w:pPr>
          </w:p>
        </w:tc>
      </w:tr>
      <w:tr w:rsidR="003734EC" w14:paraId="3693E0F2" w14:textId="77777777">
        <w:trPr>
          <w:jc w:val="center"/>
        </w:trPr>
        <w:tc>
          <w:tcPr>
            <w:tcW w:w="0" w:type="auto"/>
            <w:gridSpan w:val="3"/>
            <w:shd w:val="clear" w:color="auto" w:fill="FFFFFF"/>
            <w:tcMar>
              <w:top w:w="40" w:type="dxa"/>
              <w:left w:w="20" w:type="dxa"/>
              <w:bottom w:w="40" w:type="dxa"/>
              <w:right w:w="20" w:type="dxa"/>
            </w:tcMar>
            <w:vAlign w:val="bottom"/>
          </w:tcPr>
          <w:p w14:paraId="3693E0CE" w14:textId="77777777" w:rsidR="003734EC" w:rsidRDefault="000E364E">
            <w:pPr>
              <w:textAlignment w:val="bottom"/>
            </w:pPr>
            <w:r>
              <w:rPr>
                <w:rFonts w:ascii="sans-serif" w:eastAsia="sans-serif" w:hAnsi="sans-serif" w:cs="sans-serif"/>
                <w:color w:val="000000"/>
                <w:sz w:val="15"/>
                <w:szCs w:val="15"/>
              </w:rPr>
              <w:t>Issuance of common stoc</w:t>
            </w:r>
            <w:r>
              <w:rPr>
                <w:rFonts w:ascii="sans-serif" w:eastAsia="sans-serif" w:hAnsi="sans-serif" w:cs="sans-serif"/>
                <w:color w:val="000000"/>
                <w:sz w:val="15"/>
                <w:szCs w:val="15"/>
              </w:rPr>
              <w:t>k from stock plans </w:t>
            </w:r>
          </w:p>
        </w:tc>
        <w:tc>
          <w:tcPr>
            <w:tcW w:w="0" w:type="auto"/>
            <w:gridSpan w:val="2"/>
            <w:shd w:val="clear" w:color="auto" w:fill="FFFFFF"/>
            <w:tcMar>
              <w:top w:w="40" w:type="dxa"/>
              <w:left w:w="20" w:type="dxa"/>
              <w:bottom w:w="40" w:type="dxa"/>
              <w:right w:w="0" w:type="dxa"/>
            </w:tcMar>
            <w:vAlign w:val="bottom"/>
          </w:tcPr>
          <w:p w14:paraId="3693E0CF" w14:textId="77777777" w:rsidR="003734EC" w:rsidRDefault="000E364E">
            <w:pPr>
              <w:jc w:val="right"/>
              <w:textAlignment w:val="bottom"/>
            </w:pPr>
            <w:r>
              <w:rPr>
                <w:rFonts w:ascii="sans-serif" w:eastAsia="sans-serif" w:hAnsi="sans-serif" w:cs="sans-serif"/>
                <w:color w:val="000000"/>
                <w:sz w:val="15"/>
                <w:szCs w:val="15"/>
              </w:rPr>
              <w:t>4 </w:t>
            </w:r>
          </w:p>
        </w:tc>
        <w:tc>
          <w:tcPr>
            <w:tcW w:w="0" w:type="auto"/>
            <w:shd w:val="clear" w:color="auto" w:fill="FFFFFF"/>
            <w:tcMar>
              <w:top w:w="40" w:type="dxa"/>
              <w:bottom w:w="40" w:type="dxa"/>
              <w:right w:w="20" w:type="dxa"/>
            </w:tcMar>
            <w:vAlign w:val="bottom"/>
          </w:tcPr>
          <w:p w14:paraId="3693E0D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D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D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D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D4"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D5" w14:textId="77777777" w:rsidR="003734EC" w:rsidRDefault="000E364E">
            <w:pPr>
              <w:jc w:val="right"/>
              <w:textAlignment w:val="bottom"/>
            </w:pPr>
            <w:r>
              <w:rPr>
                <w:rFonts w:ascii="sans-serif" w:eastAsia="sans-serif" w:hAnsi="sans-serif" w:cs="sans-serif"/>
                <w:color w:val="000000"/>
                <w:sz w:val="15"/>
                <w:szCs w:val="15"/>
              </w:rPr>
              <w:t>88 </w:t>
            </w:r>
          </w:p>
        </w:tc>
        <w:tc>
          <w:tcPr>
            <w:tcW w:w="0" w:type="auto"/>
            <w:shd w:val="clear" w:color="auto" w:fill="FFFFFF"/>
            <w:tcMar>
              <w:top w:w="40" w:type="dxa"/>
              <w:bottom w:w="40" w:type="dxa"/>
              <w:right w:w="20" w:type="dxa"/>
            </w:tcMar>
            <w:vAlign w:val="bottom"/>
          </w:tcPr>
          <w:p w14:paraId="3693E0D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D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D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D9"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D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D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D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D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D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0D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0E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0E1" w14:textId="77777777" w:rsidR="003734EC" w:rsidRDefault="000E364E">
            <w:pPr>
              <w:jc w:val="right"/>
              <w:textAlignment w:val="bottom"/>
            </w:pPr>
            <w:r>
              <w:rPr>
                <w:rFonts w:ascii="sans-serif" w:eastAsia="sans-serif" w:hAnsi="sans-serif" w:cs="sans-serif"/>
                <w:color w:val="000000"/>
                <w:sz w:val="15"/>
                <w:szCs w:val="15"/>
              </w:rPr>
              <w:t>88 </w:t>
            </w:r>
          </w:p>
        </w:tc>
        <w:tc>
          <w:tcPr>
            <w:tcW w:w="0" w:type="auto"/>
            <w:shd w:val="clear" w:color="auto" w:fill="FFFFFF"/>
            <w:tcMar>
              <w:top w:w="40" w:type="dxa"/>
              <w:bottom w:w="40" w:type="dxa"/>
              <w:right w:w="20" w:type="dxa"/>
            </w:tcMar>
            <w:vAlign w:val="bottom"/>
          </w:tcPr>
          <w:p w14:paraId="3693E0E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0E3" w14:textId="77777777" w:rsidR="003734EC" w:rsidRDefault="003734EC">
            <w:pPr>
              <w:rPr>
                <w:rFonts w:ascii="宋体"/>
              </w:rPr>
            </w:pPr>
          </w:p>
        </w:tc>
        <w:tc>
          <w:tcPr>
            <w:tcW w:w="0" w:type="auto"/>
            <w:shd w:val="clear" w:color="auto" w:fill="auto"/>
            <w:vAlign w:val="center"/>
          </w:tcPr>
          <w:p w14:paraId="3693E0E4" w14:textId="77777777" w:rsidR="003734EC" w:rsidRDefault="003734EC">
            <w:pPr>
              <w:rPr>
                <w:rFonts w:ascii="宋体"/>
              </w:rPr>
            </w:pPr>
          </w:p>
        </w:tc>
        <w:tc>
          <w:tcPr>
            <w:tcW w:w="0" w:type="auto"/>
            <w:shd w:val="clear" w:color="auto" w:fill="auto"/>
            <w:vAlign w:val="center"/>
          </w:tcPr>
          <w:p w14:paraId="3693E0E5" w14:textId="77777777" w:rsidR="003734EC" w:rsidRDefault="003734EC">
            <w:pPr>
              <w:rPr>
                <w:rFonts w:ascii="宋体"/>
              </w:rPr>
            </w:pPr>
          </w:p>
        </w:tc>
        <w:tc>
          <w:tcPr>
            <w:tcW w:w="0" w:type="auto"/>
            <w:shd w:val="clear" w:color="auto" w:fill="auto"/>
            <w:vAlign w:val="center"/>
          </w:tcPr>
          <w:p w14:paraId="3693E0E6" w14:textId="77777777" w:rsidR="003734EC" w:rsidRDefault="003734EC">
            <w:pPr>
              <w:rPr>
                <w:rFonts w:ascii="宋体"/>
              </w:rPr>
            </w:pPr>
          </w:p>
        </w:tc>
        <w:tc>
          <w:tcPr>
            <w:tcW w:w="0" w:type="auto"/>
            <w:shd w:val="clear" w:color="auto" w:fill="auto"/>
            <w:vAlign w:val="center"/>
          </w:tcPr>
          <w:p w14:paraId="3693E0E7" w14:textId="77777777" w:rsidR="003734EC" w:rsidRDefault="003734EC">
            <w:pPr>
              <w:rPr>
                <w:rFonts w:ascii="宋体"/>
              </w:rPr>
            </w:pPr>
          </w:p>
        </w:tc>
        <w:tc>
          <w:tcPr>
            <w:tcW w:w="0" w:type="auto"/>
            <w:shd w:val="clear" w:color="auto" w:fill="auto"/>
            <w:vAlign w:val="center"/>
          </w:tcPr>
          <w:p w14:paraId="3693E0E8" w14:textId="77777777" w:rsidR="003734EC" w:rsidRDefault="003734EC">
            <w:pPr>
              <w:rPr>
                <w:rFonts w:ascii="宋体"/>
              </w:rPr>
            </w:pPr>
          </w:p>
        </w:tc>
        <w:tc>
          <w:tcPr>
            <w:tcW w:w="0" w:type="auto"/>
            <w:shd w:val="clear" w:color="auto" w:fill="auto"/>
            <w:vAlign w:val="center"/>
          </w:tcPr>
          <w:p w14:paraId="3693E0E9" w14:textId="77777777" w:rsidR="003734EC" w:rsidRDefault="003734EC">
            <w:pPr>
              <w:rPr>
                <w:rFonts w:ascii="宋体"/>
              </w:rPr>
            </w:pPr>
          </w:p>
        </w:tc>
        <w:tc>
          <w:tcPr>
            <w:tcW w:w="0" w:type="auto"/>
            <w:shd w:val="clear" w:color="auto" w:fill="auto"/>
            <w:vAlign w:val="center"/>
          </w:tcPr>
          <w:p w14:paraId="3693E0EA" w14:textId="77777777" w:rsidR="003734EC" w:rsidRDefault="003734EC">
            <w:pPr>
              <w:rPr>
                <w:rFonts w:ascii="宋体"/>
              </w:rPr>
            </w:pPr>
          </w:p>
        </w:tc>
        <w:tc>
          <w:tcPr>
            <w:tcW w:w="0" w:type="auto"/>
            <w:shd w:val="clear" w:color="auto" w:fill="auto"/>
            <w:vAlign w:val="center"/>
          </w:tcPr>
          <w:p w14:paraId="3693E0EB" w14:textId="77777777" w:rsidR="003734EC" w:rsidRDefault="003734EC">
            <w:pPr>
              <w:rPr>
                <w:rFonts w:ascii="宋体"/>
              </w:rPr>
            </w:pPr>
          </w:p>
        </w:tc>
        <w:tc>
          <w:tcPr>
            <w:tcW w:w="0" w:type="auto"/>
            <w:shd w:val="clear" w:color="auto" w:fill="auto"/>
            <w:vAlign w:val="center"/>
          </w:tcPr>
          <w:p w14:paraId="3693E0EC" w14:textId="77777777" w:rsidR="003734EC" w:rsidRDefault="003734EC">
            <w:pPr>
              <w:rPr>
                <w:rFonts w:ascii="宋体"/>
              </w:rPr>
            </w:pPr>
          </w:p>
        </w:tc>
        <w:tc>
          <w:tcPr>
            <w:tcW w:w="0" w:type="auto"/>
            <w:shd w:val="clear" w:color="auto" w:fill="auto"/>
            <w:vAlign w:val="center"/>
          </w:tcPr>
          <w:p w14:paraId="3693E0ED" w14:textId="77777777" w:rsidR="003734EC" w:rsidRDefault="003734EC">
            <w:pPr>
              <w:rPr>
                <w:rFonts w:ascii="宋体"/>
              </w:rPr>
            </w:pPr>
          </w:p>
        </w:tc>
        <w:tc>
          <w:tcPr>
            <w:tcW w:w="0" w:type="auto"/>
            <w:shd w:val="clear" w:color="auto" w:fill="auto"/>
            <w:vAlign w:val="center"/>
          </w:tcPr>
          <w:p w14:paraId="3693E0EE" w14:textId="77777777" w:rsidR="003734EC" w:rsidRDefault="003734EC">
            <w:pPr>
              <w:rPr>
                <w:rFonts w:ascii="宋体"/>
              </w:rPr>
            </w:pPr>
          </w:p>
        </w:tc>
        <w:tc>
          <w:tcPr>
            <w:tcW w:w="0" w:type="auto"/>
            <w:shd w:val="clear" w:color="auto" w:fill="auto"/>
            <w:vAlign w:val="center"/>
          </w:tcPr>
          <w:p w14:paraId="3693E0EF" w14:textId="77777777" w:rsidR="003734EC" w:rsidRDefault="003734EC">
            <w:pPr>
              <w:rPr>
                <w:rFonts w:ascii="宋体"/>
              </w:rPr>
            </w:pPr>
          </w:p>
        </w:tc>
        <w:tc>
          <w:tcPr>
            <w:tcW w:w="0" w:type="auto"/>
            <w:shd w:val="clear" w:color="auto" w:fill="auto"/>
            <w:vAlign w:val="center"/>
          </w:tcPr>
          <w:p w14:paraId="3693E0F0" w14:textId="77777777" w:rsidR="003734EC" w:rsidRDefault="003734EC">
            <w:pPr>
              <w:rPr>
                <w:rFonts w:ascii="宋体"/>
              </w:rPr>
            </w:pPr>
          </w:p>
        </w:tc>
        <w:tc>
          <w:tcPr>
            <w:tcW w:w="0" w:type="auto"/>
            <w:shd w:val="clear" w:color="auto" w:fill="auto"/>
            <w:vAlign w:val="center"/>
          </w:tcPr>
          <w:p w14:paraId="3693E0F1" w14:textId="77777777" w:rsidR="003734EC" w:rsidRDefault="003734EC">
            <w:pPr>
              <w:rPr>
                <w:rFonts w:ascii="宋体"/>
              </w:rPr>
            </w:pPr>
          </w:p>
        </w:tc>
      </w:tr>
      <w:tr w:rsidR="003734EC" w14:paraId="3693E117" w14:textId="77777777">
        <w:trPr>
          <w:jc w:val="center"/>
        </w:trPr>
        <w:tc>
          <w:tcPr>
            <w:tcW w:w="0" w:type="auto"/>
            <w:gridSpan w:val="3"/>
            <w:shd w:val="clear" w:color="auto" w:fill="E2EFD9"/>
            <w:tcMar>
              <w:top w:w="40" w:type="dxa"/>
              <w:left w:w="20" w:type="dxa"/>
              <w:bottom w:w="40" w:type="dxa"/>
              <w:right w:w="20" w:type="dxa"/>
            </w:tcMar>
            <w:vAlign w:val="bottom"/>
          </w:tcPr>
          <w:p w14:paraId="3693E0F3" w14:textId="77777777" w:rsidR="003734EC" w:rsidRDefault="000E364E">
            <w:pPr>
              <w:textAlignment w:val="bottom"/>
            </w:pPr>
            <w:r>
              <w:rPr>
                <w:rFonts w:ascii="sans-serif" w:eastAsia="sans-serif" w:hAnsi="sans-serif" w:cs="sans-serif"/>
                <w:color w:val="000000"/>
                <w:sz w:val="15"/>
                <w:szCs w:val="15"/>
              </w:rPr>
              <w:t>Tax withholding related</w:t>
            </w:r>
            <w:r>
              <w:rPr>
                <w:rFonts w:ascii="sans-serif" w:eastAsia="sans-serif" w:hAnsi="sans-serif" w:cs="sans-serif"/>
                <w:color w:val="000000"/>
                <w:sz w:val="15"/>
                <w:szCs w:val="15"/>
              </w:rPr>
              <w:t xml:space="preserve"> to vesting of restricted stock units</w:t>
            </w:r>
          </w:p>
        </w:tc>
        <w:tc>
          <w:tcPr>
            <w:tcW w:w="0" w:type="auto"/>
            <w:gridSpan w:val="2"/>
            <w:shd w:val="clear" w:color="auto" w:fill="E2EFD9"/>
            <w:tcMar>
              <w:top w:w="40" w:type="dxa"/>
              <w:left w:w="20" w:type="dxa"/>
              <w:bottom w:w="40" w:type="dxa"/>
              <w:right w:w="0" w:type="dxa"/>
            </w:tcMar>
            <w:vAlign w:val="bottom"/>
          </w:tcPr>
          <w:p w14:paraId="3693E0F4" w14:textId="77777777" w:rsidR="003734EC" w:rsidRDefault="000E364E">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bottom w:w="40" w:type="dxa"/>
              <w:right w:w="20" w:type="dxa"/>
            </w:tcMar>
            <w:vAlign w:val="bottom"/>
          </w:tcPr>
          <w:p w14:paraId="3693E0F5"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F6"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F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F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F9"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F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0F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F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0FD" w14:textId="77777777" w:rsidR="003734EC" w:rsidRDefault="000E364E">
            <w:pPr>
              <w:jc w:val="right"/>
              <w:textAlignment w:val="bottom"/>
            </w:pPr>
            <w:r>
              <w:rPr>
                <w:rFonts w:ascii="sans-serif" w:eastAsia="sans-serif" w:hAnsi="sans-serif" w:cs="sans-serif"/>
                <w:color w:val="000000"/>
                <w:sz w:val="15"/>
                <w:szCs w:val="15"/>
              </w:rPr>
              <w:t>(222)</w:t>
            </w:r>
          </w:p>
        </w:tc>
        <w:tc>
          <w:tcPr>
            <w:tcW w:w="0" w:type="auto"/>
            <w:shd w:val="clear" w:color="auto" w:fill="E2EFD9"/>
            <w:tcMar>
              <w:top w:w="40" w:type="dxa"/>
              <w:bottom w:w="40" w:type="dxa"/>
              <w:right w:w="20" w:type="dxa"/>
            </w:tcMar>
            <w:vAlign w:val="bottom"/>
          </w:tcPr>
          <w:p w14:paraId="3693E0F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0FF"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0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01"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02"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0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0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0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06" w14:textId="77777777" w:rsidR="003734EC" w:rsidRDefault="000E364E">
            <w:pPr>
              <w:jc w:val="right"/>
              <w:textAlignment w:val="bottom"/>
            </w:pPr>
            <w:r>
              <w:rPr>
                <w:rFonts w:ascii="sans-serif" w:eastAsia="sans-serif" w:hAnsi="sans-serif" w:cs="sans-serif"/>
                <w:color w:val="000000"/>
                <w:sz w:val="15"/>
                <w:szCs w:val="15"/>
              </w:rPr>
              <w:t>(222)</w:t>
            </w:r>
          </w:p>
        </w:tc>
        <w:tc>
          <w:tcPr>
            <w:tcW w:w="0" w:type="auto"/>
            <w:shd w:val="clear" w:color="auto" w:fill="E2EFD9"/>
            <w:tcMar>
              <w:top w:w="40" w:type="dxa"/>
              <w:bottom w:w="40" w:type="dxa"/>
              <w:right w:w="20" w:type="dxa"/>
            </w:tcMar>
            <w:vAlign w:val="bottom"/>
          </w:tcPr>
          <w:p w14:paraId="3693E10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108" w14:textId="77777777" w:rsidR="003734EC" w:rsidRDefault="003734EC">
            <w:pPr>
              <w:rPr>
                <w:rFonts w:ascii="宋体"/>
              </w:rPr>
            </w:pPr>
          </w:p>
        </w:tc>
        <w:tc>
          <w:tcPr>
            <w:tcW w:w="0" w:type="auto"/>
            <w:shd w:val="clear" w:color="auto" w:fill="auto"/>
            <w:vAlign w:val="center"/>
          </w:tcPr>
          <w:p w14:paraId="3693E109" w14:textId="77777777" w:rsidR="003734EC" w:rsidRDefault="003734EC">
            <w:pPr>
              <w:rPr>
                <w:rFonts w:ascii="宋体"/>
              </w:rPr>
            </w:pPr>
          </w:p>
        </w:tc>
        <w:tc>
          <w:tcPr>
            <w:tcW w:w="0" w:type="auto"/>
            <w:shd w:val="clear" w:color="auto" w:fill="auto"/>
            <w:vAlign w:val="center"/>
          </w:tcPr>
          <w:p w14:paraId="3693E10A" w14:textId="77777777" w:rsidR="003734EC" w:rsidRDefault="003734EC">
            <w:pPr>
              <w:rPr>
                <w:rFonts w:ascii="宋体"/>
              </w:rPr>
            </w:pPr>
          </w:p>
        </w:tc>
        <w:tc>
          <w:tcPr>
            <w:tcW w:w="0" w:type="auto"/>
            <w:shd w:val="clear" w:color="auto" w:fill="auto"/>
            <w:vAlign w:val="center"/>
          </w:tcPr>
          <w:p w14:paraId="3693E10B" w14:textId="77777777" w:rsidR="003734EC" w:rsidRDefault="003734EC">
            <w:pPr>
              <w:rPr>
                <w:rFonts w:ascii="宋体"/>
              </w:rPr>
            </w:pPr>
          </w:p>
        </w:tc>
        <w:tc>
          <w:tcPr>
            <w:tcW w:w="0" w:type="auto"/>
            <w:shd w:val="clear" w:color="auto" w:fill="auto"/>
            <w:vAlign w:val="center"/>
          </w:tcPr>
          <w:p w14:paraId="3693E10C" w14:textId="77777777" w:rsidR="003734EC" w:rsidRDefault="003734EC">
            <w:pPr>
              <w:rPr>
                <w:rFonts w:ascii="宋体"/>
              </w:rPr>
            </w:pPr>
          </w:p>
        </w:tc>
        <w:tc>
          <w:tcPr>
            <w:tcW w:w="0" w:type="auto"/>
            <w:shd w:val="clear" w:color="auto" w:fill="auto"/>
            <w:vAlign w:val="center"/>
          </w:tcPr>
          <w:p w14:paraId="3693E10D" w14:textId="77777777" w:rsidR="003734EC" w:rsidRDefault="003734EC">
            <w:pPr>
              <w:rPr>
                <w:rFonts w:ascii="宋体"/>
              </w:rPr>
            </w:pPr>
          </w:p>
        </w:tc>
        <w:tc>
          <w:tcPr>
            <w:tcW w:w="0" w:type="auto"/>
            <w:shd w:val="clear" w:color="auto" w:fill="auto"/>
            <w:vAlign w:val="center"/>
          </w:tcPr>
          <w:p w14:paraId="3693E10E" w14:textId="77777777" w:rsidR="003734EC" w:rsidRDefault="003734EC">
            <w:pPr>
              <w:rPr>
                <w:rFonts w:ascii="宋体"/>
              </w:rPr>
            </w:pPr>
          </w:p>
        </w:tc>
        <w:tc>
          <w:tcPr>
            <w:tcW w:w="0" w:type="auto"/>
            <w:shd w:val="clear" w:color="auto" w:fill="auto"/>
            <w:vAlign w:val="center"/>
          </w:tcPr>
          <w:p w14:paraId="3693E10F" w14:textId="77777777" w:rsidR="003734EC" w:rsidRDefault="003734EC">
            <w:pPr>
              <w:rPr>
                <w:rFonts w:ascii="宋体"/>
              </w:rPr>
            </w:pPr>
          </w:p>
        </w:tc>
        <w:tc>
          <w:tcPr>
            <w:tcW w:w="0" w:type="auto"/>
            <w:shd w:val="clear" w:color="auto" w:fill="auto"/>
            <w:vAlign w:val="center"/>
          </w:tcPr>
          <w:p w14:paraId="3693E110" w14:textId="77777777" w:rsidR="003734EC" w:rsidRDefault="003734EC">
            <w:pPr>
              <w:rPr>
                <w:rFonts w:ascii="宋体"/>
              </w:rPr>
            </w:pPr>
          </w:p>
        </w:tc>
        <w:tc>
          <w:tcPr>
            <w:tcW w:w="0" w:type="auto"/>
            <w:shd w:val="clear" w:color="auto" w:fill="auto"/>
            <w:vAlign w:val="center"/>
          </w:tcPr>
          <w:p w14:paraId="3693E111" w14:textId="77777777" w:rsidR="003734EC" w:rsidRDefault="003734EC">
            <w:pPr>
              <w:rPr>
                <w:rFonts w:ascii="宋体"/>
              </w:rPr>
            </w:pPr>
          </w:p>
        </w:tc>
        <w:tc>
          <w:tcPr>
            <w:tcW w:w="0" w:type="auto"/>
            <w:shd w:val="clear" w:color="auto" w:fill="auto"/>
            <w:vAlign w:val="center"/>
          </w:tcPr>
          <w:p w14:paraId="3693E112" w14:textId="77777777" w:rsidR="003734EC" w:rsidRDefault="003734EC">
            <w:pPr>
              <w:rPr>
                <w:rFonts w:ascii="宋体"/>
              </w:rPr>
            </w:pPr>
          </w:p>
        </w:tc>
        <w:tc>
          <w:tcPr>
            <w:tcW w:w="0" w:type="auto"/>
            <w:shd w:val="clear" w:color="auto" w:fill="auto"/>
            <w:vAlign w:val="center"/>
          </w:tcPr>
          <w:p w14:paraId="3693E113" w14:textId="77777777" w:rsidR="003734EC" w:rsidRDefault="003734EC">
            <w:pPr>
              <w:rPr>
                <w:rFonts w:ascii="宋体"/>
              </w:rPr>
            </w:pPr>
          </w:p>
        </w:tc>
        <w:tc>
          <w:tcPr>
            <w:tcW w:w="0" w:type="auto"/>
            <w:shd w:val="clear" w:color="auto" w:fill="auto"/>
            <w:vAlign w:val="center"/>
          </w:tcPr>
          <w:p w14:paraId="3693E114" w14:textId="77777777" w:rsidR="003734EC" w:rsidRDefault="003734EC">
            <w:pPr>
              <w:rPr>
                <w:rFonts w:ascii="宋体"/>
              </w:rPr>
            </w:pPr>
          </w:p>
        </w:tc>
        <w:tc>
          <w:tcPr>
            <w:tcW w:w="0" w:type="auto"/>
            <w:shd w:val="clear" w:color="auto" w:fill="auto"/>
            <w:vAlign w:val="center"/>
          </w:tcPr>
          <w:p w14:paraId="3693E115" w14:textId="77777777" w:rsidR="003734EC" w:rsidRDefault="003734EC">
            <w:pPr>
              <w:rPr>
                <w:rFonts w:ascii="宋体"/>
              </w:rPr>
            </w:pPr>
          </w:p>
        </w:tc>
        <w:tc>
          <w:tcPr>
            <w:tcW w:w="0" w:type="auto"/>
            <w:shd w:val="clear" w:color="auto" w:fill="auto"/>
            <w:vAlign w:val="center"/>
          </w:tcPr>
          <w:p w14:paraId="3693E116" w14:textId="77777777" w:rsidR="003734EC" w:rsidRDefault="003734EC">
            <w:pPr>
              <w:rPr>
                <w:rFonts w:ascii="宋体"/>
              </w:rPr>
            </w:pPr>
          </w:p>
        </w:tc>
      </w:tr>
      <w:tr w:rsidR="003734EC" w14:paraId="3693E135" w14:textId="77777777">
        <w:trPr>
          <w:jc w:val="center"/>
          <w:hidden/>
        </w:trPr>
        <w:tc>
          <w:tcPr>
            <w:tcW w:w="0" w:type="auto"/>
            <w:gridSpan w:val="3"/>
            <w:shd w:val="clear" w:color="auto" w:fill="auto"/>
            <w:vAlign w:val="center"/>
          </w:tcPr>
          <w:p w14:paraId="3693E118" w14:textId="77777777" w:rsidR="003734EC" w:rsidRDefault="003734EC">
            <w:pPr>
              <w:rPr>
                <w:rFonts w:ascii="宋体"/>
                <w:vanish/>
              </w:rPr>
            </w:pPr>
          </w:p>
        </w:tc>
        <w:tc>
          <w:tcPr>
            <w:tcW w:w="0" w:type="auto"/>
            <w:gridSpan w:val="3"/>
            <w:shd w:val="clear" w:color="auto" w:fill="auto"/>
            <w:vAlign w:val="center"/>
          </w:tcPr>
          <w:p w14:paraId="3693E119" w14:textId="77777777" w:rsidR="003734EC" w:rsidRDefault="003734EC">
            <w:pPr>
              <w:rPr>
                <w:rFonts w:ascii="宋体"/>
                <w:vanish/>
              </w:rPr>
            </w:pPr>
          </w:p>
        </w:tc>
        <w:tc>
          <w:tcPr>
            <w:tcW w:w="0" w:type="auto"/>
            <w:gridSpan w:val="3"/>
            <w:shd w:val="clear" w:color="auto" w:fill="auto"/>
            <w:vAlign w:val="center"/>
          </w:tcPr>
          <w:p w14:paraId="3693E11A" w14:textId="77777777" w:rsidR="003734EC" w:rsidRDefault="003734EC">
            <w:pPr>
              <w:rPr>
                <w:rFonts w:ascii="宋体"/>
                <w:vanish/>
              </w:rPr>
            </w:pPr>
          </w:p>
        </w:tc>
        <w:tc>
          <w:tcPr>
            <w:tcW w:w="0" w:type="auto"/>
            <w:gridSpan w:val="3"/>
            <w:shd w:val="clear" w:color="auto" w:fill="auto"/>
            <w:vAlign w:val="center"/>
          </w:tcPr>
          <w:p w14:paraId="3693E11B" w14:textId="77777777" w:rsidR="003734EC" w:rsidRDefault="003734EC">
            <w:pPr>
              <w:rPr>
                <w:rFonts w:ascii="宋体"/>
                <w:vanish/>
              </w:rPr>
            </w:pPr>
          </w:p>
        </w:tc>
        <w:tc>
          <w:tcPr>
            <w:tcW w:w="0" w:type="auto"/>
            <w:gridSpan w:val="3"/>
            <w:shd w:val="clear" w:color="auto" w:fill="auto"/>
            <w:vAlign w:val="center"/>
          </w:tcPr>
          <w:p w14:paraId="3693E11C" w14:textId="77777777" w:rsidR="003734EC" w:rsidRDefault="003734EC">
            <w:pPr>
              <w:rPr>
                <w:rFonts w:ascii="宋体"/>
                <w:vanish/>
              </w:rPr>
            </w:pPr>
          </w:p>
        </w:tc>
        <w:tc>
          <w:tcPr>
            <w:tcW w:w="0" w:type="auto"/>
            <w:gridSpan w:val="3"/>
            <w:shd w:val="clear" w:color="auto" w:fill="auto"/>
            <w:vAlign w:val="center"/>
          </w:tcPr>
          <w:p w14:paraId="3693E11D" w14:textId="77777777" w:rsidR="003734EC" w:rsidRDefault="003734EC">
            <w:pPr>
              <w:rPr>
                <w:rFonts w:ascii="宋体"/>
                <w:vanish/>
              </w:rPr>
            </w:pPr>
          </w:p>
        </w:tc>
        <w:tc>
          <w:tcPr>
            <w:tcW w:w="0" w:type="auto"/>
            <w:gridSpan w:val="3"/>
            <w:shd w:val="clear" w:color="auto" w:fill="auto"/>
            <w:vAlign w:val="center"/>
          </w:tcPr>
          <w:p w14:paraId="3693E11E" w14:textId="77777777" w:rsidR="003734EC" w:rsidRDefault="003734EC">
            <w:pPr>
              <w:rPr>
                <w:rFonts w:ascii="宋体"/>
                <w:vanish/>
              </w:rPr>
            </w:pPr>
          </w:p>
        </w:tc>
        <w:tc>
          <w:tcPr>
            <w:tcW w:w="0" w:type="auto"/>
            <w:gridSpan w:val="3"/>
            <w:shd w:val="clear" w:color="auto" w:fill="auto"/>
            <w:vAlign w:val="center"/>
          </w:tcPr>
          <w:p w14:paraId="3693E11F" w14:textId="77777777" w:rsidR="003734EC" w:rsidRDefault="003734EC">
            <w:pPr>
              <w:rPr>
                <w:rFonts w:ascii="宋体"/>
                <w:vanish/>
              </w:rPr>
            </w:pPr>
          </w:p>
        </w:tc>
        <w:tc>
          <w:tcPr>
            <w:tcW w:w="0" w:type="auto"/>
            <w:gridSpan w:val="3"/>
            <w:shd w:val="clear" w:color="auto" w:fill="auto"/>
            <w:vAlign w:val="center"/>
          </w:tcPr>
          <w:p w14:paraId="3693E120" w14:textId="77777777" w:rsidR="003734EC" w:rsidRDefault="003734EC">
            <w:pPr>
              <w:rPr>
                <w:rFonts w:ascii="宋体"/>
                <w:vanish/>
              </w:rPr>
            </w:pPr>
          </w:p>
        </w:tc>
        <w:tc>
          <w:tcPr>
            <w:tcW w:w="0" w:type="auto"/>
            <w:gridSpan w:val="3"/>
            <w:shd w:val="clear" w:color="auto" w:fill="auto"/>
            <w:vAlign w:val="center"/>
          </w:tcPr>
          <w:p w14:paraId="3693E121" w14:textId="77777777" w:rsidR="003734EC" w:rsidRDefault="003734EC">
            <w:pPr>
              <w:rPr>
                <w:rFonts w:ascii="宋体"/>
                <w:vanish/>
              </w:rPr>
            </w:pPr>
          </w:p>
        </w:tc>
        <w:tc>
          <w:tcPr>
            <w:tcW w:w="0" w:type="auto"/>
            <w:gridSpan w:val="3"/>
            <w:shd w:val="clear" w:color="auto" w:fill="auto"/>
            <w:vAlign w:val="center"/>
          </w:tcPr>
          <w:p w14:paraId="3693E122" w14:textId="77777777" w:rsidR="003734EC" w:rsidRDefault="003734EC">
            <w:pPr>
              <w:rPr>
                <w:rFonts w:ascii="宋体"/>
                <w:vanish/>
              </w:rPr>
            </w:pPr>
          </w:p>
        </w:tc>
        <w:tc>
          <w:tcPr>
            <w:tcW w:w="0" w:type="auto"/>
            <w:gridSpan w:val="3"/>
            <w:shd w:val="clear" w:color="auto" w:fill="auto"/>
            <w:vAlign w:val="center"/>
          </w:tcPr>
          <w:p w14:paraId="3693E123" w14:textId="77777777" w:rsidR="003734EC" w:rsidRDefault="003734EC">
            <w:pPr>
              <w:rPr>
                <w:rFonts w:ascii="宋体"/>
                <w:vanish/>
              </w:rPr>
            </w:pPr>
          </w:p>
        </w:tc>
        <w:tc>
          <w:tcPr>
            <w:tcW w:w="0" w:type="auto"/>
            <w:gridSpan w:val="3"/>
            <w:shd w:val="clear" w:color="auto" w:fill="auto"/>
            <w:vAlign w:val="center"/>
          </w:tcPr>
          <w:p w14:paraId="3693E124" w14:textId="77777777" w:rsidR="003734EC" w:rsidRDefault="003734EC">
            <w:pPr>
              <w:rPr>
                <w:rFonts w:ascii="宋体"/>
                <w:vanish/>
              </w:rPr>
            </w:pPr>
          </w:p>
        </w:tc>
        <w:tc>
          <w:tcPr>
            <w:tcW w:w="0" w:type="auto"/>
            <w:gridSpan w:val="3"/>
            <w:shd w:val="clear" w:color="auto" w:fill="auto"/>
            <w:vAlign w:val="center"/>
          </w:tcPr>
          <w:p w14:paraId="3693E125" w14:textId="77777777" w:rsidR="003734EC" w:rsidRDefault="003734EC">
            <w:pPr>
              <w:rPr>
                <w:rFonts w:ascii="宋体"/>
                <w:vanish/>
              </w:rPr>
            </w:pPr>
          </w:p>
        </w:tc>
        <w:tc>
          <w:tcPr>
            <w:tcW w:w="0" w:type="auto"/>
            <w:shd w:val="clear" w:color="auto" w:fill="auto"/>
            <w:vAlign w:val="center"/>
          </w:tcPr>
          <w:p w14:paraId="3693E126" w14:textId="77777777" w:rsidR="003734EC" w:rsidRDefault="003734EC">
            <w:pPr>
              <w:rPr>
                <w:rFonts w:ascii="宋体"/>
              </w:rPr>
            </w:pPr>
          </w:p>
        </w:tc>
        <w:tc>
          <w:tcPr>
            <w:tcW w:w="0" w:type="auto"/>
            <w:shd w:val="clear" w:color="auto" w:fill="auto"/>
            <w:vAlign w:val="center"/>
          </w:tcPr>
          <w:p w14:paraId="3693E127" w14:textId="77777777" w:rsidR="003734EC" w:rsidRDefault="003734EC">
            <w:pPr>
              <w:rPr>
                <w:rFonts w:ascii="宋体"/>
              </w:rPr>
            </w:pPr>
          </w:p>
        </w:tc>
        <w:tc>
          <w:tcPr>
            <w:tcW w:w="0" w:type="auto"/>
            <w:shd w:val="clear" w:color="auto" w:fill="auto"/>
            <w:vAlign w:val="center"/>
          </w:tcPr>
          <w:p w14:paraId="3693E128" w14:textId="77777777" w:rsidR="003734EC" w:rsidRDefault="003734EC">
            <w:pPr>
              <w:rPr>
                <w:rFonts w:ascii="宋体"/>
              </w:rPr>
            </w:pPr>
          </w:p>
        </w:tc>
        <w:tc>
          <w:tcPr>
            <w:tcW w:w="0" w:type="auto"/>
            <w:shd w:val="clear" w:color="auto" w:fill="auto"/>
            <w:vAlign w:val="center"/>
          </w:tcPr>
          <w:p w14:paraId="3693E129" w14:textId="77777777" w:rsidR="003734EC" w:rsidRDefault="003734EC">
            <w:pPr>
              <w:rPr>
                <w:rFonts w:ascii="宋体"/>
              </w:rPr>
            </w:pPr>
          </w:p>
        </w:tc>
        <w:tc>
          <w:tcPr>
            <w:tcW w:w="0" w:type="auto"/>
            <w:shd w:val="clear" w:color="auto" w:fill="auto"/>
            <w:vAlign w:val="center"/>
          </w:tcPr>
          <w:p w14:paraId="3693E12A" w14:textId="77777777" w:rsidR="003734EC" w:rsidRDefault="003734EC">
            <w:pPr>
              <w:rPr>
                <w:rFonts w:ascii="宋体"/>
              </w:rPr>
            </w:pPr>
          </w:p>
        </w:tc>
        <w:tc>
          <w:tcPr>
            <w:tcW w:w="0" w:type="auto"/>
            <w:shd w:val="clear" w:color="auto" w:fill="auto"/>
            <w:vAlign w:val="center"/>
          </w:tcPr>
          <w:p w14:paraId="3693E12B" w14:textId="77777777" w:rsidR="003734EC" w:rsidRDefault="003734EC">
            <w:pPr>
              <w:rPr>
                <w:rFonts w:ascii="宋体"/>
              </w:rPr>
            </w:pPr>
          </w:p>
        </w:tc>
        <w:tc>
          <w:tcPr>
            <w:tcW w:w="0" w:type="auto"/>
            <w:shd w:val="clear" w:color="auto" w:fill="auto"/>
            <w:vAlign w:val="center"/>
          </w:tcPr>
          <w:p w14:paraId="3693E12C" w14:textId="77777777" w:rsidR="003734EC" w:rsidRDefault="003734EC">
            <w:pPr>
              <w:rPr>
                <w:rFonts w:ascii="宋体"/>
              </w:rPr>
            </w:pPr>
          </w:p>
        </w:tc>
        <w:tc>
          <w:tcPr>
            <w:tcW w:w="0" w:type="auto"/>
            <w:shd w:val="clear" w:color="auto" w:fill="auto"/>
            <w:vAlign w:val="center"/>
          </w:tcPr>
          <w:p w14:paraId="3693E12D" w14:textId="77777777" w:rsidR="003734EC" w:rsidRDefault="003734EC">
            <w:pPr>
              <w:rPr>
                <w:rFonts w:ascii="宋体"/>
              </w:rPr>
            </w:pPr>
          </w:p>
        </w:tc>
        <w:tc>
          <w:tcPr>
            <w:tcW w:w="0" w:type="auto"/>
            <w:shd w:val="clear" w:color="auto" w:fill="auto"/>
            <w:vAlign w:val="center"/>
          </w:tcPr>
          <w:p w14:paraId="3693E12E" w14:textId="77777777" w:rsidR="003734EC" w:rsidRDefault="003734EC">
            <w:pPr>
              <w:rPr>
                <w:rFonts w:ascii="宋体"/>
              </w:rPr>
            </w:pPr>
          </w:p>
        </w:tc>
        <w:tc>
          <w:tcPr>
            <w:tcW w:w="0" w:type="auto"/>
            <w:shd w:val="clear" w:color="auto" w:fill="auto"/>
            <w:vAlign w:val="center"/>
          </w:tcPr>
          <w:p w14:paraId="3693E12F" w14:textId="77777777" w:rsidR="003734EC" w:rsidRDefault="003734EC">
            <w:pPr>
              <w:rPr>
                <w:rFonts w:ascii="宋体"/>
              </w:rPr>
            </w:pPr>
          </w:p>
        </w:tc>
        <w:tc>
          <w:tcPr>
            <w:tcW w:w="0" w:type="auto"/>
            <w:shd w:val="clear" w:color="auto" w:fill="auto"/>
            <w:vAlign w:val="center"/>
          </w:tcPr>
          <w:p w14:paraId="3693E130" w14:textId="77777777" w:rsidR="003734EC" w:rsidRDefault="003734EC">
            <w:pPr>
              <w:rPr>
                <w:rFonts w:ascii="宋体"/>
              </w:rPr>
            </w:pPr>
          </w:p>
        </w:tc>
        <w:tc>
          <w:tcPr>
            <w:tcW w:w="0" w:type="auto"/>
            <w:shd w:val="clear" w:color="auto" w:fill="auto"/>
            <w:vAlign w:val="center"/>
          </w:tcPr>
          <w:p w14:paraId="3693E131" w14:textId="77777777" w:rsidR="003734EC" w:rsidRDefault="003734EC">
            <w:pPr>
              <w:rPr>
                <w:rFonts w:ascii="宋体"/>
              </w:rPr>
            </w:pPr>
          </w:p>
        </w:tc>
        <w:tc>
          <w:tcPr>
            <w:tcW w:w="0" w:type="auto"/>
            <w:shd w:val="clear" w:color="auto" w:fill="auto"/>
            <w:vAlign w:val="center"/>
          </w:tcPr>
          <w:p w14:paraId="3693E132" w14:textId="77777777" w:rsidR="003734EC" w:rsidRDefault="003734EC">
            <w:pPr>
              <w:rPr>
                <w:rFonts w:ascii="宋体"/>
              </w:rPr>
            </w:pPr>
          </w:p>
        </w:tc>
        <w:tc>
          <w:tcPr>
            <w:tcW w:w="0" w:type="auto"/>
            <w:shd w:val="clear" w:color="auto" w:fill="auto"/>
            <w:vAlign w:val="center"/>
          </w:tcPr>
          <w:p w14:paraId="3693E133" w14:textId="77777777" w:rsidR="003734EC" w:rsidRDefault="003734EC">
            <w:pPr>
              <w:rPr>
                <w:rFonts w:ascii="宋体"/>
              </w:rPr>
            </w:pPr>
          </w:p>
        </w:tc>
        <w:tc>
          <w:tcPr>
            <w:tcW w:w="0" w:type="auto"/>
            <w:shd w:val="clear" w:color="auto" w:fill="auto"/>
            <w:vAlign w:val="center"/>
          </w:tcPr>
          <w:p w14:paraId="3693E134" w14:textId="77777777" w:rsidR="003734EC" w:rsidRDefault="003734EC">
            <w:pPr>
              <w:rPr>
                <w:rFonts w:ascii="宋体"/>
              </w:rPr>
            </w:pPr>
          </w:p>
        </w:tc>
      </w:tr>
      <w:tr w:rsidR="003734EC" w14:paraId="3693E15A" w14:textId="77777777">
        <w:trPr>
          <w:jc w:val="center"/>
        </w:trPr>
        <w:tc>
          <w:tcPr>
            <w:tcW w:w="0" w:type="auto"/>
            <w:gridSpan w:val="3"/>
            <w:shd w:val="clear" w:color="auto" w:fill="FFFFFF"/>
            <w:tcMar>
              <w:top w:w="40" w:type="dxa"/>
              <w:left w:w="20" w:type="dxa"/>
              <w:bottom w:w="40" w:type="dxa"/>
              <w:right w:w="20" w:type="dxa"/>
            </w:tcMar>
            <w:vAlign w:val="bottom"/>
          </w:tcPr>
          <w:p w14:paraId="3693E136" w14:textId="77777777" w:rsidR="003734EC" w:rsidRDefault="000E364E">
            <w:pPr>
              <w:textAlignment w:val="bottom"/>
            </w:pPr>
            <w:r>
              <w:rPr>
                <w:rFonts w:ascii="sans-serif" w:eastAsia="sans-serif" w:hAnsi="sans-serif" w:cs="sans-serif"/>
                <w:color w:val="000000"/>
                <w:sz w:val="15"/>
                <w:szCs w:val="15"/>
              </w:rPr>
              <w:t>Cash dividends declared and paid ($0.16 per common share)</w:t>
            </w:r>
          </w:p>
        </w:tc>
        <w:tc>
          <w:tcPr>
            <w:tcW w:w="0" w:type="auto"/>
            <w:gridSpan w:val="2"/>
            <w:shd w:val="clear" w:color="auto" w:fill="FFFFFF"/>
            <w:tcMar>
              <w:top w:w="40" w:type="dxa"/>
              <w:left w:w="20" w:type="dxa"/>
              <w:bottom w:w="40" w:type="dxa"/>
              <w:right w:w="0" w:type="dxa"/>
            </w:tcMar>
            <w:vAlign w:val="bottom"/>
          </w:tcPr>
          <w:p w14:paraId="3693E13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3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3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3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3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3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3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3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3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4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41"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4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4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4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4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46" w14:textId="77777777" w:rsidR="003734EC" w:rsidRDefault="000E364E">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bottom w:w="40" w:type="dxa"/>
              <w:right w:w="20" w:type="dxa"/>
            </w:tcMar>
            <w:vAlign w:val="bottom"/>
          </w:tcPr>
          <w:p w14:paraId="3693E14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48"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149" w14:textId="77777777" w:rsidR="003734EC" w:rsidRDefault="000E364E">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bottom w:w="40" w:type="dxa"/>
              <w:right w:w="20" w:type="dxa"/>
            </w:tcMar>
            <w:vAlign w:val="bottom"/>
          </w:tcPr>
          <w:p w14:paraId="3693E14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14B" w14:textId="77777777" w:rsidR="003734EC" w:rsidRDefault="003734EC">
            <w:pPr>
              <w:rPr>
                <w:rFonts w:ascii="宋体"/>
              </w:rPr>
            </w:pPr>
          </w:p>
        </w:tc>
        <w:tc>
          <w:tcPr>
            <w:tcW w:w="0" w:type="auto"/>
            <w:shd w:val="clear" w:color="auto" w:fill="auto"/>
            <w:vAlign w:val="center"/>
          </w:tcPr>
          <w:p w14:paraId="3693E14C" w14:textId="77777777" w:rsidR="003734EC" w:rsidRDefault="003734EC">
            <w:pPr>
              <w:rPr>
                <w:rFonts w:ascii="宋体"/>
              </w:rPr>
            </w:pPr>
          </w:p>
        </w:tc>
        <w:tc>
          <w:tcPr>
            <w:tcW w:w="0" w:type="auto"/>
            <w:shd w:val="clear" w:color="auto" w:fill="auto"/>
            <w:vAlign w:val="center"/>
          </w:tcPr>
          <w:p w14:paraId="3693E14D" w14:textId="77777777" w:rsidR="003734EC" w:rsidRDefault="003734EC">
            <w:pPr>
              <w:rPr>
                <w:rFonts w:ascii="宋体"/>
              </w:rPr>
            </w:pPr>
          </w:p>
        </w:tc>
        <w:tc>
          <w:tcPr>
            <w:tcW w:w="0" w:type="auto"/>
            <w:shd w:val="clear" w:color="auto" w:fill="auto"/>
            <w:vAlign w:val="center"/>
          </w:tcPr>
          <w:p w14:paraId="3693E14E" w14:textId="77777777" w:rsidR="003734EC" w:rsidRDefault="003734EC">
            <w:pPr>
              <w:rPr>
                <w:rFonts w:ascii="宋体"/>
              </w:rPr>
            </w:pPr>
          </w:p>
        </w:tc>
        <w:tc>
          <w:tcPr>
            <w:tcW w:w="0" w:type="auto"/>
            <w:shd w:val="clear" w:color="auto" w:fill="auto"/>
            <w:vAlign w:val="center"/>
          </w:tcPr>
          <w:p w14:paraId="3693E14F" w14:textId="77777777" w:rsidR="003734EC" w:rsidRDefault="003734EC">
            <w:pPr>
              <w:rPr>
                <w:rFonts w:ascii="宋体"/>
              </w:rPr>
            </w:pPr>
          </w:p>
        </w:tc>
        <w:tc>
          <w:tcPr>
            <w:tcW w:w="0" w:type="auto"/>
            <w:shd w:val="clear" w:color="auto" w:fill="auto"/>
            <w:vAlign w:val="center"/>
          </w:tcPr>
          <w:p w14:paraId="3693E150" w14:textId="77777777" w:rsidR="003734EC" w:rsidRDefault="003734EC">
            <w:pPr>
              <w:rPr>
                <w:rFonts w:ascii="宋体"/>
              </w:rPr>
            </w:pPr>
          </w:p>
        </w:tc>
        <w:tc>
          <w:tcPr>
            <w:tcW w:w="0" w:type="auto"/>
            <w:shd w:val="clear" w:color="auto" w:fill="auto"/>
            <w:vAlign w:val="center"/>
          </w:tcPr>
          <w:p w14:paraId="3693E151" w14:textId="77777777" w:rsidR="003734EC" w:rsidRDefault="003734EC">
            <w:pPr>
              <w:rPr>
                <w:rFonts w:ascii="宋体"/>
              </w:rPr>
            </w:pPr>
          </w:p>
        </w:tc>
        <w:tc>
          <w:tcPr>
            <w:tcW w:w="0" w:type="auto"/>
            <w:shd w:val="clear" w:color="auto" w:fill="auto"/>
            <w:vAlign w:val="center"/>
          </w:tcPr>
          <w:p w14:paraId="3693E152" w14:textId="77777777" w:rsidR="003734EC" w:rsidRDefault="003734EC">
            <w:pPr>
              <w:rPr>
                <w:rFonts w:ascii="宋体"/>
              </w:rPr>
            </w:pPr>
          </w:p>
        </w:tc>
        <w:tc>
          <w:tcPr>
            <w:tcW w:w="0" w:type="auto"/>
            <w:shd w:val="clear" w:color="auto" w:fill="auto"/>
            <w:vAlign w:val="center"/>
          </w:tcPr>
          <w:p w14:paraId="3693E153" w14:textId="77777777" w:rsidR="003734EC" w:rsidRDefault="003734EC">
            <w:pPr>
              <w:rPr>
                <w:rFonts w:ascii="宋体"/>
              </w:rPr>
            </w:pPr>
          </w:p>
        </w:tc>
        <w:tc>
          <w:tcPr>
            <w:tcW w:w="0" w:type="auto"/>
            <w:shd w:val="clear" w:color="auto" w:fill="auto"/>
            <w:vAlign w:val="center"/>
          </w:tcPr>
          <w:p w14:paraId="3693E154" w14:textId="77777777" w:rsidR="003734EC" w:rsidRDefault="003734EC">
            <w:pPr>
              <w:rPr>
                <w:rFonts w:ascii="宋体"/>
              </w:rPr>
            </w:pPr>
          </w:p>
        </w:tc>
        <w:tc>
          <w:tcPr>
            <w:tcW w:w="0" w:type="auto"/>
            <w:shd w:val="clear" w:color="auto" w:fill="auto"/>
            <w:vAlign w:val="center"/>
          </w:tcPr>
          <w:p w14:paraId="3693E155" w14:textId="77777777" w:rsidR="003734EC" w:rsidRDefault="003734EC">
            <w:pPr>
              <w:rPr>
                <w:rFonts w:ascii="宋体"/>
              </w:rPr>
            </w:pPr>
          </w:p>
        </w:tc>
        <w:tc>
          <w:tcPr>
            <w:tcW w:w="0" w:type="auto"/>
            <w:shd w:val="clear" w:color="auto" w:fill="auto"/>
            <w:vAlign w:val="center"/>
          </w:tcPr>
          <w:p w14:paraId="3693E156" w14:textId="77777777" w:rsidR="003734EC" w:rsidRDefault="003734EC">
            <w:pPr>
              <w:rPr>
                <w:rFonts w:ascii="宋体"/>
              </w:rPr>
            </w:pPr>
          </w:p>
        </w:tc>
        <w:tc>
          <w:tcPr>
            <w:tcW w:w="0" w:type="auto"/>
            <w:shd w:val="clear" w:color="auto" w:fill="auto"/>
            <w:vAlign w:val="center"/>
          </w:tcPr>
          <w:p w14:paraId="3693E157" w14:textId="77777777" w:rsidR="003734EC" w:rsidRDefault="003734EC">
            <w:pPr>
              <w:rPr>
                <w:rFonts w:ascii="宋体"/>
              </w:rPr>
            </w:pPr>
          </w:p>
        </w:tc>
        <w:tc>
          <w:tcPr>
            <w:tcW w:w="0" w:type="auto"/>
            <w:shd w:val="clear" w:color="auto" w:fill="auto"/>
            <w:vAlign w:val="center"/>
          </w:tcPr>
          <w:p w14:paraId="3693E158" w14:textId="77777777" w:rsidR="003734EC" w:rsidRDefault="003734EC">
            <w:pPr>
              <w:rPr>
                <w:rFonts w:ascii="宋体"/>
              </w:rPr>
            </w:pPr>
          </w:p>
        </w:tc>
        <w:tc>
          <w:tcPr>
            <w:tcW w:w="0" w:type="auto"/>
            <w:shd w:val="clear" w:color="auto" w:fill="auto"/>
            <w:vAlign w:val="center"/>
          </w:tcPr>
          <w:p w14:paraId="3693E159" w14:textId="77777777" w:rsidR="003734EC" w:rsidRDefault="003734EC">
            <w:pPr>
              <w:rPr>
                <w:rFonts w:ascii="宋体"/>
              </w:rPr>
            </w:pPr>
          </w:p>
        </w:tc>
      </w:tr>
      <w:tr w:rsidR="003734EC" w14:paraId="3693E17F" w14:textId="77777777">
        <w:trPr>
          <w:jc w:val="center"/>
        </w:trPr>
        <w:tc>
          <w:tcPr>
            <w:tcW w:w="0" w:type="auto"/>
            <w:gridSpan w:val="3"/>
            <w:shd w:val="clear" w:color="auto" w:fill="E2EFD9"/>
            <w:tcMar>
              <w:top w:w="40" w:type="dxa"/>
              <w:left w:w="20" w:type="dxa"/>
              <w:bottom w:w="40" w:type="dxa"/>
              <w:right w:w="20" w:type="dxa"/>
            </w:tcMar>
            <w:vAlign w:val="bottom"/>
          </w:tcPr>
          <w:p w14:paraId="3693E15B" w14:textId="77777777" w:rsidR="003734EC" w:rsidRDefault="000E364E">
            <w:pPr>
              <w:textAlignment w:val="bottom"/>
            </w:pPr>
            <w:r>
              <w:rPr>
                <w:rFonts w:ascii="sans-serif" w:eastAsia="sans-serif" w:hAnsi="sans-serif" w:cs="sans-serif"/>
                <w:color w:val="000000"/>
                <w:sz w:val="15"/>
                <w:szCs w:val="15"/>
              </w:rPr>
              <w:t>Stock-based compensatio</w:t>
            </w:r>
            <w:r>
              <w:rPr>
                <w:rFonts w:ascii="sans-serif" w:eastAsia="sans-serif" w:hAnsi="sans-serif" w:cs="sans-serif"/>
                <w:color w:val="000000"/>
                <w:sz w:val="15"/>
                <w:szCs w:val="15"/>
              </w:rPr>
              <w:t>n</w:t>
            </w:r>
          </w:p>
        </w:tc>
        <w:tc>
          <w:tcPr>
            <w:tcW w:w="0" w:type="auto"/>
            <w:gridSpan w:val="2"/>
            <w:shd w:val="clear" w:color="auto" w:fill="E2EFD9"/>
            <w:tcMar>
              <w:top w:w="40" w:type="dxa"/>
              <w:left w:w="20" w:type="dxa"/>
              <w:bottom w:w="40" w:type="dxa"/>
              <w:right w:w="0" w:type="dxa"/>
            </w:tcMar>
            <w:vAlign w:val="bottom"/>
          </w:tcPr>
          <w:p w14:paraId="3693E15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5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5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5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6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6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62" w14:textId="77777777" w:rsidR="003734EC" w:rsidRDefault="000E364E">
            <w:pPr>
              <w:jc w:val="right"/>
              <w:textAlignment w:val="bottom"/>
            </w:pPr>
            <w:r>
              <w:rPr>
                <w:rFonts w:ascii="sans-serif" w:eastAsia="sans-serif" w:hAnsi="sans-serif" w:cs="sans-serif"/>
                <w:color w:val="000000"/>
                <w:sz w:val="15"/>
                <w:szCs w:val="15"/>
              </w:rPr>
              <w:t>221 </w:t>
            </w:r>
          </w:p>
        </w:tc>
        <w:tc>
          <w:tcPr>
            <w:tcW w:w="0" w:type="auto"/>
            <w:shd w:val="clear" w:color="auto" w:fill="E2EFD9"/>
            <w:tcMar>
              <w:top w:w="40" w:type="dxa"/>
              <w:bottom w:w="40" w:type="dxa"/>
              <w:right w:w="20" w:type="dxa"/>
            </w:tcMar>
            <w:vAlign w:val="bottom"/>
          </w:tcPr>
          <w:p w14:paraId="3693E16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64"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65"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6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67"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6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69"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6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6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16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E2EFD9"/>
            <w:tcMar>
              <w:left w:w="20" w:type="dxa"/>
              <w:right w:w="20" w:type="dxa"/>
            </w:tcMar>
            <w:vAlign w:val="bottom"/>
          </w:tcPr>
          <w:p w14:paraId="3693E16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16E" w14:textId="77777777" w:rsidR="003734EC" w:rsidRDefault="000E364E">
            <w:pPr>
              <w:jc w:val="right"/>
              <w:textAlignment w:val="bottom"/>
            </w:pPr>
            <w:r>
              <w:rPr>
                <w:rFonts w:ascii="sans-serif" w:eastAsia="sans-serif" w:hAnsi="sans-serif" w:cs="sans-serif"/>
                <w:color w:val="000000"/>
                <w:sz w:val="15"/>
                <w:szCs w:val="15"/>
              </w:rPr>
              <w:t>221 </w:t>
            </w:r>
          </w:p>
        </w:tc>
        <w:tc>
          <w:tcPr>
            <w:tcW w:w="0" w:type="auto"/>
            <w:shd w:val="clear" w:color="auto" w:fill="E2EFD9"/>
            <w:tcMar>
              <w:top w:w="40" w:type="dxa"/>
              <w:bottom w:w="40" w:type="dxa"/>
              <w:right w:w="20" w:type="dxa"/>
            </w:tcMar>
            <w:vAlign w:val="bottom"/>
          </w:tcPr>
          <w:p w14:paraId="3693E16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170" w14:textId="77777777" w:rsidR="003734EC" w:rsidRDefault="003734EC">
            <w:pPr>
              <w:rPr>
                <w:rFonts w:ascii="宋体"/>
              </w:rPr>
            </w:pPr>
          </w:p>
        </w:tc>
        <w:tc>
          <w:tcPr>
            <w:tcW w:w="0" w:type="auto"/>
            <w:shd w:val="clear" w:color="auto" w:fill="auto"/>
            <w:vAlign w:val="center"/>
          </w:tcPr>
          <w:p w14:paraId="3693E171" w14:textId="77777777" w:rsidR="003734EC" w:rsidRDefault="003734EC">
            <w:pPr>
              <w:rPr>
                <w:rFonts w:ascii="宋体"/>
              </w:rPr>
            </w:pPr>
          </w:p>
        </w:tc>
        <w:tc>
          <w:tcPr>
            <w:tcW w:w="0" w:type="auto"/>
            <w:shd w:val="clear" w:color="auto" w:fill="auto"/>
            <w:vAlign w:val="center"/>
          </w:tcPr>
          <w:p w14:paraId="3693E172" w14:textId="77777777" w:rsidR="003734EC" w:rsidRDefault="003734EC">
            <w:pPr>
              <w:rPr>
                <w:rFonts w:ascii="宋体"/>
              </w:rPr>
            </w:pPr>
          </w:p>
        </w:tc>
        <w:tc>
          <w:tcPr>
            <w:tcW w:w="0" w:type="auto"/>
            <w:shd w:val="clear" w:color="auto" w:fill="auto"/>
            <w:vAlign w:val="center"/>
          </w:tcPr>
          <w:p w14:paraId="3693E173" w14:textId="77777777" w:rsidR="003734EC" w:rsidRDefault="003734EC">
            <w:pPr>
              <w:rPr>
                <w:rFonts w:ascii="宋体"/>
              </w:rPr>
            </w:pPr>
          </w:p>
        </w:tc>
        <w:tc>
          <w:tcPr>
            <w:tcW w:w="0" w:type="auto"/>
            <w:shd w:val="clear" w:color="auto" w:fill="auto"/>
            <w:vAlign w:val="center"/>
          </w:tcPr>
          <w:p w14:paraId="3693E174" w14:textId="77777777" w:rsidR="003734EC" w:rsidRDefault="003734EC">
            <w:pPr>
              <w:rPr>
                <w:rFonts w:ascii="宋体"/>
              </w:rPr>
            </w:pPr>
          </w:p>
        </w:tc>
        <w:tc>
          <w:tcPr>
            <w:tcW w:w="0" w:type="auto"/>
            <w:shd w:val="clear" w:color="auto" w:fill="auto"/>
            <w:vAlign w:val="center"/>
          </w:tcPr>
          <w:p w14:paraId="3693E175" w14:textId="77777777" w:rsidR="003734EC" w:rsidRDefault="003734EC">
            <w:pPr>
              <w:rPr>
                <w:rFonts w:ascii="宋体"/>
              </w:rPr>
            </w:pPr>
          </w:p>
        </w:tc>
        <w:tc>
          <w:tcPr>
            <w:tcW w:w="0" w:type="auto"/>
            <w:shd w:val="clear" w:color="auto" w:fill="auto"/>
            <w:vAlign w:val="center"/>
          </w:tcPr>
          <w:p w14:paraId="3693E176" w14:textId="77777777" w:rsidR="003734EC" w:rsidRDefault="003734EC">
            <w:pPr>
              <w:rPr>
                <w:rFonts w:ascii="宋体"/>
              </w:rPr>
            </w:pPr>
          </w:p>
        </w:tc>
        <w:tc>
          <w:tcPr>
            <w:tcW w:w="0" w:type="auto"/>
            <w:shd w:val="clear" w:color="auto" w:fill="auto"/>
            <w:vAlign w:val="center"/>
          </w:tcPr>
          <w:p w14:paraId="3693E177" w14:textId="77777777" w:rsidR="003734EC" w:rsidRDefault="003734EC">
            <w:pPr>
              <w:rPr>
                <w:rFonts w:ascii="宋体"/>
              </w:rPr>
            </w:pPr>
          </w:p>
        </w:tc>
        <w:tc>
          <w:tcPr>
            <w:tcW w:w="0" w:type="auto"/>
            <w:shd w:val="clear" w:color="auto" w:fill="auto"/>
            <w:vAlign w:val="center"/>
          </w:tcPr>
          <w:p w14:paraId="3693E178" w14:textId="77777777" w:rsidR="003734EC" w:rsidRDefault="003734EC">
            <w:pPr>
              <w:rPr>
                <w:rFonts w:ascii="宋体"/>
              </w:rPr>
            </w:pPr>
          </w:p>
        </w:tc>
        <w:tc>
          <w:tcPr>
            <w:tcW w:w="0" w:type="auto"/>
            <w:shd w:val="clear" w:color="auto" w:fill="auto"/>
            <w:vAlign w:val="center"/>
          </w:tcPr>
          <w:p w14:paraId="3693E179" w14:textId="77777777" w:rsidR="003734EC" w:rsidRDefault="003734EC">
            <w:pPr>
              <w:rPr>
                <w:rFonts w:ascii="宋体"/>
              </w:rPr>
            </w:pPr>
          </w:p>
        </w:tc>
        <w:tc>
          <w:tcPr>
            <w:tcW w:w="0" w:type="auto"/>
            <w:shd w:val="clear" w:color="auto" w:fill="auto"/>
            <w:vAlign w:val="center"/>
          </w:tcPr>
          <w:p w14:paraId="3693E17A" w14:textId="77777777" w:rsidR="003734EC" w:rsidRDefault="003734EC">
            <w:pPr>
              <w:rPr>
                <w:rFonts w:ascii="宋体"/>
              </w:rPr>
            </w:pPr>
          </w:p>
        </w:tc>
        <w:tc>
          <w:tcPr>
            <w:tcW w:w="0" w:type="auto"/>
            <w:shd w:val="clear" w:color="auto" w:fill="auto"/>
            <w:vAlign w:val="center"/>
          </w:tcPr>
          <w:p w14:paraId="3693E17B" w14:textId="77777777" w:rsidR="003734EC" w:rsidRDefault="003734EC">
            <w:pPr>
              <w:rPr>
                <w:rFonts w:ascii="宋体"/>
              </w:rPr>
            </w:pPr>
          </w:p>
        </w:tc>
        <w:tc>
          <w:tcPr>
            <w:tcW w:w="0" w:type="auto"/>
            <w:shd w:val="clear" w:color="auto" w:fill="auto"/>
            <w:vAlign w:val="center"/>
          </w:tcPr>
          <w:p w14:paraId="3693E17C" w14:textId="77777777" w:rsidR="003734EC" w:rsidRDefault="003734EC">
            <w:pPr>
              <w:rPr>
                <w:rFonts w:ascii="宋体"/>
              </w:rPr>
            </w:pPr>
          </w:p>
        </w:tc>
        <w:tc>
          <w:tcPr>
            <w:tcW w:w="0" w:type="auto"/>
            <w:shd w:val="clear" w:color="auto" w:fill="auto"/>
            <w:vAlign w:val="center"/>
          </w:tcPr>
          <w:p w14:paraId="3693E17D" w14:textId="77777777" w:rsidR="003734EC" w:rsidRDefault="003734EC">
            <w:pPr>
              <w:rPr>
                <w:rFonts w:ascii="宋体"/>
              </w:rPr>
            </w:pPr>
          </w:p>
        </w:tc>
        <w:tc>
          <w:tcPr>
            <w:tcW w:w="0" w:type="auto"/>
            <w:shd w:val="clear" w:color="auto" w:fill="auto"/>
            <w:vAlign w:val="center"/>
          </w:tcPr>
          <w:p w14:paraId="3693E17E" w14:textId="77777777" w:rsidR="003734EC" w:rsidRDefault="003734EC">
            <w:pPr>
              <w:rPr>
                <w:rFonts w:ascii="宋体"/>
              </w:rPr>
            </w:pPr>
          </w:p>
        </w:tc>
      </w:tr>
      <w:tr w:rsidR="003734EC" w14:paraId="3693E1AA" w14:textId="77777777">
        <w:trPr>
          <w:jc w:val="center"/>
        </w:trPr>
        <w:tc>
          <w:tcPr>
            <w:tcW w:w="0" w:type="auto"/>
            <w:gridSpan w:val="3"/>
            <w:shd w:val="clear" w:color="auto" w:fill="FFFFFF"/>
            <w:tcMar>
              <w:top w:w="40" w:type="dxa"/>
              <w:left w:w="20" w:type="dxa"/>
              <w:bottom w:w="40" w:type="dxa"/>
              <w:right w:w="20" w:type="dxa"/>
            </w:tcMar>
            <w:vAlign w:val="bottom"/>
          </w:tcPr>
          <w:p w14:paraId="3693E180" w14:textId="77777777" w:rsidR="003734EC" w:rsidRDefault="000E364E">
            <w:pPr>
              <w:textAlignment w:val="bottom"/>
            </w:pPr>
            <w:r>
              <w:rPr>
                <w:rFonts w:ascii="sans-serif" w:eastAsia="sans-serif" w:hAnsi="sans-serif" w:cs="sans-serif"/>
                <w:color w:val="000000"/>
                <w:sz w:val="15"/>
                <w:szCs w:val="15"/>
              </w:rPr>
              <w:t xml:space="preserve">Balances, April 26, </w:t>
            </w:r>
            <w:r>
              <w:rPr>
                <w:rFonts w:ascii="sans-serif" w:eastAsia="sans-serif" w:hAnsi="sans-serif" w:cs="sans-serif"/>
                <w:color w:val="000000"/>
                <w:sz w:val="15"/>
                <w:szCs w:val="15"/>
              </w:rPr>
              <w:t>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181" w14:textId="77777777" w:rsidR="003734EC" w:rsidRDefault="000E364E">
            <w:pPr>
              <w:jc w:val="right"/>
              <w:textAlignment w:val="bottom"/>
            </w:pPr>
            <w:r>
              <w:rPr>
                <w:rFonts w:ascii="sans-serif" w:eastAsia="sans-serif" w:hAnsi="sans-serif" w:cs="sans-serif"/>
                <w:color w:val="000000"/>
                <w:sz w:val="15"/>
                <w:szCs w:val="15"/>
              </w:rPr>
              <w:t>615 </w:t>
            </w:r>
          </w:p>
        </w:tc>
        <w:tc>
          <w:tcPr>
            <w:tcW w:w="0" w:type="auto"/>
            <w:tcBorders>
              <w:top w:val="single" w:sz="8" w:space="0" w:color="000000"/>
            </w:tcBorders>
            <w:shd w:val="clear" w:color="auto" w:fill="FFFFFF"/>
            <w:tcMar>
              <w:top w:w="40" w:type="dxa"/>
              <w:bottom w:w="40" w:type="dxa"/>
              <w:right w:w="20" w:type="dxa"/>
            </w:tcMar>
            <w:vAlign w:val="bottom"/>
          </w:tcPr>
          <w:p w14:paraId="3693E18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83"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84"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85" w14:textId="77777777" w:rsidR="003734EC" w:rsidRDefault="000E364E">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FFFFFF"/>
            <w:tcMar>
              <w:top w:w="40" w:type="dxa"/>
              <w:bottom w:w="40" w:type="dxa"/>
              <w:right w:w="20" w:type="dxa"/>
            </w:tcMar>
            <w:vAlign w:val="bottom"/>
          </w:tcPr>
          <w:p w14:paraId="3693E18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87"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88"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89" w14:textId="77777777" w:rsidR="003734EC" w:rsidRDefault="000E364E">
            <w:pPr>
              <w:jc w:val="right"/>
              <w:textAlignment w:val="bottom"/>
            </w:pPr>
            <w:r>
              <w:rPr>
                <w:rFonts w:ascii="sans-serif" w:eastAsia="sans-serif" w:hAnsi="sans-serif" w:cs="sans-serif"/>
                <w:color w:val="000000"/>
                <w:sz w:val="15"/>
                <w:szCs w:val="15"/>
              </w:rPr>
              <w:t>7,354 </w:t>
            </w:r>
          </w:p>
        </w:tc>
        <w:tc>
          <w:tcPr>
            <w:tcW w:w="0" w:type="auto"/>
            <w:tcBorders>
              <w:top w:val="single" w:sz="8" w:space="0" w:color="000000"/>
            </w:tcBorders>
            <w:shd w:val="clear" w:color="auto" w:fill="FFFFFF"/>
            <w:tcMar>
              <w:top w:w="40" w:type="dxa"/>
              <w:bottom w:w="40" w:type="dxa"/>
              <w:right w:w="20" w:type="dxa"/>
            </w:tcMar>
            <w:vAlign w:val="bottom"/>
          </w:tcPr>
          <w:p w14:paraId="3693E18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8B"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8C"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8D" w14:textId="77777777" w:rsidR="003734EC" w:rsidRDefault="000E364E">
            <w:pPr>
              <w:jc w:val="right"/>
              <w:textAlignment w:val="bottom"/>
            </w:pPr>
            <w:r>
              <w:rPr>
                <w:rFonts w:ascii="sans-serif" w:eastAsia="sans-serif" w:hAnsi="sans-serif" w:cs="sans-serif"/>
                <w:color w:val="000000"/>
                <w:sz w:val="15"/>
                <w:szCs w:val="15"/>
              </w:rPr>
              <w:t>(10,036)</w:t>
            </w:r>
          </w:p>
        </w:tc>
        <w:tc>
          <w:tcPr>
            <w:tcW w:w="0" w:type="auto"/>
            <w:tcBorders>
              <w:top w:val="single" w:sz="8" w:space="0" w:color="000000"/>
            </w:tcBorders>
            <w:shd w:val="clear" w:color="auto" w:fill="FFFFFF"/>
            <w:tcMar>
              <w:top w:w="40" w:type="dxa"/>
              <w:bottom w:w="40" w:type="dxa"/>
              <w:right w:w="20" w:type="dxa"/>
            </w:tcMar>
            <w:vAlign w:val="bottom"/>
          </w:tcPr>
          <w:p w14:paraId="3693E18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8F"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90"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91" w14:textId="77777777" w:rsidR="003734EC" w:rsidRDefault="000E364E">
            <w:pPr>
              <w:jc w:val="right"/>
              <w:textAlignment w:val="bottom"/>
            </w:pPr>
            <w:r>
              <w:rPr>
                <w:rFonts w:ascii="sans-serif" w:eastAsia="sans-serif" w:hAnsi="sans-serif" w:cs="sans-serif"/>
                <w:color w:val="000000"/>
                <w:sz w:val="15"/>
                <w:szCs w:val="15"/>
              </w:rPr>
              <w:t>(10)</w:t>
            </w:r>
          </w:p>
        </w:tc>
        <w:tc>
          <w:tcPr>
            <w:tcW w:w="0" w:type="auto"/>
            <w:tcBorders>
              <w:top w:val="single" w:sz="8" w:space="0" w:color="000000"/>
            </w:tcBorders>
            <w:shd w:val="clear" w:color="auto" w:fill="FFFFFF"/>
            <w:tcMar>
              <w:top w:w="40" w:type="dxa"/>
              <w:bottom w:w="40" w:type="dxa"/>
              <w:right w:w="20" w:type="dxa"/>
            </w:tcMar>
            <w:vAlign w:val="bottom"/>
          </w:tcPr>
          <w:p w14:paraId="3693E19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93"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94"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95" w14:textId="77777777" w:rsidR="003734EC" w:rsidRDefault="000E364E">
            <w:pPr>
              <w:jc w:val="right"/>
              <w:textAlignment w:val="bottom"/>
            </w:pPr>
            <w:r>
              <w:rPr>
                <w:rFonts w:ascii="sans-serif" w:eastAsia="sans-serif" w:hAnsi="sans-serif" w:cs="sans-serif"/>
                <w:color w:val="000000"/>
                <w:sz w:val="15"/>
                <w:szCs w:val="15"/>
              </w:rPr>
              <w:t>15,790 </w:t>
            </w:r>
          </w:p>
        </w:tc>
        <w:tc>
          <w:tcPr>
            <w:tcW w:w="0" w:type="auto"/>
            <w:tcBorders>
              <w:top w:val="single" w:sz="8" w:space="0" w:color="000000"/>
            </w:tcBorders>
            <w:shd w:val="clear" w:color="auto" w:fill="FFFFFF"/>
            <w:tcMar>
              <w:top w:w="40" w:type="dxa"/>
              <w:bottom w:w="40" w:type="dxa"/>
              <w:right w:w="20" w:type="dxa"/>
            </w:tcMar>
            <w:vAlign w:val="bottom"/>
          </w:tcPr>
          <w:p w14:paraId="3693E19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3"/>
            <w:shd w:val="clear" w:color="auto" w:fill="FFFFFF"/>
            <w:tcMar>
              <w:left w:w="20" w:type="dxa"/>
              <w:right w:w="20" w:type="dxa"/>
            </w:tcMar>
            <w:vAlign w:val="bottom"/>
          </w:tcPr>
          <w:p w14:paraId="3693E197" w14:textId="77777777" w:rsidR="003734EC" w:rsidRDefault="003734EC">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693E198"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bottom w:w="40" w:type="dxa"/>
              <w:right w:w="0" w:type="dxa"/>
            </w:tcMar>
            <w:vAlign w:val="bottom"/>
          </w:tcPr>
          <w:p w14:paraId="3693E199" w14:textId="77777777" w:rsidR="003734EC" w:rsidRDefault="000E364E">
            <w:pPr>
              <w:jc w:val="right"/>
              <w:textAlignment w:val="bottom"/>
            </w:pPr>
            <w:r>
              <w:rPr>
                <w:rFonts w:ascii="sans-serif" w:eastAsia="sans-serif" w:hAnsi="sans-serif" w:cs="sans-serif"/>
                <w:color w:val="000000"/>
                <w:sz w:val="15"/>
                <w:szCs w:val="15"/>
              </w:rPr>
              <w:t>13,099 </w:t>
            </w:r>
          </w:p>
        </w:tc>
        <w:tc>
          <w:tcPr>
            <w:tcW w:w="0" w:type="auto"/>
            <w:tcBorders>
              <w:top w:val="single" w:sz="8" w:space="0" w:color="000000"/>
            </w:tcBorders>
            <w:shd w:val="clear" w:color="auto" w:fill="FFFFFF"/>
            <w:tcMar>
              <w:top w:w="40" w:type="dxa"/>
              <w:bottom w:w="40" w:type="dxa"/>
              <w:right w:w="20" w:type="dxa"/>
            </w:tcMar>
            <w:vAlign w:val="bottom"/>
          </w:tcPr>
          <w:p w14:paraId="3693E19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19B" w14:textId="77777777" w:rsidR="003734EC" w:rsidRDefault="003734EC">
            <w:pPr>
              <w:rPr>
                <w:rFonts w:ascii="宋体"/>
              </w:rPr>
            </w:pPr>
          </w:p>
        </w:tc>
        <w:tc>
          <w:tcPr>
            <w:tcW w:w="0" w:type="auto"/>
            <w:shd w:val="clear" w:color="auto" w:fill="auto"/>
            <w:vAlign w:val="center"/>
          </w:tcPr>
          <w:p w14:paraId="3693E19C" w14:textId="77777777" w:rsidR="003734EC" w:rsidRDefault="003734EC">
            <w:pPr>
              <w:rPr>
                <w:rFonts w:ascii="宋体"/>
              </w:rPr>
            </w:pPr>
          </w:p>
        </w:tc>
        <w:tc>
          <w:tcPr>
            <w:tcW w:w="0" w:type="auto"/>
            <w:shd w:val="clear" w:color="auto" w:fill="auto"/>
            <w:vAlign w:val="center"/>
          </w:tcPr>
          <w:p w14:paraId="3693E19D" w14:textId="77777777" w:rsidR="003734EC" w:rsidRDefault="003734EC">
            <w:pPr>
              <w:rPr>
                <w:rFonts w:ascii="宋体"/>
              </w:rPr>
            </w:pPr>
          </w:p>
        </w:tc>
        <w:tc>
          <w:tcPr>
            <w:tcW w:w="0" w:type="auto"/>
            <w:shd w:val="clear" w:color="auto" w:fill="auto"/>
            <w:vAlign w:val="center"/>
          </w:tcPr>
          <w:p w14:paraId="3693E19E" w14:textId="77777777" w:rsidR="003734EC" w:rsidRDefault="003734EC">
            <w:pPr>
              <w:rPr>
                <w:rFonts w:ascii="宋体"/>
              </w:rPr>
            </w:pPr>
          </w:p>
        </w:tc>
        <w:tc>
          <w:tcPr>
            <w:tcW w:w="0" w:type="auto"/>
            <w:shd w:val="clear" w:color="auto" w:fill="auto"/>
            <w:vAlign w:val="center"/>
          </w:tcPr>
          <w:p w14:paraId="3693E19F" w14:textId="77777777" w:rsidR="003734EC" w:rsidRDefault="003734EC">
            <w:pPr>
              <w:rPr>
                <w:rFonts w:ascii="宋体"/>
              </w:rPr>
            </w:pPr>
          </w:p>
        </w:tc>
        <w:tc>
          <w:tcPr>
            <w:tcW w:w="0" w:type="auto"/>
            <w:shd w:val="clear" w:color="auto" w:fill="auto"/>
            <w:vAlign w:val="center"/>
          </w:tcPr>
          <w:p w14:paraId="3693E1A0" w14:textId="77777777" w:rsidR="003734EC" w:rsidRDefault="003734EC">
            <w:pPr>
              <w:rPr>
                <w:rFonts w:ascii="宋体"/>
              </w:rPr>
            </w:pPr>
          </w:p>
        </w:tc>
        <w:tc>
          <w:tcPr>
            <w:tcW w:w="0" w:type="auto"/>
            <w:shd w:val="clear" w:color="auto" w:fill="auto"/>
            <w:vAlign w:val="center"/>
          </w:tcPr>
          <w:p w14:paraId="3693E1A1" w14:textId="77777777" w:rsidR="003734EC" w:rsidRDefault="003734EC">
            <w:pPr>
              <w:rPr>
                <w:rFonts w:ascii="宋体"/>
              </w:rPr>
            </w:pPr>
          </w:p>
        </w:tc>
        <w:tc>
          <w:tcPr>
            <w:tcW w:w="0" w:type="auto"/>
            <w:shd w:val="clear" w:color="auto" w:fill="auto"/>
            <w:vAlign w:val="center"/>
          </w:tcPr>
          <w:p w14:paraId="3693E1A2" w14:textId="77777777" w:rsidR="003734EC" w:rsidRDefault="003734EC">
            <w:pPr>
              <w:rPr>
                <w:rFonts w:ascii="宋体"/>
              </w:rPr>
            </w:pPr>
          </w:p>
        </w:tc>
        <w:tc>
          <w:tcPr>
            <w:tcW w:w="0" w:type="auto"/>
            <w:shd w:val="clear" w:color="auto" w:fill="auto"/>
            <w:vAlign w:val="center"/>
          </w:tcPr>
          <w:p w14:paraId="3693E1A3" w14:textId="77777777" w:rsidR="003734EC" w:rsidRDefault="003734EC">
            <w:pPr>
              <w:rPr>
                <w:rFonts w:ascii="宋体"/>
              </w:rPr>
            </w:pPr>
          </w:p>
        </w:tc>
        <w:tc>
          <w:tcPr>
            <w:tcW w:w="0" w:type="auto"/>
            <w:shd w:val="clear" w:color="auto" w:fill="auto"/>
            <w:vAlign w:val="center"/>
          </w:tcPr>
          <w:p w14:paraId="3693E1A4" w14:textId="77777777" w:rsidR="003734EC" w:rsidRDefault="003734EC">
            <w:pPr>
              <w:rPr>
                <w:rFonts w:ascii="宋体"/>
              </w:rPr>
            </w:pPr>
          </w:p>
        </w:tc>
        <w:tc>
          <w:tcPr>
            <w:tcW w:w="0" w:type="auto"/>
            <w:shd w:val="clear" w:color="auto" w:fill="auto"/>
            <w:vAlign w:val="center"/>
          </w:tcPr>
          <w:p w14:paraId="3693E1A5" w14:textId="77777777" w:rsidR="003734EC" w:rsidRDefault="003734EC">
            <w:pPr>
              <w:rPr>
                <w:rFonts w:ascii="宋体"/>
              </w:rPr>
            </w:pPr>
          </w:p>
        </w:tc>
        <w:tc>
          <w:tcPr>
            <w:tcW w:w="0" w:type="auto"/>
            <w:shd w:val="clear" w:color="auto" w:fill="auto"/>
            <w:vAlign w:val="center"/>
          </w:tcPr>
          <w:p w14:paraId="3693E1A6" w14:textId="77777777" w:rsidR="003734EC" w:rsidRDefault="003734EC">
            <w:pPr>
              <w:rPr>
                <w:rFonts w:ascii="宋体"/>
              </w:rPr>
            </w:pPr>
          </w:p>
        </w:tc>
        <w:tc>
          <w:tcPr>
            <w:tcW w:w="0" w:type="auto"/>
            <w:shd w:val="clear" w:color="auto" w:fill="auto"/>
            <w:vAlign w:val="center"/>
          </w:tcPr>
          <w:p w14:paraId="3693E1A7" w14:textId="77777777" w:rsidR="003734EC" w:rsidRDefault="003734EC">
            <w:pPr>
              <w:rPr>
                <w:rFonts w:ascii="宋体"/>
              </w:rPr>
            </w:pPr>
          </w:p>
        </w:tc>
        <w:tc>
          <w:tcPr>
            <w:tcW w:w="0" w:type="auto"/>
            <w:shd w:val="clear" w:color="auto" w:fill="auto"/>
            <w:vAlign w:val="center"/>
          </w:tcPr>
          <w:p w14:paraId="3693E1A8" w14:textId="77777777" w:rsidR="003734EC" w:rsidRDefault="003734EC">
            <w:pPr>
              <w:rPr>
                <w:rFonts w:ascii="宋体"/>
              </w:rPr>
            </w:pPr>
          </w:p>
        </w:tc>
        <w:tc>
          <w:tcPr>
            <w:tcW w:w="0" w:type="auto"/>
            <w:shd w:val="clear" w:color="auto" w:fill="auto"/>
            <w:vAlign w:val="center"/>
          </w:tcPr>
          <w:p w14:paraId="3693E1A9" w14:textId="77777777" w:rsidR="003734EC" w:rsidRDefault="003734EC">
            <w:pPr>
              <w:rPr>
                <w:rFonts w:ascii="宋体"/>
              </w:rPr>
            </w:pPr>
          </w:p>
        </w:tc>
      </w:tr>
      <w:tr w:rsidR="000E364E" w14:paraId="3693E1DB" w14:textId="77777777">
        <w:trPr>
          <w:jc w:val="center"/>
        </w:trPr>
        <w:tc>
          <w:tcPr>
            <w:tcW w:w="0" w:type="auto"/>
            <w:gridSpan w:val="3"/>
            <w:shd w:val="clear" w:color="auto" w:fill="E2EFD9"/>
            <w:tcMar>
              <w:top w:w="40" w:type="dxa"/>
              <w:left w:w="20" w:type="dxa"/>
              <w:bottom w:w="40" w:type="dxa"/>
              <w:right w:w="20" w:type="dxa"/>
            </w:tcMar>
            <w:vAlign w:val="bottom"/>
          </w:tcPr>
          <w:p w14:paraId="3693E1AB" w14:textId="77777777" w:rsidR="003734EC" w:rsidRDefault="000E364E">
            <w:pPr>
              <w:textAlignment w:val="bottom"/>
            </w:pPr>
            <w:r>
              <w:rPr>
                <w:rFonts w:ascii="sans-serif" w:eastAsia="sans-serif" w:hAnsi="sans-serif" w:cs="sans-serif"/>
                <w:color w:val="000000"/>
                <w:sz w:val="15"/>
                <w:szCs w:val="15"/>
              </w:rPr>
              <w:t>Balances, January 27, 2019</w:t>
            </w:r>
          </w:p>
        </w:tc>
        <w:tc>
          <w:tcPr>
            <w:tcW w:w="0" w:type="auto"/>
            <w:gridSpan w:val="2"/>
            <w:tcBorders>
              <w:top w:val="double" w:sz="6" w:space="0" w:color="000000"/>
            </w:tcBorders>
            <w:shd w:val="clear" w:color="auto" w:fill="E2EFD9"/>
            <w:tcMar>
              <w:top w:w="40" w:type="dxa"/>
              <w:left w:w="20" w:type="dxa"/>
              <w:bottom w:w="40" w:type="dxa"/>
              <w:right w:w="0" w:type="dxa"/>
            </w:tcMar>
            <w:vAlign w:val="bottom"/>
          </w:tcPr>
          <w:p w14:paraId="3693E1AC" w14:textId="77777777" w:rsidR="003734EC" w:rsidRDefault="000E364E">
            <w:pPr>
              <w:jc w:val="right"/>
              <w:textAlignment w:val="bottom"/>
            </w:pPr>
            <w:r>
              <w:rPr>
                <w:rFonts w:ascii="sans-serif" w:eastAsia="sans-serif" w:hAnsi="sans-serif" w:cs="sans-serif"/>
                <w:color w:val="000000"/>
                <w:sz w:val="15"/>
                <w:szCs w:val="15"/>
              </w:rPr>
              <w:t>606 </w:t>
            </w:r>
          </w:p>
        </w:tc>
        <w:tc>
          <w:tcPr>
            <w:tcW w:w="0" w:type="auto"/>
            <w:tcBorders>
              <w:top w:val="double" w:sz="6" w:space="0" w:color="000000"/>
            </w:tcBorders>
            <w:shd w:val="clear" w:color="auto" w:fill="E2EFD9"/>
            <w:tcMar>
              <w:top w:w="40" w:type="dxa"/>
              <w:bottom w:w="40" w:type="dxa"/>
              <w:right w:w="20" w:type="dxa"/>
            </w:tcMar>
            <w:vAlign w:val="bottom"/>
          </w:tcPr>
          <w:p w14:paraId="3693E1A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AE" w14:textId="77777777" w:rsidR="003734EC" w:rsidRDefault="003734EC">
            <w:pPr>
              <w:jc w:val="right"/>
              <w:rPr>
                <w:rFonts w:ascii="宋体"/>
              </w:rPr>
            </w:pPr>
          </w:p>
        </w:tc>
        <w:tc>
          <w:tcPr>
            <w:tcW w:w="0" w:type="auto"/>
            <w:shd w:val="clear" w:color="auto" w:fill="E2EFD9"/>
            <w:tcMar>
              <w:right w:w="20" w:type="dxa"/>
            </w:tcMar>
            <w:vAlign w:val="bottom"/>
          </w:tcPr>
          <w:p w14:paraId="3693E1AF"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B0"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B1" w14:textId="77777777" w:rsidR="003734EC" w:rsidRDefault="000E364E">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E2EFD9"/>
            <w:tcMar>
              <w:top w:w="40" w:type="dxa"/>
              <w:bottom w:w="40" w:type="dxa"/>
              <w:right w:w="20" w:type="dxa"/>
            </w:tcMar>
            <w:vAlign w:val="bottom"/>
          </w:tcPr>
          <w:p w14:paraId="3693E1B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B3" w14:textId="77777777" w:rsidR="003734EC" w:rsidRDefault="003734EC">
            <w:pPr>
              <w:jc w:val="right"/>
              <w:rPr>
                <w:rFonts w:ascii="宋体"/>
              </w:rPr>
            </w:pPr>
          </w:p>
        </w:tc>
        <w:tc>
          <w:tcPr>
            <w:tcW w:w="0" w:type="auto"/>
            <w:shd w:val="clear" w:color="auto" w:fill="E2EFD9"/>
            <w:tcMar>
              <w:right w:w="20" w:type="dxa"/>
            </w:tcMar>
            <w:vAlign w:val="bottom"/>
          </w:tcPr>
          <w:p w14:paraId="3693E1B4"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B5"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B6" w14:textId="77777777" w:rsidR="003734EC" w:rsidRDefault="000E364E">
            <w:pPr>
              <w:jc w:val="right"/>
              <w:textAlignment w:val="bottom"/>
            </w:pPr>
            <w:r>
              <w:rPr>
                <w:rFonts w:ascii="sans-serif" w:eastAsia="sans-serif" w:hAnsi="sans-serif" w:cs="sans-serif"/>
                <w:color w:val="000000"/>
                <w:sz w:val="15"/>
                <w:szCs w:val="15"/>
              </w:rPr>
              <w:t>6,051 </w:t>
            </w:r>
          </w:p>
        </w:tc>
        <w:tc>
          <w:tcPr>
            <w:tcW w:w="0" w:type="auto"/>
            <w:tcBorders>
              <w:top w:val="double" w:sz="6" w:space="0" w:color="000000"/>
            </w:tcBorders>
            <w:shd w:val="clear" w:color="auto" w:fill="E2EFD9"/>
            <w:tcMar>
              <w:top w:w="40" w:type="dxa"/>
              <w:bottom w:w="40" w:type="dxa"/>
              <w:right w:w="20" w:type="dxa"/>
            </w:tcMar>
            <w:vAlign w:val="bottom"/>
          </w:tcPr>
          <w:p w14:paraId="3693E1B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B8" w14:textId="77777777" w:rsidR="003734EC" w:rsidRDefault="003734EC">
            <w:pPr>
              <w:jc w:val="right"/>
              <w:rPr>
                <w:rFonts w:ascii="宋体"/>
              </w:rPr>
            </w:pPr>
          </w:p>
        </w:tc>
        <w:tc>
          <w:tcPr>
            <w:tcW w:w="0" w:type="auto"/>
            <w:shd w:val="clear" w:color="auto" w:fill="E2EFD9"/>
            <w:tcMar>
              <w:right w:w="20" w:type="dxa"/>
            </w:tcMar>
            <w:vAlign w:val="bottom"/>
          </w:tcPr>
          <w:p w14:paraId="3693E1B9"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BA"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BB" w14:textId="77777777" w:rsidR="003734EC" w:rsidRDefault="000E364E">
            <w:pPr>
              <w:jc w:val="right"/>
              <w:textAlignment w:val="bottom"/>
            </w:pPr>
            <w:r>
              <w:rPr>
                <w:rFonts w:ascii="sans-serif" w:eastAsia="sans-serif" w:hAnsi="sans-serif" w:cs="sans-serif"/>
                <w:color w:val="000000"/>
                <w:sz w:val="15"/>
                <w:szCs w:val="15"/>
              </w:rPr>
              <w:t>(9,263)</w:t>
            </w:r>
          </w:p>
        </w:tc>
        <w:tc>
          <w:tcPr>
            <w:tcW w:w="0" w:type="auto"/>
            <w:tcBorders>
              <w:top w:val="double" w:sz="6" w:space="0" w:color="000000"/>
            </w:tcBorders>
            <w:shd w:val="clear" w:color="auto" w:fill="E2EFD9"/>
            <w:tcMar>
              <w:top w:w="40" w:type="dxa"/>
              <w:bottom w:w="40" w:type="dxa"/>
              <w:right w:w="20" w:type="dxa"/>
            </w:tcMar>
            <w:vAlign w:val="bottom"/>
          </w:tcPr>
          <w:p w14:paraId="3693E1B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BD" w14:textId="77777777" w:rsidR="003734EC" w:rsidRDefault="003734EC">
            <w:pPr>
              <w:jc w:val="right"/>
              <w:rPr>
                <w:rFonts w:ascii="宋体"/>
              </w:rPr>
            </w:pPr>
          </w:p>
        </w:tc>
        <w:tc>
          <w:tcPr>
            <w:tcW w:w="0" w:type="auto"/>
            <w:shd w:val="clear" w:color="auto" w:fill="E2EFD9"/>
            <w:tcMar>
              <w:right w:w="20" w:type="dxa"/>
            </w:tcMar>
            <w:vAlign w:val="bottom"/>
          </w:tcPr>
          <w:p w14:paraId="3693E1BE"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BF"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C0" w14:textId="77777777" w:rsidR="003734EC" w:rsidRDefault="000E364E">
            <w:pPr>
              <w:jc w:val="right"/>
              <w:textAlignment w:val="bottom"/>
            </w:pPr>
            <w:r>
              <w:rPr>
                <w:rFonts w:ascii="sans-serif" w:eastAsia="sans-serif" w:hAnsi="sans-serif" w:cs="sans-serif"/>
                <w:color w:val="000000"/>
                <w:sz w:val="15"/>
                <w:szCs w:val="15"/>
              </w:rPr>
              <w:t>(12)</w:t>
            </w:r>
          </w:p>
        </w:tc>
        <w:tc>
          <w:tcPr>
            <w:tcW w:w="0" w:type="auto"/>
            <w:tcBorders>
              <w:top w:val="double" w:sz="6" w:space="0" w:color="000000"/>
            </w:tcBorders>
            <w:shd w:val="clear" w:color="auto" w:fill="E2EFD9"/>
            <w:tcMar>
              <w:top w:w="40" w:type="dxa"/>
              <w:bottom w:w="40" w:type="dxa"/>
              <w:right w:w="20" w:type="dxa"/>
            </w:tcMar>
            <w:vAlign w:val="bottom"/>
          </w:tcPr>
          <w:p w14:paraId="3693E1C1"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C2" w14:textId="77777777" w:rsidR="003734EC" w:rsidRDefault="003734EC">
            <w:pPr>
              <w:jc w:val="right"/>
              <w:rPr>
                <w:rFonts w:ascii="宋体"/>
              </w:rPr>
            </w:pPr>
          </w:p>
        </w:tc>
        <w:tc>
          <w:tcPr>
            <w:tcW w:w="0" w:type="auto"/>
            <w:shd w:val="clear" w:color="auto" w:fill="E2EFD9"/>
            <w:tcMar>
              <w:right w:w="20" w:type="dxa"/>
            </w:tcMar>
            <w:vAlign w:val="bottom"/>
          </w:tcPr>
          <w:p w14:paraId="3693E1C3"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C4"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C5" w14:textId="77777777" w:rsidR="003734EC" w:rsidRDefault="000E364E">
            <w:pPr>
              <w:jc w:val="right"/>
              <w:textAlignment w:val="bottom"/>
            </w:pPr>
            <w:r>
              <w:rPr>
                <w:rFonts w:ascii="sans-serif" w:eastAsia="sans-serif" w:hAnsi="sans-serif" w:cs="sans-serif"/>
                <w:color w:val="000000"/>
                <w:sz w:val="15"/>
                <w:szCs w:val="15"/>
              </w:rPr>
              <w:t>12,565 </w:t>
            </w:r>
          </w:p>
        </w:tc>
        <w:tc>
          <w:tcPr>
            <w:tcW w:w="0" w:type="auto"/>
            <w:tcBorders>
              <w:top w:val="double" w:sz="6" w:space="0" w:color="000000"/>
            </w:tcBorders>
            <w:shd w:val="clear" w:color="auto" w:fill="E2EFD9"/>
            <w:tcMar>
              <w:top w:w="40" w:type="dxa"/>
              <w:bottom w:w="40" w:type="dxa"/>
              <w:right w:w="20" w:type="dxa"/>
            </w:tcMar>
            <w:vAlign w:val="bottom"/>
          </w:tcPr>
          <w:p w14:paraId="3693E1C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1C7" w14:textId="77777777" w:rsidR="003734EC" w:rsidRDefault="003734EC">
            <w:pPr>
              <w:jc w:val="right"/>
              <w:rPr>
                <w:rFonts w:ascii="宋体"/>
              </w:rPr>
            </w:pPr>
          </w:p>
        </w:tc>
        <w:tc>
          <w:tcPr>
            <w:tcW w:w="0" w:type="auto"/>
            <w:shd w:val="clear" w:color="auto" w:fill="E2EFD9"/>
            <w:tcMar>
              <w:right w:w="20" w:type="dxa"/>
            </w:tcMar>
            <w:vAlign w:val="bottom"/>
          </w:tcPr>
          <w:p w14:paraId="3693E1C8" w14:textId="77777777" w:rsidR="003734EC" w:rsidRDefault="003734EC">
            <w:pPr>
              <w:jc w:val="right"/>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1C9"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bottom w:w="40" w:type="dxa"/>
              <w:right w:w="0" w:type="dxa"/>
            </w:tcMar>
            <w:vAlign w:val="bottom"/>
          </w:tcPr>
          <w:p w14:paraId="3693E1CA" w14:textId="77777777" w:rsidR="003734EC" w:rsidRDefault="000E364E">
            <w:pPr>
              <w:jc w:val="right"/>
              <w:textAlignment w:val="bottom"/>
            </w:pPr>
            <w:r>
              <w:rPr>
                <w:rFonts w:ascii="sans-serif" w:eastAsia="sans-serif" w:hAnsi="sans-serif" w:cs="sans-serif"/>
                <w:color w:val="000000"/>
                <w:sz w:val="15"/>
                <w:szCs w:val="15"/>
              </w:rPr>
              <w:t>9,342 </w:t>
            </w:r>
          </w:p>
        </w:tc>
        <w:tc>
          <w:tcPr>
            <w:tcW w:w="0" w:type="auto"/>
            <w:tcBorders>
              <w:top w:val="double" w:sz="6" w:space="0" w:color="000000"/>
            </w:tcBorders>
            <w:shd w:val="clear" w:color="auto" w:fill="E2EFD9"/>
            <w:tcMar>
              <w:top w:w="40" w:type="dxa"/>
              <w:bottom w:w="40" w:type="dxa"/>
              <w:right w:w="20" w:type="dxa"/>
            </w:tcMar>
            <w:vAlign w:val="bottom"/>
          </w:tcPr>
          <w:p w14:paraId="3693E1C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1CC" w14:textId="77777777" w:rsidR="003734EC" w:rsidRDefault="003734EC">
            <w:pPr>
              <w:rPr>
                <w:rFonts w:ascii="宋体"/>
              </w:rPr>
            </w:pPr>
          </w:p>
        </w:tc>
        <w:tc>
          <w:tcPr>
            <w:tcW w:w="0" w:type="auto"/>
            <w:shd w:val="clear" w:color="auto" w:fill="auto"/>
            <w:vAlign w:val="center"/>
          </w:tcPr>
          <w:p w14:paraId="3693E1CD" w14:textId="77777777" w:rsidR="003734EC" w:rsidRDefault="003734EC">
            <w:pPr>
              <w:rPr>
                <w:rFonts w:ascii="宋体"/>
              </w:rPr>
            </w:pPr>
          </w:p>
        </w:tc>
        <w:tc>
          <w:tcPr>
            <w:tcW w:w="0" w:type="auto"/>
            <w:shd w:val="clear" w:color="auto" w:fill="auto"/>
            <w:vAlign w:val="center"/>
          </w:tcPr>
          <w:p w14:paraId="3693E1CE" w14:textId="77777777" w:rsidR="003734EC" w:rsidRDefault="003734EC">
            <w:pPr>
              <w:rPr>
                <w:rFonts w:ascii="宋体"/>
              </w:rPr>
            </w:pPr>
          </w:p>
        </w:tc>
        <w:tc>
          <w:tcPr>
            <w:tcW w:w="0" w:type="auto"/>
            <w:shd w:val="clear" w:color="auto" w:fill="auto"/>
            <w:vAlign w:val="center"/>
          </w:tcPr>
          <w:p w14:paraId="3693E1CF" w14:textId="77777777" w:rsidR="003734EC" w:rsidRDefault="003734EC">
            <w:pPr>
              <w:rPr>
                <w:rFonts w:ascii="宋体"/>
              </w:rPr>
            </w:pPr>
          </w:p>
        </w:tc>
        <w:tc>
          <w:tcPr>
            <w:tcW w:w="0" w:type="auto"/>
            <w:shd w:val="clear" w:color="auto" w:fill="auto"/>
            <w:vAlign w:val="center"/>
          </w:tcPr>
          <w:p w14:paraId="3693E1D0" w14:textId="77777777" w:rsidR="003734EC" w:rsidRDefault="003734EC">
            <w:pPr>
              <w:rPr>
                <w:rFonts w:ascii="宋体"/>
              </w:rPr>
            </w:pPr>
          </w:p>
        </w:tc>
        <w:tc>
          <w:tcPr>
            <w:tcW w:w="0" w:type="auto"/>
            <w:shd w:val="clear" w:color="auto" w:fill="auto"/>
            <w:vAlign w:val="center"/>
          </w:tcPr>
          <w:p w14:paraId="3693E1D1" w14:textId="77777777" w:rsidR="003734EC" w:rsidRDefault="003734EC">
            <w:pPr>
              <w:rPr>
                <w:rFonts w:ascii="宋体"/>
              </w:rPr>
            </w:pPr>
          </w:p>
        </w:tc>
        <w:tc>
          <w:tcPr>
            <w:tcW w:w="0" w:type="auto"/>
            <w:shd w:val="clear" w:color="auto" w:fill="auto"/>
            <w:vAlign w:val="center"/>
          </w:tcPr>
          <w:p w14:paraId="3693E1D2" w14:textId="77777777" w:rsidR="003734EC" w:rsidRDefault="003734EC">
            <w:pPr>
              <w:rPr>
                <w:rFonts w:ascii="宋体"/>
              </w:rPr>
            </w:pPr>
          </w:p>
        </w:tc>
        <w:tc>
          <w:tcPr>
            <w:tcW w:w="0" w:type="auto"/>
            <w:shd w:val="clear" w:color="auto" w:fill="auto"/>
            <w:vAlign w:val="center"/>
          </w:tcPr>
          <w:p w14:paraId="3693E1D3" w14:textId="77777777" w:rsidR="003734EC" w:rsidRDefault="003734EC">
            <w:pPr>
              <w:rPr>
                <w:rFonts w:ascii="宋体"/>
              </w:rPr>
            </w:pPr>
          </w:p>
        </w:tc>
        <w:tc>
          <w:tcPr>
            <w:tcW w:w="0" w:type="auto"/>
            <w:shd w:val="clear" w:color="auto" w:fill="auto"/>
            <w:vAlign w:val="center"/>
          </w:tcPr>
          <w:p w14:paraId="3693E1D4" w14:textId="77777777" w:rsidR="003734EC" w:rsidRDefault="003734EC">
            <w:pPr>
              <w:rPr>
                <w:rFonts w:ascii="宋体"/>
              </w:rPr>
            </w:pPr>
          </w:p>
        </w:tc>
        <w:tc>
          <w:tcPr>
            <w:tcW w:w="0" w:type="auto"/>
            <w:shd w:val="clear" w:color="auto" w:fill="auto"/>
            <w:vAlign w:val="center"/>
          </w:tcPr>
          <w:p w14:paraId="3693E1D5" w14:textId="77777777" w:rsidR="003734EC" w:rsidRDefault="003734EC">
            <w:pPr>
              <w:rPr>
                <w:rFonts w:ascii="宋体"/>
              </w:rPr>
            </w:pPr>
          </w:p>
        </w:tc>
        <w:tc>
          <w:tcPr>
            <w:tcW w:w="0" w:type="auto"/>
            <w:shd w:val="clear" w:color="auto" w:fill="auto"/>
            <w:vAlign w:val="center"/>
          </w:tcPr>
          <w:p w14:paraId="3693E1D6" w14:textId="77777777" w:rsidR="003734EC" w:rsidRDefault="003734EC">
            <w:pPr>
              <w:rPr>
                <w:rFonts w:ascii="宋体"/>
              </w:rPr>
            </w:pPr>
          </w:p>
        </w:tc>
        <w:tc>
          <w:tcPr>
            <w:tcW w:w="0" w:type="auto"/>
            <w:shd w:val="clear" w:color="auto" w:fill="auto"/>
            <w:vAlign w:val="center"/>
          </w:tcPr>
          <w:p w14:paraId="3693E1D7" w14:textId="77777777" w:rsidR="003734EC" w:rsidRDefault="003734EC">
            <w:pPr>
              <w:rPr>
                <w:rFonts w:ascii="宋体"/>
              </w:rPr>
            </w:pPr>
          </w:p>
        </w:tc>
        <w:tc>
          <w:tcPr>
            <w:tcW w:w="0" w:type="auto"/>
            <w:shd w:val="clear" w:color="auto" w:fill="auto"/>
            <w:vAlign w:val="center"/>
          </w:tcPr>
          <w:p w14:paraId="3693E1D8" w14:textId="77777777" w:rsidR="003734EC" w:rsidRDefault="003734EC">
            <w:pPr>
              <w:rPr>
                <w:rFonts w:ascii="宋体"/>
              </w:rPr>
            </w:pPr>
          </w:p>
        </w:tc>
        <w:tc>
          <w:tcPr>
            <w:tcW w:w="0" w:type="auto"/>
            <w:shd w:val="clear" w:color="auto" w:fill="auto"/>
            <w:vAlign w:val="center"/>
          </w:tcPr>
          <w:p w14:paraId="3693E1D9" w14:textId="77777777" w:rsidR="003734EC" w:rsidRDefault="003734EC">
            <w:pPr>
              <w:rPr>
                <w:rFonts w:ascii="宋体"/>
              </w:rPr>
            </w:pPr>
          </w:p>
        </w:tc>
        <w:tc>
          <w:tcPr>
            <w:tcW w:w="0" w:type="auto"/>
            <w:shd w:val="clear" w:color="auto" w:fill="auto"/>
            <w:vAlign w:val="center"/>
          </w:tcPr>
          <w:p w14:paraId="3693E1DA" w14:textId="77777777" w:rsidR="003734EC" w:rsidRDefault="003734EC">
            <w:pPr>
              <w:rPr>
                <w:rFonts w:ascii="宋体"/>
              </w:rPr>
            </w:pPr>
          </w:p>
        </w:tc>
      </w:tr>
      <w:tr w:rsidR="003734EC" w14:paraId="3693E1F9" w14:textId="77777777">
        <w:trPr>
          <w:jc w:val="center"/>
          <w:hidden/>
        </w:trPr>
        <w:tc>
          <w:tcPr>
            <w:tcW w:w="0" w:type="auto"/>
            <w:gridSpan w:val="3"/>
            <w:shd w:val="clear" w:color="auto" w:fill="auto"/>
            <w:vAlign w:val="center"/>
          </w:tcPr>
          <w:p w14:paraId="3693E1DC" w14:textId="77777777" w:rsidR="003734EC" w:rsidRDefault="003734EC">
            <w:pPr>
              <w:rPr>
                <w:rFonts w:ascii="宋体"/>
                <w:vanish/>
              </w:rPr>
            </w:pPr>
          </w:p>
        </w:tc>
        <w:tc>
          <w:tcPr>
            <w:tcW w:w="0" w:type="auto"/>
            <w:gridSpan w:val="3"/>
            <w:shd w:val="clear" w:color="auto" w:fill="auto"/>
            <w:vAlign w:val="center"/>
          </w:tcPr>
          <w:p w14:paraId="3693E1DD" w14:textId="77777777" w:rsidR="003734EC" w:rsidRDefault="003734EC">
            <w:pPr>
              <w:rPr>
                <w:rFonts w:ascii="宋体"/>
                <w:vanish/>
              </w:rPr>
            </w:pPr>
          </w:p>
        </w:tc>
        <w:tc>
          <w:tcPr>
            <w:tcW w:w="0" w:type="auto"/>
            <w:gridSpan w:val="3"/>
            <w:shd w:val="clear" w:color="auto" w:fill="auto"/>
            <w:vAlign w:val="center"/>
          </w:tcPr>
          <w:p w14:paraId="3693E1DE" w14:textId="77777777" w:rsidR="003734EC" w:rsidRDefault="003734EC">
            <w:pPr>
              <w:rPr>
                <w:rFonts w:ascii="宋体"/>
                <w:vanish/>
              </w:rPr>
            </w:pPr>
          </w:p>
        </w:tc>
        <w:tc>
          <w:tcPr>
            <w:tcW w:w="0" w:type="auto"/>
            <w:gridSpan w:val="3"/>
            <w:shd w:val="clear" w:color="auto" w:fill="auto"/>
            <w:vAlign w:val="center"/>
          </w:tcPr>
          <w:p w14:paraId="3693E1DF" w14:textId="77777777" w:rsidR="003734EC" w:rsidRDefault="003734EC">
            <w:pPr>
              <w:rPr>
                <w:rFonts w:ascii="宋体"/>
                <w:vanish/>
              </w:rPr>
            </w:pPr>
          </w:p>
        </w:tc>
        <w:tc>
          <w:tcPr>
            <w:tcW w:w="0" w:type="auto"/>
            <w:gridSpan w:val="3"/>
            <w:shd w:val="clear" w:color="auto" w:fill="auto"/>
            <w:vAlign w:val="center"/>
          </w:tcPr>
          <w:p w14:paraId="3693E1E0" w14:textId="77777777" w:rsidR="003734EC" w:rsidRDefault="003734EC">
            <w:pPr>
              <w:rPr>
                <w:rFonts w:ascii="宋体"/>
                <w:vanish/>
              </w:rPr>
            </w:pPr>
          </w:p>
        </w:tc>
        <w:tc>
          <w:tcPr>
            <w:tcW w:w="0" w:type="auto"/>
            <w:gridSpan w:val="3"/>
            <w:shd w:val="clear" w:color="auto" w:fill="auto"/>
            <w:vAlign w:val="center"/>
          </w:tcPr>
          <w:p w14:paraId="3693E1E1" w14:textId="77777777" w:rsidR="003734EC" w:rsidRDefault="003734EC">
            <w:pPr>
              <w:rPr>
                <w:rFonts w:ascii="宋体"/>
                <w:vanish/>
              </w:rPr>
            </w:pPr>
          </w:p>
        </w:tc>
        <w:tc>
          <w:tcPr>
            <w:tcW w:w="0" w:type="auto"/>
            <w:gridSpan w:val="3"/>
            <w:shd w:val="clear" w:color="auto" w:fill="auto"/>
            <w:vAlign w:val="center"/>
          </w:tcPr>
          <w:p w14:paraId="3693E1E2" w14:textId="77777777" w:rsidR="003734EC" w:rsidRDefault="003734EC">
            <w:pPr>
              <w:rPr>
                <w:rFonts w:ascii="宋体"/>
                <w:vanish/>
              </w:rPr>
            </w:pPr>
          </w:p>
        </w:tc>
        <w:tc>
          <w:tcPr>
            <w:tcW w:w="0" w:type="auto"/>
            <w:gridSpan w:val="3"/>
            <w:shd w:val="clear" w:color="auto" w:fill="auto"/>
            <w:vAlign w:val="center"/>
          </w:tcPr>
          <w:p w14:paraId="3693E1E3" w14:textId="77777777" w:rsidR="003734EC" w:rsidRDefault="003734EC">
            <w:pPr>
              <w:rPr>
                <w:rFonts w:ascii="宋体"/>
                <w:vanish/>
              </w:rPr>
            </w:pPr>
          </w:p>
        </w:tc>
        <w:tc>
          <w:tcPr>
            <w:tcW w:w="0" w:type="auto"/>
            <w:gridSpan w:val="3"/>
            <w:shd w:val="clear" w:color="auto" w:fill="auto"/>
            <w:vAlign w:val="center"/>
          </w:tcPr>
          <w:p w14:paraId="3693E1E4" w14:textId="77777777" w:rsidR="003734EC" w:rsidRDefault="003734EC">
            <w:pPr>
              <w:rPr>
                <w:rFonts w:ascii="宋体"/>
                <w:vanish/>
              </w:rPr>
            </w:pPr>
          </w:p>
        </w:tc>
        <w:tc>
          <w:tcPr>
            <w:tcW w:w="0" w:type="auto"/>
            <w:gridSpan w:val="3"/>
            <w:shd w:val="clear" w:color="auto" w:fill="auto"/>
            <w:vAlign w:val="center"/>
          </w:tcPr>
          <w:p w14:paraId="3693E1E5" w14:textId="77777777" w:rsidR="003734EC" w:rsidRDefault="003734EC">
            <w:pPr>
              <w:rPr>
                <w:rFonts w:ascii="宋体"/>
                <w:vanish/>
              </w:rPr>
            </w:pPr>
          </w:p>
        </w:tc>
        <w:tc>
          <w:tcPr>
            <w:tcW w:w="0" w:type="auto"/>
            <w:gridSpan w:val="3"/>
            <w:shd w:val="clear" w:color="auto" w:fill="auto"/>
            <w:vAlign w:val="center"/>
          </w:tcPr>
          <w:p w14:paraId="3693E1E6" w14:textId="77777777" w:rsidR="003734EC" w:rsidRDefault="003734EC">
            <w:pPr>
              <w:rPr>
                <w:rFonts w:ascii="宋体"/>
                <w:vanish/>
              </w:rPr>
            </w:pPr>
          </w:p>
        </w:tc>
        <w:tc>
          <w:tcPr>
            <w:tcW w:w="0" w:type="auto"/>
            <w:gridSpan w:val="3"/>
            <w:shd w:val="clear" w:color="auto" w:fill="auto"/>
            <w:vAlign w:val="center"/>
          </w:tcPr>
          <w:p w14:paraId="3693E1E7" w14:textId="77777777" w:rsidR="003734EC" w:rsidRDefault="003734EC">
            <w:pPr>
              <w:rPr>
                <w:rFonts w:ascii="宋体"/>
                <w:vanish/>
              </w:rPr>
            </w:pPr>
          </w:p>
        </w:tc>
        <w:tc>
          <w:tcPr>
            <w:tcW w:w="0" w:type="auto"/>
            <w:gridSpan w:val="3"/>
            <w:shd w:val="clear" w:color="auto" w:fill="auto"/>
            <w:vAlign w:val="center"/>
          </w:tcPr>
          <w:p w14:paraId="3693E1E8" w14:textId="77777777" w:rsidR="003734EC" w:rsidRDefault="003734EC">
            <w:pPr>
              <w:rPr>
                <w:rFonts w:ascii="宋体"/>
                <w:vanish/>
              </w:rPr>
            </w:pPr>
          </w:p>
        </w:tc>
        <w:tc>
          <w:tcPr>
            <w:tcW w:w="0" w:type="auto"/>
            <w:gridSpan w:val="3"/>
            <w:shd w:val="clear" w:color="auto" w:fill="auto"/>
            <w:vAlign w:val="center"/>
          </w:tcPr>
          <w:p w14:paraId="3693E1E9" w14:textId="77777777" w:rsidR="003734EC" w:rsidRDefault="003734EC">
            <w:pPr>
              <w:rPr>
                <w:rFonts w:ascii="宋体"/>
                <w:vanish/>
              </w:rPr>
            </w:pPr>
          </w:p>
        </w:tc>
        <w:tc>
          <w:tcPr>
            <w:tcW w:w="0" w:type="auto"/>
            <w:shd w:val="clear" w:color="auto" w:fill="auto"/>
            <w:vAlign w:val="center"/>
          </w:tcPr>
          <w:p w14:paraId="3693E1EA" w14:textId="77777777" w:rsidR="003734EC" w:rsidRDefault="003734EC">
            <w:pPr>
              <w:rPr>
                <w:rFonts w:ascii="宋体"/>
              </w:rPr>
            </w:pPr>
          </w:p>
        </w:tc>
        <w:tc>
          <w:tcPr>
            <w:tcW w:w="0" w:type="auto"/>
            <w:shd w:val="clear" w:color="auto" w:fill="auto"/>
            <w:vAlign w:val="center"/>
          </w:tcPr>
          <w:p w14:paraId="3693E1EB" w14:textId="77777777" w:rsidR="003734EC" w:rsidRDefault="003734EC">
            <w:pPr>
              <w:rPr>
                <w:rFonts w:ascii="宋体"/>
              </w:rPr>
            </w:pPr>
          </w:p>
        </w:tc>
        <w:tc>
          <w:tcPr>
            <w:tcW w:w="0" w:type="auto"/>
            <w:shd w:val="clear" w:color="auto" w:fill="auto"/>
            <w:vAlign w:val="center"/>
          </w:tcPr>
          <w:p w14:paraId="3693E1EC" w14:textId="77777777" w:rsidR="003734EC" w:rsidRDefault="003734EC">
            <w:pPr>
              <w:rPr>
                <w:rFonts w:ascii="宋体"/>
              </w:rPr>
            </w:pPr>
          </w:p>
        </w:tc>
        <w:tc>
          <w:tcPr>
            <w:tcW w:w="0" w:type="auto"/>
            <w:shd w:val="clear" w:color="auto" w:fill="auto"/>
            <w:vAlign w:val="center"/>
          </w:tcPr>
          <w:p w14:paraId="3693E1ED" w14:textId="77777777" w:rsidR="003734EC" w:rsidRDefault="003734EC">
            <w:pPr>
              <w:rPr>
                <w:rFonts w:ascii="宋体"/>
              </w:rPr>
            </w:pPr>
          </w:p>
        </w:tc>
        <w:tc>
          <w:tcPr>
            <w:tcW w:w="0" w:type="auto"/>
            <w:shd w:val="clear" w:color="auto" w:fill="auto"/>
            <w:vAlign w:val="center"/>
          </w:tcPr>
          <w:p w14:paraId="3693E1EE" w14:textId="77777777" w:rsidR="003734EC" w:rsidRDefault="003734EC">
            <w:pPr>
              <w:rPr>
                <w:rFonts w:ascii="宋体"/>
              </w:rPr>
            </w:pPr>
          </w:p>
        </w:tc>
        <w:tc>
          <w:tcPr>
            <w:tcW w:w="0" w:type="auto"/>
            <w:shd w:val="clear" w:color="auto" w:fill="auto"/>
            <w:vAlign w:val="center"/>
          </w:tcPr>
          <w:p w14:paraId="3693E1EF" w14:textId="77777777" w:rsidR="003734EC" w:rsidRDefault="003734EC">
            <w:pPr>
              <w:rPr>
                <w:rFonts w:ascii="宋体"/>
              </w:rPr>
            </w:pPr>
          </w:p>
        </w:tc>
        <w:tc>
          <w:tcPr>
            <w:tcW w:w="0" w:type="auto"/>
            <w:shd w:val="clear" w:color="auto" w:fill="auto"/>
            <w:vAlign w:val="center"/>
          </w:tcPr>
          <w:p w14:paraId="3693E1F0" w14:textId="77777777" w:rsidR="003734EC" w:rsidRDefault="003734EC">
            <w:pPr>
              <w:rPr>
                <w:rFonts w:ascii="宋体"/>
              </w:rPr>
            </w:pPr>
          </w:p>
        </w:tc>
        <w:tc>
          <w:tcPr>
            <w:tcW w:w="0" w:type="auto"/>
            <w:shd w:val="clear" w:color="auto" w:fill="auto"/>
            <w:vAlign w:val="center"/>
          </w:tcPr>
          <w:p w14:paraId="3693E1F1" w14:textId="77777777" w:rsidR="003734EC" w:rsidRDefault="003734EC">
            <w:pPr>
              <w:rPr>
                <w:rFonts w:ascii="宋体"/>
              </w:rPr>
            </w:pPr>
          </w:p>
        </w:tc>
        <w:tc>
          <w:tcPr>
            <w:tcW w:w="0" w:type="auto"/>
            <w:shd w:val="clear" w:color="auto" w:fill="auto"/>
            <w:vAlign w:val="center"/>
          </w:tcPr>
          <w:p w14:paraId="3693E1F2" w14:textId="77777777" w:rsidR="003734EC" w:rsidRDefault="003734EC">
            <w:pPr>
              <w:rPr>
                <w:rFonts w:ascii="宋体"/>
              </w:rPr>
            </w:pPr>
          </w:p>
        </w:tc>
        <w:tc>
          <w:tcPr>
            <w:tcW w:w="0" w:type="auto"/>
            <w:shd w:val="clear" w:color="auto" w:fill="auto"/>
            <w:vAlign w:val="center"/>
          </w:tcPr>
          <w:p w14:paraId="3693E1F3" w14:textId="77777777" w:rsidR="003734EC" w:rsidRDefault="003734EC">
            <w:pPr>
              <w:rPr>
                <w:rFonts w:ascii="宋体"/>
              </w:rPr>
            </w:pPr>
          </w:p>
        </w:tc>
        <w:tc>
          <w:tcPr>
            <w:tcW w:w="0" w:type="auto"/>
            <w:shd w:val="clear" w:color="auto" w:fill="auto"/>
            <w:vAlign w:val="center"/>
          </w:tcPr>
          <w:p w14:paraId="3693E1F4" w14:textId="77777777" w:rsidR="003734EC" w:rsidRDefault="003734EC">
            <w:pPr>
              <w:rPr>
                <w:rFonts w:ascii="宋体"/>
              </w:rPr>
            </w:pPr>
          </w:p>
        </w:tc>
        <w:tc>
          <w:tcPr>
            <w:tcW w:w="0" w:type="auto"/>
            <w:shd w:val="clear" w:color="auto" w:fill="auto"/>
            <w:vAlign w:val="center"/>
          </w:tcPr>
          <w:p w14:paraId="3693E1F5" w14:textId="77777777" w:rsidR="003734EC" w:rsidRDefault="003734EC">
            <w:pPr>
              <w:rPr>
                <w:rFonts w:ascii="宋体"/>
              </w:rPr>
            </w:pPr>
          </w:p>
        </w:tc>
        <w:tc>
          <w:tcPr>
            <w:tcW w:w="0" w:type="auto"/>
            <w:shd w:val="clear" w:color="auto" w:fill="auto"/>
            <w:vAlign w:val="center"/>
          </w:tcPr>
          <w:p w14:paraId="3693E1F6" w14:textId="77777777" w:rsidR="003734EC" w:rsidRDefault="003734EC">
            <w:pPr>
              <w:rPr>
                <w:rFonts w:ascii="宋体"/>
              </w:rPr>
            </w:pPr>
          </w:p>
        </w:tc>
        <w:tc>
          <w:tcPr>
            <w:tcW w:w="0" w:type="auto"/>
            <w:shd w:val="clear" w:color="auto" w:fill="auto"/>
            <w:vAlign w:val="center"/>
          </w:tcPr>
          <w:p w14:paraId="3693E1F7" w14:textId="77777777" w:rsidR="003734EC" w:rsidRDefault="003734EC">
            <w:pPr>
              <w:rPr>
                <w:rFonts w:ascii="宋体"/>
              </w:rPr>
            </w:pPr>
          </w:p>
        </w:tc>
        <w:tc>
          <w:tcPr>
            <w:tcW w:w="0" w:type="auto"/>
            <w:shd w:val="clear" w:color="auto" w:fill="auto"/>
            <w:vAlign w:val="center"/>
          </w:tcPr>
          <w:p w14:paraId="3693E1F8" w14:textId="77777777" w:rsidR="003734EC" w:rsidRDefault="003734EC">
            <w:pPr>
              <w:rPr>
                <w:rFonts w:ascii="宋体"/>
              </w:rPr>
            </w:pPr>
          </w:p>
        </w:tc>
      </w:tr>
      <w:tr w:rsidR="003734EC" w14:paraId="3693E224" w14:textId="77777777">
        <w:trPr>
          <w:jc w:val="center"/>
        </w:trPr>
        <w:tc>
          <w:tcPr>
            <w:tcW w:w="0" w:type="auto"/>
            <w:gridSpan w:val="3"/>
            <w:shd w:val="clear" w:color="auto" w:fill="FFFFFF"/>
            <w:tcMar>
              <w:top w:w="40" w:type="dxa"/>
              <w:left w:w="20" w:type="dxa"/>
              <w:bottom w:w="40" w:type="dxa"/>
              <w:right w:w="20" w:type="dxa"/>
            </w:tcMar>
            <w:vAlign w:val="bottom"/>
          </w:tcPr>
          <w:p w14:paraId="3693E1FA" w14:textId="77777777" w:rsidR="003734EC" w:rsidRDefault="000E364E">
            <w:pPr>
              <w:textAlignment w:val="bottom"/>
            </w:pPr>
            <w:r>
              <w:rPr>
                <w:rFonts w:ascii="sans-serif" w:eastAsia="sans-serif" w:hAnsi="sans-serif" w:cs="sans-serif"/>
                <w:color w:val="000000"/>
                <w:sz w:val="15"/>
                <w:szCs w:val="15"/>
              </w:rPr>
              <w:t xml:space="preserve">Other </w:t>
            </w:r>
            <w:r>
              <w:rPr>
                <w:rFonts w:ascii="sans-serif" w:eastAsia="sans-serif" w:hAnsi="sans-serif" w:cs="sans-serif"/>
                <w:color w:val="000000"/>
                <w:sz w:val="15"/>
                <w:szCs w:val="15"/>
              </w:rPr>
              <w:t>comprehensive income</w:t>
            </w:r>
          </w:p>
        </w:tc>
        <w:tc>
          <w:tcPr>
            <w:tcW w:w="0" w:type="auto"/>
            <w:gridSpan w:val="2"/>
            <w:shd w:val="clear" w:color="auto" w:fill="FFFFFF"/>
            <w:tcMar>
              <w:top w:w="40" w:type="dxa"/>
              <w:left w:w="20" w:type="dxa"/>
              <w:bottom w:w="40" w:type="dxa"/>
              <w:right w:w="0" w:type="dxa"/>
            </w:tcMar>
            <w:vAlign w:val="bottom"/>
          </w:tcPr>
          <w:p w14:paraId="3693E1F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1F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1FD" w14:textId="77777777" w:rsidR="003734EC" w:rsidRDefault="003734EC">
            <w:pPr>
              <w:jc w:val="right"/>
              <w:rPr>
                <w:rFonts w:ascii="宋体"/>
              </w:rPr>
            </w:pPr>
          </w:p>
        </w:tc>
        <w:tc>
          <w:tcPr>
            <w:tcW w:w="0" w:type="auto"/>
            <w:shd w:val="clear" w:color="auto" w:fill="FFFFFF"/>
            <w:tcMar>
              <w:right w:w="20" w:type="dxa"/>
            </w:tcMar>
            <w:vAlign w:val="bottom"/>
          </w:tcPr>
          <w:p w14:paraId="3693E1FE"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1F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0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01" w14:textId="77777777" w:rsidR="003734EC" w:rsidRDefault="003734EC">
            <w:pPr>
              <w:jc w:val="right"/>
              <w:rPr>
                <w:rFonts w:ascii="宋体"/>
              </w:rPr>
            </w:pPr>
          </w:p>
        </w:tc>
        <w:tc>
          <w:tcPr>
            <w:tcW w:w="0" w:type="auto"/>
            <w:shd w:val="clear" w:color="auto" w:fill="FFFFFF"/>
            <w:tcMar>
              <w:right w:w="20" w:type="dxa"/>
            </w:tcMar>
            <w:vAlign w:val="bottom"/>
          </w:tcPr>
          <w:p w14:paraId="3693E202"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0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0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05" w14:textId="77777777" w:rsidR="003734EC" w:rsidRDefault="003734EC">
            <w:pPr>
              <w:jc w:val="right"/>
              <w:rPr>
                <w:rFonts w:ascii="宋体"/>
              </w:rPr>
            </w:pPr>
          </w:p>
        </w:tc>
        <w:tc>
          <w:tcPr>
            <w:tcW w:w="0" w:type="auto"/>
            <w:shd w:val="clear" w:color="auto" w:fill="FFFFFF"/>
            <w:tcMar>
              <w:right w:w="20" w:type="dxa"/>
            </w:tcMar>
            <w:vAlign w:val="bottom"/>
          </w:tcPr>
          <w:p w14:paraId="3693E206"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0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0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09" w14:textId="77777777" w:rsidR="003734EC" w:rsidRDefault="003734EC">
            <w:pPr>
              <w:jc w:val="right"/>
              <w:rPr>
                <w:rFonts w:ascii="宋体"/>
              </w:rPr>
            </w:pPr>
          </w:p>
        </w:tc>
        <w:tc>
          <w:tcPr>
            <w:tcW w:w="0" w:type="auto"/>
            <w:shd w:val="clear" w:color="auto" w:fill="FFFFFF"/>
            <w:tcMar>
              <w:right w:w="20" w:type="dxa"/>
            </w:tcMar>
            <w:vAlign w:val="bottom"/>
          </w:tcPr>
          <w:p w14:paraId="3693E20A"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0B" w14:textId="77777777" w:rsidR="003734EC" w:rsidRDefault="000E364E">
            <w:pPr>
              <w:jc w:val="right"/>
              <w:textAlignment w:val="bottom"/>
            </w:pPr>
            <w:r>
              <w:rPr>
                <w:rFonts w:ascii="sans-serif" w:eastAsia="sans-serif" w:hAnsi="sans-serif" w:cs="sans-serif"/>
                <w:color w:val="000000"/>
                <w:sz w:val="15"/>
                <w:szCs w:val="15"/>
              </w:rPr>
              <w:t>10 </w:t>
            </w:r>
          </w:p>
        </w:tc>
        <w:tc>
          <w:tcPr>
            <w:tcW w:w="0" w:type="auto"/>
            <w:shd w:val="clear" w:color="auto" w:fill="FFFFFF"/>
            <w:tcMar>
              <w:top w:w="40" w:type="dxa"/>
              <w:bottom w:w="40" w:type="dxa"/>
              <w:right w:w="20" w:type="dxa"/>
            </w:tcMar>
            <w:vAlign w:val="bottom"/>
          </w:tcPr>
          <w:p w14:paraId="3693E20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0D" w14:textId="77777777" w:rsidR="003734EC" w:rsidRDefault="003734EC">
            <w:pPr>
              <w:jc w:val="right"/>
              <w:rPr>
                <w:rFonts w:ascii="宋体"/>
              </w:rPr>
            </w:pPr>
          </w:p>
        </w:tc>
        <w:tc>
          <w:tcPr>
            <w:tcW w:w="0" w:type="auto"/>
            <w:shd w:val="clear" w:color="auto" w:fill="FFFFFF"/>
            <w:tcMar>
              <w:right w:w="20" w:type="dxa"/>
            </w:tcMar>
            <w:vAlign w:val="bottom"/>
          </w:tcPr>
          <w:p w14:paraId="3693E20E"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0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1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11" w14:textId="77777777" w:rsidR="003734EC" w:rsidRDefault="003734EC">
            <w:pPr>
              <w:jc w:val="right"/>
              <w:rPr>
                <w:rFonts w:ascii="宋体"/>
              </w:rPr>
            </w:pPr>
          </w:p>
        </w:tc>
        <w:tc>
          <w:tcPr>
            <w:tcW w:w="0" w:type="auto"/>
            <w:shd w:val="clear" w:color="auto" w:fill="FFFFFF"/>
            <w:tcMar>
              <w:right w:w="20" w:type="dxa"/>
            </w:tcMar>
            <w:vAlign w:val="bottom"/>
          </w:tcPr>
          <w:p w14:paraId="3693E212"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13" w14:textId="77777777" w:rsidR="003734EC" w:rsidRDefault="000E364E">
            <w:pPr>
              <w:jc w:val="right"/>
              <w:textAlignment w:val="bottom"/>
            </w:pPr>
            <w:r>
              <w:rPr>
                <w:rFonts w:ascii="sans-serif" w:eastAsia="sans-serif" w:hAnsi="sans-serif" w:cs="sans-serif"/>
                <w:color w:val="000000"/>
                <w:sz w:val="15"/>
                <w:szCs w:val="15"/>
              </w:rPr>
              <w:t>10 </w:t>
            </w:r>
          </w:p>
        </w:tc>
        <w:tc>
          <w:tcPr>
            <w:tcW w:w="0" w:type="auto"/>
            <w:shd w:val="clear" w:color="auto" w:fill="FFFFFF"/>
            <w:tcMar>
              <w:top w:w="40" w:type="dxa"/>
              <w:bottom w:w="40" w:type="dxa"/>
              <w:right w:w="20" w:type="dxa"/>
            </w:tcMar>
            <w:vAlign w:val="bottom"/>
          </w:tcPr>
          <w:p w14:paraId="3693E21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215" w14:textId="77777777" w:rsidR="003734EC" w:rsidRDefault="003734EC">
            <w:pPr>
              <w:rPr>
                <w:rFonts w:ascii="宋体"/>
              </w:rPr>
            </w:pPr>
          </w:p>
        </w:tc>
        <w:tc>
          <w:tcPr>
            <w:tcW w:w="0" w:type="auto"/>
            <w:shd w:val="clear" w:color="auto" w:fill="auto"/>
            <w:vAlign w:val="center"/>
          </w:tcPr>
          <w:p w14:paraId="3693E216" w14:textId="77777777" w:rsidR="003734EC" w:rsidRDefault="003734EC">
            <w:pPr>
              <w:rPr>
                <w:rFonts w:ascii="宋体"/>
              </w:rPr>
            </w:pPr>
          </w:p>
        </w:tc>
        <w:tc>
          <w:tcPr>
            <w:tcW w:w="0" w:type="auto"/>
            <w:shd w:val="clear" w:color="auto" w:fill="auto"/>
            <w:vAlign w:val="center"/>
          </w:tcPr>
          <w:p w14:paraId="3693E217" w14:textId="77777777" w:rsidR="003734EC" w:rsidRDefault="003734EC">
            <w:pPr>
              <w:rPr>
                <w:rFonts w:ascii="宋体"/>
              </w:rPr>
            </w:pPr>
          </w:p>
        </w:tc>
        <w:tc>
          <w:tcPr>
            <w:tcW w:w="0" w:type="auto"/>
            <w:shd w:val="clear" w:color="auto" w:fill="auto"/>
            <w:vAlign w:val="center"/>
          </w:tcPr>
          <w:p w14:paraId="3693E218" w14:textId="77777777" w:rsidR="003734EC" w:rsidRDefault="003734EC">
            <w:pPr>
              <w:rPr>
                <w:rFonts w:ascii="宋体"/>
              </w:rPr>
            </w:pPr>
          </w:p>
        </w:tc>
        <w:tc>
          <w:tcPr>
            <w:tcW w:w="0" w:type="auto"/>
            <w:shd w:val="clear" w:color="auto" w:fill="auto"/>
            <w:vAlign w:val="center"/>
          </w:tcPr>
          <w:p w14:paraId="3693E219" w14:textId="77777777" w:rsidR="003734EC" w:rsidRDefault="003734EC">
            <w:pPr>
              <w:rPr>
                <w:rFonts w:ascii="宋体"/>
              </w:rPr>
            </w:pPr>
          </w:p>
        </w:tc>
        <w:tc>
          <w:tcPr>
            <w:tcW w:w="0" w:type="auto"/>
            <w:shd w:val="clear" w:color="auto" w:fill="auto"/>
            <w:vAlign w:val="center"/>
          </w:tcPr>
          <w:p w14:paraId="3693E21A" w14:textId="77777777" w:rsidR="003734EC" w:rsidRDefault="003734EC">
            <w:pPr>
              <w:rPr>
                <w:rFonts w:ascii="宋体"/>
              </w:rPr>
            </w:pPr>
          </w:p>
        </w:tc>
        <w:tc>
          <w:tcPr>
            <w:tcW w:w="0" w:type="auto"/>
            <w:shd w:val="clear" w:color="auto" w:fill="auto"/>
            <w:vAlign w:val="center"/>
          </w:tcPr>
          <w:p w14:paraId="3693E21B" w14:textId="77777777" w:rsidR="003734EC" w:rsidRDefault="003734EC">
            <w:pPr>
              <w:rPr>
                <w:rFonts w:ascii="宋体"/>
              </w:rPr>
            </w:pPr>
          </w:p>
        </w:tc>
        <w:tc>
          <w:tcPr>
            <w:tcW w:w="0" w:type="auto"/>
            <w:shd w:val="clear" w:color="auto" w:fill="auto"/>
            <w:vAlign w:val="center"/>
          </w:tcPr>
          <w:p w14:paraId="3693E21C" w14:textId="77777777" w:rsidR="003734EC" w:rsidRDefault="003734EC">
            <w:pPr>
              <w:rPr>
                <w:rFonts w:ascii="宋体"/>
              </w:rPr>
            </w:pPr>
          </w:p>
        </w:tc>
        <w:tc>
          <w:tcPr>
            <w:tcW w:w="0" w:type="auto"/>
            <w:shd w:val="clear" w:color="auto" w:fill="auto"/>
            <w:vAlign w:val="center"/>
          </w:tcPr>
          <w:p w14:paraId="3693E21D" w14:textId="77777777" w:rsidR="003734EC" w:rsidRDefault="003734EC">
            <w:pPr>
              <w:rPr>
                <w:rFonts w:ascii="宋体"/>
              </w:rPr>
            </w:pPr>
          </w:p>
        </w:tc>
        <w:tc>
          <w:tcPr>
            <w:tcW w:w="0" w:type="auto"/>
            <w:shd w:val="clear" w:color="auto" w:fill="auto"/>
            <w:vAlign w:val="center"/>
          </w:tcPr>
          <w:p w14:paraId="3693E21E" w14:textId="77777777" w:rsidR="003734EC" w:rsidRDefault="003734EC">
            <w:pPr>
              <w:rPr>
                <w:rFonts w:ascii="宋体"/>
              </w:rPr>
            </w:pPr>
          </w:p>
        </w:tc>
        <w:tc>
          <w:tcPr>
            <w:tcW w:w="0" w:type="auto"/>
            <w:shd w:val="clear" w:color="auto" w:fill="auto"/>
            <w:vAlign w:val="center"/>
          </w:tcPr>
          <w:p w14:paraId="3693E21F" w14:textId="77777777" w:rsidR="003734EC" w:rsidRDefault="003734EC">
            <w:pPr>
              <w:rPr>
                <w:rFonts w:ascii="宋体"/>
              </w:rPr>
            </w:pPr>
          </w:p>
        </w:tc>
        <w:tc>
          <w:tcPr>
            <w:tcW w:w="0" w:type="auto"/>
            <w:shd w:val="clear" w:color="auto" w:fill="auto"/>
            <w:vAlign w:val="center"/>
          </w:tcPr>
          <w:p w14:paraId="3693E220" w14:textId="77777777" w:rsidR="003734EC" w:rsidRDefault="003734EC">
            <w:pPr>
              <w:rPr>
                <w:rFonts w:ascii="宋体"/>
              </w:rPr>
            </w:pPr>
          </w:p>
        </w:tc>
        <w:tc>
          <w:tcPr>
            <w:tcW w:w="0" w:type="auto"/>
            <w:shd w:val="clear" w:color="auto" w:fill="auto"/>
            <w:vAlign w:val="center"/>
          </w:tcPr>
          <w:p w14:paraId="3693E221" w14:textId="77777777" w:rsidR="003734EC" w:rsidRDefault="003734EC">
            <w:pPr>
              <w:rPr>
                <w:rFonts w:ascii="宋体"/>
              </w:rPr>
            </w:pPr>
          </w:p>
        </w:tc>
        <w:tc>
          <w:tcPr>
            <w:tcW w:w="0" w:type="auto"/>
            <w:shd w:val="clear" w:color="auto" w:fill="auto"/>
            <w:vAlign w:val="center"/>
          </w:tcPr>
          <w:p w14:paraId="3693E222" w14:textId="77777777" w:rsidR="003734EC" w:rsidRDefault="003734EC">
            <w:pPr>
              <w:rPr>
                <w:rFonts w:ascii="宋体"/>
              </w:rPr>
            </w:pPr>
          </w:p>
        </w:tc>
        <w:tc>
          <w:tcPr>
            <w:tcW w:w="0" w:type="auto"/>
            <w:shd w:val="clear" w:color="auto" w:fill="auto"/>
            <w:vAlign w:val="center"/>
          </w:tcPr>
          <w:p w14:paraId="3693E223" w14:textId="77777777" w:rsidR="003734EC" w:rsidRDefault="003734EC">
            <w:pPr>
              <w:rPr>
                <w:rFonts w:ascii="宋体"/>
              </w:rPr>
            </w:pPr>
          </w:p>
        </w:tc>
      </w:tr>
      <w:tr w:rsidR="003734EC" w14:paraId="3693E24F" w14:textId="77777777">
        <w:trPr>
          <w:jc w:val="center"/>
        </w:trPr>
        <w:tc>
          <w:tcPr>
            <w:tcW w:w="0" w:type="auto"/>
            <w:gridSpan w:val="3"/>
            <w:shd w:val="clear" w:color="auto" w:fill="E2EFD9"/>
            <w:tcMar>
              <w:top w:w="40" w:type="dxa"/>
              <w:left w:w="20" w:type="dxa"/>
              <w:bottom w:w="40" w:type="dxa"/>
              <w:right w:w="20" w:type="dxa"/>
            </w:tcMar>
            <w:vAlign w:val="bottom"/>
          </w:tcPr>
          <w:p w14:paraId="3693E225" w14:textId="77777777" w:rsidR="003734EC" w:rsidRDefault="000E364E">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3693E22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2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28" w14:textId="77777777" w:rsidR="003734EC" w:rsidRDefault="003734EC">
            <w:pPr>
              <w:jc w:val="right"/>
              <w:rPr>
                <w:rFonts w:ascii="宋体"/>
              </w:rPr>
            </w:pPr>
          </w:p>
        </w:tc>
        <w:tc>
          <w:tcPr>
            <w:tcW w:w="0" w:type="auto"/>
            <w:shd w:val="clear" w:color="auto" w:fill="E2EFD9"/>
            <w:tcMar>
              <w:right w:w="20" w:type="dxa"/>
            </w:tcMar>
            <w:vAlign w:val="bottom"/>
          </w:tcPr>
          <w:p w14:paraId="3693E229"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2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2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2C" w14:textId="77777777" w:rsidR="003734EC" w:rsidRDefault="003734EC">
            <w:pPr>
              <w:jc w:val="right"/>
              <w:rPr>
                <w:rFonts w:ascii="宋体"/>
              </w:rPr>
            </w:pPr>
          </w:p>
        </w:tc>
        <w:tc>
          <w:tcPr>
            <w:tcW w:w="0" w:type="auto"/>
            <w:shd w:val="clear" w:color="auto" w:fill="E2EFD9"/>
            <w:tcMar>
              <w:right w:w="20" w:type="dxa"/>
            </w:tcMar>
            <w:vAlign w:val="bottom"/>
          </w:tcPr>
          <w:p w14:paraId="3693E22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2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2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30" w14:textId="77777777" w:rsidR="003734EC" w:rsidRDefault="003734EC">
            <w:pPr>
              <w:jc w:val="right"/>
              <w:rPr>
                <w:rFonts w:ascii="宋体"/>
              </w:rPr>
            </w:pPr>
          </w:p>
        </w:tc>
        <w:tc>
          <w:tcPr>
            <w:tcW w:w="0" w:type="auto"/>
            <w:shd w:val="clear" w:color="auto" w:fill="E2EFD9"/>
            <w:tcMar>
              <w:right w:w="20" w:type="dxa"/>
            </w:tcMar>
            <w:vAlign w:val="bottom"/>
          </w:tcPr>
          <w:p w14:paraId="3693E231"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3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3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34" w14:textId="77777777" w:rsidR="003734EC" w:rsidRDefault="003734EC">
            <w:pPr>
              <w:jc w:val="right"/>
              <w:rPr>
                <w:rFonts w:ascii="宋体"/>
              </w:rPr>
            </w:pPr>
          </w:p>
        </w:tc>
        <w:tc>
          <w:tcPr>
            <w:tcW w:w="0" w:type="auto"/>
            <w:shd w:val="clear" w:color="auto" w:fill="E2EFD9"/>
            <w:tcMar>
              <w:right w:w="20" w:type="dxa"/>
            </w:tcMar>
            <w:vAlign w:val="bottom"/>
          </w:tcPr>
          <w:p w14:paraId="3693E235"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3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3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38" w14:textId="77777777" w:rsidR="003734EC" w:rsidRDefault="003734EC">
            <w:pPr>
              <w:jc w:val="right"/>
              <w:rPr>
                <w:rFonts w:ascii="宋体"/>
              </w:rPr>
            </w:pPr>
          </w:p>
        </w:tc>
        <w:tc>
          <w:tcPr>
            <w:tcW w:w="0" w:type="auto"/>
            <w:shd w:val="clear" w:color="auto" w:fill="E2EFD9"/>
            <w:tcMar>
              <w:right w:w="20" w:type="dxa"/>
            </w:tcMar>
            <w:vAlign w:val="bottom"/>
          </w:tcPr>
          <w:p w14:paraId="3693E239"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3A" w14:textId="77777777" w:rsidR="003734EC" w:rsidRDefault="000E364E">
            <w:pPr>
              <w:jc w:val="right"/>
              <w:textAlignment w:val="bottom"/>
            </w:pPr>
            <w:r>
              <w:rPr>
                <w:rFonts w:ascii="sans-serif" w:eastAsia="sans-serif" w:hAnsi="sans-serif" w:cs="sans-serif"/>
                <w:color w:val="000000"/>
                <w:sz w:val="15"/>
                <w:szCs w:val="15"/>
              </w:rPr>
              <w:t>394 </w:t>
            </w:r>
          </w:p>
        </w:tc>
        <w:tc>
          <w:tcPr>
            <w:tcW w:w="0" w:type="auto"/>
            <w:shd w:val="clear" w:color="auto" w:fill="E2EFD9"/>
            <w:tcMar>
              <w:top w:w="40" w:type="dxa"/>
              <w:bottom w:w="40" w:type="dxa"/>
              <w:right w:w="20" w:type="dxa"/>
            </w:tcMar>
            <w:vAlign w:val="bottom"/>
          </w:tcPr>
          <w:p w14:paraId="3693E23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3C" w14:textId="77777777" w:rsidR="003734EC" w:rsidRDefault="003734EC">
            <w:pPr>
              <w:jc w:val="right"/>
              <w:rPr>
                <w:rFonts w:ascii="宋体"/>
              </w:rPr>
            </w:pPr>
          </w:p>
        </w:tc>
        <w:tc>
          <w:tcPr>
            <w:tcW w:w="0" w:type="auto"/>
            <w:shd w:val="clear" w:color="auto" w:fill="E2EFD9"/>
            <w:tcMar>
              <w:right w:w="20" w:type="dxa"/>
            </w:tcMar>
            <w:vAlign w:val="bottom"/>
          </w:tcPr>
          <w:p w14:paraId="3693E23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3E" w14:textId="77777777" w:rsidR="003734EC" w:rsidRDefault="000E364E">
            <w:pPr>
              <w:jc w:val="right"/>
              <w:textAlignment w:val="bottom"/>
            </w:pPr>
            <w:r>
              <w:rPr>
                <w:rFonts w:ascii="sans-serif" w:eastAsia="sans-serif" w:hAnsi="sans-serif" w:cs="sans-serif"/>
                <w:color w:val="000000"/>
                <w:sz w:val="15"/>
                <w:szCs w:val="15"/>
              </w:rPr>
              <w:t>394 </w:t>
            </w:r>
          </w:p>
        </w:tc>
        <w:tc>
          <w:tcPr>
            <w:tcW w:w="0" w:type="auto"/>
            <w:shd w:val="clear" w:color="auto" w:fill="E2EFD9"/>
            <w:tcMar>
              <w:top w:w="40" w:type="dxa"/>
              <w:bottom w:w="40" w:type="dxa"/>
              <w:right w:w="20" w:type="dxa"/>
            </w:tcMar>
            <w:vAlign w:val="bottom"/>
          </w:tcPr>
          <w:p w14:paraId="3693E23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240" w14:textId="77777777" w:rsidR="003734EC" w:rsidRDefault="003734EC">
            <w:pPr>
              <w:rPr>
                <w:rFonts w:ascii="宋体"/>
              </w:rPr>
            </w:pPr>
          </w:p>
        </w:tc>
        <w:tc>
          <w:tcPr>
            <w:tcW w:w="0" w:type="auto"/>
            <w:shd w:val="clear" w:color="auto" w:fill="auto"/>
            <w:vAlign w:val="center"/>
          </w:tcPr>
          <w:p w14:paraId="3693E241" w14:textId="77777777" w:rsidR="003734EC" w:rsidRDefault="003734EC">
            <w:pPr>
              <w:rPr>
                <w:rFonts w:ascii="宋体"/>
              </w:rPr>
            </w:pPr>
          </w:p>
        </w:tc>
        <w:tc>
          <w:tcPr>
            <w:tcW w:w="0" w:type="auto"/>
            <w:shd w:val="clear" w:color="auto" w:fill="auto"/>
            <w:vAlign w:val="center"/>
          </w:tcPr>
          <w:p w14:paraId="3693E242" w14:textId="77777777" w:rsidR="003734EC" w:rsidRDefault="003734EC">
            <w:pPr>
              <w:rPr>
                <w:rFonts w:ascii="宋体"/>
              </w:rPr>
            </w:pPr>
          </w:p>
        </w:tc>
        <w:tc>
          <w:tcPr>
            <w:tcW w:w="0" w:type="auto"/>
            <w:shd w:val="clear" w:color="auto" w:fill="auto"/>
            <w:vAlign w:val="center"/>
          </w:tcPr>
          <w:p w14:paraId="3693E243" w14:textId="77777777" w:rsidR="003734EC" w:rsidRDefault="003734EC">
            <w:pPr>
              <w:rPr>
                <w:rFonts w:ascii="宋体"/>
              </w:rPr>
            </w:pPr>
          </w:p>
        </w:tc>
        <w:tc>
          <w:tcPr>
            <w:tcW w:w="0" w:type="auto"/>
            <w:shd w:val="clear" w:color="auto" w:fill="auto"/>
            <w:vAlign w:val="center"/>
          </w:tcPr>
          <w:p w14:paraId="3693E244" w14:textId="77777777" w:rsidR="003734EC" w:rsidRDefault="003734EC">
            <w:pPr>
              <w:rPr>
                <w:rFonts w:ascii="宋体"/>
              </w:rPr>
            </w:pPr>
          </w:p>
        </w:tc>
        <w:tc>
          <w:tcPr>
            <w:tcW w:w="0" w:type="auto"/>
            <w:shd w:val="clear" w:color="auto" w:fill="auto"/>
            <w:vAlign w:val="center"/>
          </w:tcPr>
          <w:p w14:paraId="3693E245" w14:textId="77777777" w:rsidR="003734EC" w:rsidRDefault="003734EC">
            <w:pPr>
              <w:rPr>
                <w:rFonts w:ascii="宋体"/>
              </w:rPr>
            </w:pPr>
          </w:p>
        </w:tc>
        <w:tc>
          <w:tcPr>
            <w:tcW w:w="0" w:type="auto"/>
            <w:shd w:val="clear" w:color="auto" w:fill="auto"/>
            <w:vAlign w:val="center"/>
          </w:tcPr>
          <w:p w14:paraId="3693E246" w14:textId="77777777" w:rsidR="003734EC" w:rsidRDefault="003734EC">
            <w:pPr>
              <w:rPr>
                <w:rFonts w:ascii="宋体"/>
              </w:rPr>
            </w:pPr>
          </w:p>
        </w:tc>
        <w:tc>
          <w:tcPr>
            <w:tcW w:w="0" w:type="auto"/>
            <w:shd w:val="clear" w:color="auto" w:fill="auto"/>
            <w:vAlign w:val="center"/>
          </w:tcPr>
          <w:p w14:paraId="3693E247" w14:textId="77777777" w:rsidR="003734EC" w:rsidRDefault="003734EC">
            <w:pPr>
              <w:rPr>
                <w:rFonts w:ascii="宋体"/>
              </w:rPr>
            </w:pPr>
          </w:p>
        </w:tc>
        <w:tc>
          <w:tcPr>
            <w:tcW w:w="0" w:type="auto"/>
            <w:shd w:val="clear" w:color="auto" w:fill="auto"/>
            <w:vAlign w:val="center"/>
          </w:tcPr>
          <w:p w14:paraId="3693E248" w14:textId="77777777" w:rsidR="003734EC" w:rsidRDefault="003734EC">
            <w:pPr>
              <w:rPr>
                <w:rFonts w:ascii="宋体"/>
              </w:rPr>
            </w:pPr>
          </w:p>
        </w:tc>
        <w:tc>
          <w:tcPr>
            <w:tcW w:w="0" w:type="auto"/>
            <w:shd w:val="clear" w:color="auto" w:fill="auto"/>
            <w:vAlign w:val="center"/>
          </w:tcPr>
          <w:p w14:paraId="3693E249" w14:textId="77777777" w:rsidR="003734EC" w:rsidRDefault="003734EC">
            <w:pPr>
              <w:rPr>
                <w:rFonts w:ascii="宋体"/>
              </w:rPr>
            </w:pPr>
          </w:p>
        </w:tc>
        <w:tc>
          <w:tcPr>
            <w:tcW w:w="0" w:type="auto"/>
            <w:shd w:val="clear" w:color="auto" w:fill="auto"/>
            <w:vAlign w:val="center"/>
          </w:tcPr>
          <w:p w14:paraId="3693E24A" w14:textId="77777777" w:rsidR="003734EC" w:rsidRDefault="003734EC">
            <w:pPr>
              <w:rPr>
                <w:rFonts w:ascii="宋体"/>
              </w:rPr>
            </w:pPr>
          </w:p>
        </w:tc>
        <w:tc>
          <w:tcPr>
            <w:tcW w:w="0" w:type="auto"/>
            <w:shd w:val="clear" w:color="auto" w:fill="auto"/>
            <w:vAlign w:val="center"/>
          </w:tcPr>
          <w:p w14:paraId="3693E24B" w14:textId="77777777" w:rsidR="003734EC" w:rsidRDefault="003734EC">
            <w:pPr>
              <w:rPr>
                <w:rFonts w:ascii="宋体"/>
              </w:rPr>
            </w:pPr>
          </w:p>
        </w:tc>
        <w:tc>
          <w:tcPr>
            <w:tcW w:w="0" w:type="auto"/>
            <w:shd w:val="clear" w:color="auto" w:fill="auto"/>
            <w:vAlign w:val="center"/>
          </w:tcPr>
          <w:p w14:paraId="3693E24C" w14:textId="77777777" w:rsidR="003734EC" w:rsidRDefault="003734EC">
            <w:pPr>
              <w:rPr>
                <w:rFonts w:ascii="宋体"/>
              </w:rPr>
            </w:pPr>
          </w:p>
        </w:tc>
        <w:tc>
          <w:tcPr>
            <w:tcW w:w="0" w:type="auto"/>
            <w:shd w:val="clear" w:color="auto" w:fill="auto"/>
            <w:vAlign w:val="center"/>
          </w:tcPr>
          <w:p w14:paraId="3693E24D" w14:textId="77777777" w:rsidR="003734EC" w:rsidRDefault="003734EC">
            <w:pPr>
              <w:rPr>
                <w:rFonts w:ascii="宋体"/>
              </w:rPr>
            </w:pPr>
          </w:p>
        </w:tc>
        <w:tc>
          <w:tcPr>
            <w:tcW w:w="0" w:type="auto"/>
            <w:shd w:val="clear" w:color="auto" w:fill="auto"/>
            <w:vAlign w:val="center"/>
          </w:tcPr>
          <w:p w14:paraId="3693E24E" w14:textId="77777777" w:rsidR="003734EC" w:rsidRDefault="003734EC">
            <w:pPr>
              <w:rPr>
                <w:rFonts w:ascii="宋体"/>
              </w:rPr>
            </w:pPr>
          </w:p>
        </w:tc>
      </w:tr>
      <w:tr w:rsidR="003734EC" w14:paraId="3693E26D" w14:textId="77777777">
        <w:trPr>
          <w:jc w:val="center"/>
          <w:hidden/>
        </w:trPr>
        <w:tc>
          <w:tcPr>
            <w:tcW w:w="0" w:type="auto"/>
            <w:gridSpan w:val="3"/>
            <w:shd w:val="clear" w:color="auto" w:fill="auto"/>
            <w:vAlign w:val="center"/>
          </w:tcPr>
          <w:p w14:paraId="3693E250" w14:textId="77777777" w:rsidR="003734EC" w:rsidRDefault="003734EC">
            <w:pPr>
              <w:rPr>
                <w:rFonts w:ascii="宋体"/>
                <w:vanish/>
              </w:rPr>
            </w:pPr>
          </w:p>
        </w:tc>
        <w:tc>
          <w:tcPr>
            <w:tcW w:w="0" w:type="auto"/>
            <w:gridSpan w:val="3"/>
            <w:shd w:val="clear" w:color="auto" w:fill="auto"/>
            <w:vAlign w:val="center"/>
          </w:tcPr>
          <w:p w14:paraId="3693E251" w14:textId="77777777" w:rsidR="003734EC" w:rsidRDefault="003734EC">
            <w:pPr>
              <w:rPr>
                <w:rFonts w:ascii="宋体"/>
                <w:vanish/>
              </w:rPr>
            </w:pPr>
          </w:p>
        </w:tc>
        <w:tc>
          <w:tcPr>
            <w:tcW w:w="0" w:type="auto"/>
            <w:gridSpan w:val="3"/>
            <w:shd w:val="clear" w:color="auto" w:fill="auto"/>
            <w:vAlign w:val="center"/>
          </w:tcPr>
          <w:p w14:paraId="3693E252" w14:textId="77777777" w:rsidR="003734EC" w:rsidRDefault="003734EC">
            <w:pPr>
              <w:rPr>
                <w:rFonts w:ascii="宋体"/>
                <w:vanish/>
              </w:rPr>
            </w:pPr>
          </w:p>
        </w:tc>
        <w:tc>
          <w:tcPr>
            <w:tcW w:w="0" w:type="auto"/>
            <w:gridSpan w:val="3"/>
            <w:shd w:val="clear" w:color="auto" w:fill="auto"/>
            <w:vAlign w:val="center"/>
          </w:tcPr>
          <w:p w14:paraId="3693E253" w14:textId="77777777" w:rsidR="003734EC" w:rsidRDefault="003734EC">
            <w:pPr>
              <w:rPr>
                <w:rFonts w:ascii="宋体"/>
                <w:vanish/>
              </w:rPr>
            </w:pPr>
          </w:p>
        </w:tc>
        <w:tc>
          <w:tcPr>
            <w:tcW w:w="0" w:type="auto"/>
            <w:gridSpan w:val="3"/>
            <w:shd w:val="clear" w:color="auto" w:fill="auto"/>
            <w:vAlign w:val="center"/>
          </w:tcPr>
          <w:p w14:paraId="3693E254" w14:textId="77777777" w:rsidR="003734EC" w:rsidRDefault="003734EC">
            <w:pPr>
              <w:rPr>
                <w:rFonts w:ascii="宋体"/>
                <w:vanish/>
              </w:rPr>
            </w:pPr>
          </w:p>
        </w:tc>
        <w:tc>
          <w:tcPr>
            <w:tcW w:w="0" w:type="auto"/>
            <w:gridSpan w:val="3"/>
            <w:shd w:val="clear" w:color="auto" w:fill="auto"/>
            <w:vAlign w:val="center"/>
          </w:tcPr>
          <w:p w14:paraId="3693E255" w14:textId="77777777" w:rsidR="003734EC" w:rsidRDefault="003734EC">
            <w:pPr>
              <w:rPr>
                <w:rFonts w:ascii="宋体"/>
                <w:vanish/>
              </w:rPr>
            </w:pPr>
          </w:p>
        </w:tc>
        <w:tc>
          <w:tcPr>
            <w:tcW w:w="0" w:type="auto"/>
            <w:gridSpan w:val="3"/>
            <w:shd w:val="clear" w:color="auto" w:fill="auto"/>
            <w:vAlign w:val="center"/>
          </w:tcPr>
          <w:p w14:paraId="3693E256" w14:textId="77777777" w:rsidR="003734EC" w:rsidRDefault="003734EC">
            <w:pPr>
              <w:rPr>
                <w:rFonts w:ascii="宋体"/>
                <w:vanish/>
              </w:rPr>
            </w:pPr>
          </w:p>
        </w:tc>
        <w:tc>
          <w:tcPr>
            <w:tcW w:w="0" w:type="auto"/>
            <w:gridSpan w:val="3"/>
            <w:shd w:val="clear" w:color="auto" w:fill="auto"/>
            <w:vAlign w:val="center"/>
          </w:tcPr>
          <w:p w14:paraId="3693E257" w14:textId="77777777" w:rsidR="003734EC" w:rsidRDefault="003734EC">
            <w:pPr>
              <w:rPr>
                <w:rFonts w:ascii="宋体"/>
                <w:vanish/>
              </w:rPr>
            </w:pPr>
          </w:p>
        </w:tc>
        <w:tc>
          <w:tcPr>
            <w:tcW w:w="0" w:type="auto"/>
            <w:gridSpan w:val="3"/>
            <w:shd w:val="clear" w:color="auto" w:fill="auto"/>
            <w:vAlign w:val="center"/>
          </w:tcPr>
          <w:p w14:paraId="3693E258" w14:textId="77777777" w:rsidR="003734EC" w:rsidRDefault="003734EC">
            <w:pPr>
              <w:rPr>
                <w:rFonts w:ascii="宋体"/>
                <w:vanish/>
              </w:rPr>
            </w:pPr>
          </w:p>
        </w:tc>
        <w:tc>
          <w:tcPr>
            <w:tcW w:w="0" w:type="auto"/>
            <w:gridSpan w:val="3"/>
            <w:shd w:val="clear" w:color="auto" w:fill="auto"/>
            <w:vAlign w:val="center"/>
          </w:tcPr>
          <w:p w14:paraId="3693E259" w14:textId="77777777" w:rsidR="003734EC" w:rsidRDefault="003734EC">
            <w:pPr>
              <w:rPr>
                <w:rFonts w:ascii="宋体"/>
                <w:vanish/>
              </w:rPr>
            </w:pPr>
          </w:p>
        </w:tc>
        <w:tc>
          <w:tcPr>
            <w:tcW w:w="0" w:type="auto"/>
            <w:gridSpan w:val="3"/>
            <w:shd w:val="clear" w:color="auto" w:fill="auto"/>
            <w:vAlign w:val="center"/>
          </w:tcPr>
          <w:p w14:paraId="3693E25A" w14:textId="77777777" w:rsidR="003734EC" w:rsidRDefault="003734EC">
            <w:pPr>
              <w:rPr>
                <w:rFonts w:ascii="宋体"/>
                <w:vanish/>
              </w:rPr>
            </w:pPr>
          </w:p>
        </w:tc>
        <w:tc>
          <w:tcPr>
            <w:tcW w:w="0" w:type="auto"/>
            <w:gridSpan w:val="3"/>
            <w:shd w:val="clear" w:color="auto" w:fill="auto"/>
            <w:vAlign w:val="center"/>
          </w:tcPr>
          <w:p w14:paraId="3693E25B" w14:textId="77777777" w:rsidR="003734EC" w:rsidRDefault="003734EC">
            <w:pPr>
              <w:rPr>
                <w:rFonts w:ascii="宋体"/>
                <w:vanish/>
              </w:rPr>
            </w:pPr>
          </w:p>
        </w:tc>
        <w:tc>
          <w:tcPr>
            <w:tcW w:w="0" w:type="auto"/>
            <w:gridSpan w:val="3"/>
            <w:shd w:val="clear" w:color="auto" w:fill="auto"/>
            <w:vAlign w:val="center"/>
          </w:tcPr>
          <w:p w14:paraId="3693E25C" w14:textId="77777777" w:rsidR="003734EC" w:rsidRDefault="003734EC">
            <w:pPr>
              <w:rPr>
                <w:rFonts w:ascii="宋体"/>
                <w:vanish/>
              </w:rPr>
            </w:pPr>
          </w:p>
        </w:tc>
        <w:tc>
          <w:tcPr>
            <w:tcW w:w="0" w:type="auto"/>
            <w:gridSpan w:val="3"/>
            <w:shd w:val="clear" w:color="auto" w:fill="auto"/>
            <w:vAlign w:val="center"/>
          </w:tcPr>
          <w:p w14:paraId="3693E25D" w14:textId="77777777" w:rsidR="003734EC" w:rsidRDefault="003734EC">
            <w:pPr>
              <w:rPr>
                <w:rFonts w:ascii="宋体"/>
                <w:vanish/>
              </w:rPr>
            </w:pPr>
          </w:p>
        </w:tc>
        <w:tc>
          <w:tcPr>
            <w:tcW w:w="0" w:type="auto"/>
            <w:shd w:val="clear" w:color="auto" w:fill="auto"/>
            <w:vAlign w:val="center"/>
          </w:tcPr>
          <w:p w14:paraId="3693E25E" w14:textId="77777777" w:rsidR="003734EC" w:rsidRDefault="003734EC">
            <w:pPr>
              <w:rPr>
                <w:rFonts w:ascii="宋体"/>
              </w:rPr>
            </w:pPr>
          </w:p>
        </w:tc>
        <w:tc>
          <w:tcPr>
            <w:tcW w:w="0" w:type="auto"/>
            <w:shd w:val="clear" w:color="auto" w:fill="auto"/>
            <w:vAlign w:val="center"/>
          </w:tcPr>
          <w:p w14:paraId="3693E25F" w14:textId="77777777" w:rsidR="003734EC" w:rsidRDefault="003734EC">
            <w:pPr>
              <w:rPr>
                <w:rFonts w:ascii="宋体"/>
              </w:rPr>
            </w:pPr>
          </w:p>
        </w:tc>
        <w:tc>
          <w:tcPr>
            <w:tcW w:w="0" w:type="auto"/>
            <w:shd w:val="clear" w:color="auto" w:fill="auto"/>
            <w:vAlign w:val="center"/>
          </w:tcPr>
          <w:p w14:paraId="3693E260" w14:textId="77777777" w:rsidR="003734EC" w:rsidRDefault="003734EC">
            <w:pPr>
              <w:rPr>
                <w:rFonts w:ascii="宋体"/>
              </w:rPr>
            </w:pPr>
          </w:p>
        </w:tc>
        <w:tc>
          <w:tcPr>
            <w:tcW w:w="0" w:type="auto"/>
            <w:shd w:val="clear" w:color="auto" w:fill="auto"/>
            <w:vAlign w:val="center"/>
          </w:tcPr>
          <w:p w14:paraId="3693E261" w14:textId="77777777" w:rsidR="003734EC" w:rsidRDefault="003734EC">
            <w:pPr>
              <w:rPr>
                <w:rFonts w:ascii="宋体"/>
              </w:rPr>
            </w:pPr>
          </w:p>
        </w:tc>
        <w:tc>
          <w:tcPr>
            <w:tcW w:w="0" w:type="auto"/>
            <w:shd w:val="clear" w:color="auto" w:fill="auto"/>
            <w:vAlign w:val="center"/>
          </w:tcPr>
          <w:p w14:paraId="3693E262" w14:textId="77777777" w:rsidR="003734EC" w:rsidRDefault="003734EC">
            <w:pPr>
              <w:rPr>
                <w:rFonts w:ascii="宋体"/>
              </w:rPr>
            </w:pPr>
          </w:p>
        </w:tc>
        <w:tc>
          <w:tcPr>
            <w:tcW w:w="0" w:type="auto"/>
            <w:shd w:val="clear" w:color="auto" w:fill="auto"/>
            <w:vAlign w:val="center"/>
          </w:tcPr>
          <w:p w14:paraId="3693E263" w14:textId="77777777" w:rsidR="003734EC" w:rsidRDefault="003734EC">
            <w:pPr>
              <w:rPr>
                <w:rFonts w:ascii="宋体"/>
              </w:rPr>
            </w:pPr>
          </w:p>
        </w:tc>
        <w:tc>
          <w:tcPr>
            <w:tcW w:w="0" w:type="auto"/>
            <w:shd w:val="clear" w:color="auto" w:fill="auto"/>
            <w:vAlign w:val="center"/>
          </w:tcPr>
          <w:p w14:paraId="3693E264" w14:textId="77777777" w:rsidR="003734EC" w:rsidRDefault="003734EC">
            <w:pPr>
              <w:rPr>
                <w:rFonts w:ascii="宋体"/>
              </w:rPr>
            </w:pPr>
          </w:p>
        </w:tc>
        <w:tc>
          <w:tcPr>
            <w:tcW w:w="0" w:type="auto"/>
            <w:shd w:val="clear" w:color="auto" w:fill="auto"/>
            <w:vAlign w:val="center"/>
          </w:tcPr>
          <w:p w14:paraId="3693E265" w14:textId="77777777" w:rsidR="003734EC" w:rsidRDefault="003734EC">
            <w:pPr>
              <w:rPr>
                <w:rFonts w:ascii="宋体"/>
              </w:rPr>
            </w:pPr>
          </w:p>
        </w:tc>
        <w:tc>
          <w:tcPr>
            <w:tcW w:w="0" w:type="auto"/>
            <w:shd w:val="clear" w:color="auto" w:fill="auto"/>
            <w:vAlign w:val="center"/>
          </w:tcPr>
          <w:p w14:paraId="3693E266" w14:textId="77777777" w:rsidR="003734EC" w:rsidRDefault="003734EC">
            <w:pPr>
              <w:rPr>
                <w:rFonts w:ascii="宋体"/>
              </w:rPr>
            </w:pPr>
          </w:p>
        </w:tc>
        <w:tc>
          <w:tcPr>
            <w:tcW w:w="0" w:type="auto"/>
            <w:shd w:val="clear" w:color="auto" w:fill="auto"/>
            <w:vAlign w:val="center"/>
          </w:tcPr>
          <w:p w14:paraId="3693E267" w14:textId="77777777" w:rsidR="003734EC" w:rsidRDefault="003734EC">
            <w:pPr>
              <w:rPr>
                <w:rFonts w:ascii="宋体"/>
              </w:rPr>
            </w:pPr>
          </w:p>
        </w:tc>
        <w:tc>
          <w:tcPr>
            <w:tcW w:w="0" w:type="auto"/>
            <w:shd w:val="clear" w:color="auto" w:fill="auto"/>
            <w:vAlign w:val="center"/>
          </w:tcPr>
          <w:p w14:paraId="3693E268" w14:textId="77777777" w:rsidR="003734EC" w:rsidRDefault="003734EC">
            <w:pPr>
              <w:rPr>
                <w:rFonts w:ascii="宋体"/>
              </w:rPr>
            </w:pPr>
          </w:p>
        </w:tc>
        <w:tc>
          <w:tcPr>
            <w:tcW w:w="0" w:type="auto"/>
            <w:shd w:val="clear" w:color="auto" w:fill="auto"/>
            <w:vAlign w:val="center"/>
          </w:tcPr>
          <w:p w14:paraId="3693E269" w14:textId="77777777" w:rsidR="003734EC" w:rsidRDefault="003734EC">
            <w:pPr>
              <w:rPr>
                <w:rFonts w:ascii="宋体"/>
              </w:rPr>
            </w:pPr>
          </w:p>
        </w:tc>
        <w:tc>
          <w:tcPr>
            <w:tcW w:w="0" w:type="auto"/>
            <w:shd w:val="clear" w:color="auto" w:fill="auto"/>
            <w:vAlign w:val="center"/>
          </w:tcPr>
          <w:p w14:paraId="3693E26A" w14:textId="77777777" w:rsidR="003734EC" w:rsidRDefault="003734EC">
            <w:pPr>
              <w:rPr>
                <w:rFonts w:ascii="宋体"/>
              </w:rPr>
            </w:pPr>
          </w:p>
        </w:tc>
        <w:tc>
          <w:tcPr>
            <w:tcW w:w="0" w:type="auto"/>
            <w:shd w:val="clear" w:color="auto" w:fill="auto"/>
            <w:vAlign w:val="center"/>
          </w:tcPr>
          <w:p w14:paraId="3693E26B" w14:textId="77777777" w:rsidR="003734EC" w:rsidRDefault="003734EC">
            <w:pPr>
              <w:rPr>
                <w:rFonts w:ascii="宋体"/>
              </w:rPr>
            </w:pPr>
          </w:p>
        </w:tc>
        <w:tc>
          <w:tcPr>
            <w:tcW w:w="0" w:type="auto"/>
            <w:shd w:val="clear" w:color="auto" w:fill="auto"/>
            <w:vAlign w:val="center"/>
          </w:tcPr>
          <w:p w14:paraId="3693E26C" w14:textId="77777777" w:rsidR="003734EC" w:rsidRDefault="003734EC">
            <w:pPr>
              <w:rPr>
                <w:rFonts w:ascii="宋体"/>
              </w:rPr>
            </w:pPr>
          </w:p>
        </w:tc>
      </w:tr>
      <w:tr w:rsidR="003734EC" w14:paraId="3693E298" w14:textId="77777777">
        <w:trPr>
          <w:jc w:val="center"/>
        </w:trPr>
        <w:tc>
          <w:tcPr>
            <w:tcW w:w="0" w:type="auto"/>
            <w:gridSpan w:val="3"/>
            <w:shd w:val="clear" w:color="auto" w:fill="FFFFFF"/>
            <w:tcMar>
              <w:top w:w="40" w:type="dxa"/>
              <w:left w:w="20" w:type="dxa"/>
              <w:bottom w:w="40" w:type="dxa"/>
              <w:right w:w="20" w:type="dxa"/>
            </w:tcMar>
            <w:vAlign w:val="bottom"/>
          </w:tcPr>
          <w:p w14:paraId="3693E26E" w14:textId="77777777" w:rsidR="003734EC" w:rsidRDefault="000E364E">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3693E26F" w14:textId="77777777" w:rsidR="003734EC" w:rsidRDefault="000E364E">
            <w:pPr>
              <w:jc w:val="right"/>
              <w:textAlignment w:val="bottom"/>
            </w:pPr>
            <w:r>
              <w:rPr>
                <w:rFonts w:ascii="sans-serif" w:eastAsia="sans-serif" w:hAnsi="sans-serif" w:cs="sans-serif"/>
                <w:color w:val="000000"/>
                <w:sz w:val="15"/>
                <w:szCs w:val="15"/>
              </w:rPr>
              <w:t>4 </w:t>
            </w:r>
          </w:p>
        </w:tc>
        <w:tc>
          <w:tcPr>
            <w:tcW w:w="0" w:type="auto"/>
            <w:shd w:val="clear" w:color="auto" w:fill="FFFFFF"/>
            <w:tcMar>
              <w:top w:w="40" w:type="dxa"/>
              <w:bottom w:w="40" w:type="dxa"/>
              <w:right w:w="20" w:type="dxa"/>
            </w:tcMar>
            <w:vAlign w:val="bottom"/>
          </w:tcPr>
          <w:p w14:paraId="3693E27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71" w14:textId="77777777" w:rsidR="003734EC" w:rsidRDefault="003734EC">
            <w:pPr>
              <w:jc w:val="right"/>
              <w:rPr>
                <w:rFonts w:ascii="宋体"/>
              </w:rPr>
            </w:pPr>
          </w:p>
        </w:tc>
        <w:tc>
          <w:tcPr>
            <w:tcW w:w="0" w:type="auto"/>
            <w:shd w:val="clear" w:color="auto" w:fill="FFFFFF"/>
            <w:tcMar>
              <w:right w:w="20" w:type="dxa"/>
            </w:tcMar>
            <w:vAlign w:val="bottom"/>
          </w:tcPr>
          <w:p w14:paraId="3693E272"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7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7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75" w14:textId="77777777" w:rsidR="003734EC" w:rsidRDefault="003734EC">
            <w:pPr>
              <w:jc w:val="right"/>
              <w:rPr>
                <w:rFonts w:ascii="宋体"/>
              </w:rPr>
            </w:pPr>
          </w:p>
        </w:tc>
        <w:tc>
          <w:tcPr>
            <w:tcW w:w="0" w:type="auto"/>
            <w:shd w:val="clear" w:color="auto" w:fill="FFFFFF"/>
            <w:tcMar>
              <w:right w:w="20" w:type="dxa"/>
            </w:tcMar>
            <w:vAlign w:val="bottom"/>
          </w:tcPr>
          <w:p w14:paraId="3693E276"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77" w14:textId="77777777" w:rsidR="003734EC" w:rsidRDefault="000E364E">
            <w:pPr>
              <w:jc w:val="right"/>
              <w:textAlignment w:val="bottom"/>
            </w:pPr>
            <w:r>
              <w:rPr>
                <w:rFonts w:ascii="sans-serif" w:eastAsia="sans-serif" w:hAnsi="sans-serif" w:cs="sans-serif"/>
                <w:color w:val="000000"/>
                <w:sz w:val="15"/>
                <w:szCs w:val="15"/>
              </w:rPr>
              <w:t>83 </w:t>
            </w:r>
          </w:p>
        </w:tc>
        <w:tc>
          <w:tcPr>
            <w:tcW w:w="0" w:type="auto"/>
            <w:shd w:val="clear" w:color="auto" w:fill="FFFFFF"/>
            <w:tcMar>
              <w:top w:w="40" w:type="dxa"/>
              <w:bottom w:w="40" w:type="dxa"/>
              <w:right w:w="20" w:type="dxa"/>
            </w:tcMar>
            <w:vAlign w:val="bottom"/>
          </w:tcPr>
          <w:p w14:paraId="3693E27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79" w14:textId="77777777" w:rsidR="003734EC" w:rsidRDefault="003734EC">
            <w:pPr>
              <w:jc w:val="right"/>
              <w:rPr>
                <w:rFonts w:ascii="宋体"/>
              </w:rPr>
            </w:pPr>
          </w:p>
        </w:tc>
        <w:tc>
          <w:tcPr>
            <w:tcW w:w="0" w:type="auto"/>
            <w:shd w:val="clear" w:color="auto" w:fill="FFFFFF"/>
            <w:tcMar>
              <w:right w:w="20" w:type="dxa"/>
            </w:tcMar>
            <w:vAlign w:val="bottom"/>
          </w:tcPr>
          <w:p w14:paraId="3693E27A"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7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7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7D" w14:textId="77777777" w:rsidR="003734EC" w:rsidRDefault="003734EC">
            <w:pPr>
              <w:jc w:val="right"/>
              <w:rPr>
                <w:rFonts w:ascii="宋体"/>
              </w:rPr>
            </w:pPr>
          </w:p>
        </w:tc>
        <w:tc>
          <w:tcPr>
            <w:tcW w:w="0" w:type="auto"/>
            <w:shd w:val="clear" w:color="auto" w:fill="FFFFFF"/>
            <w:tcMar>
              <w:right w:w="20" w:type="dxa"/>
            </w:tcMar>
            <w:vAlign w:val="bottom"/>
          </w:tcPr>
          <w:p w14:paraId="3693E27E"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7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8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81" w14:textId="77777777" w:rsidR="003734EC" w:rsidRDefault="003734EC">
            <w:pPr>
              <w:jc w:val="right"/>
              <w:rPr>
                <w:rFonts w:ascii="宋体"/>
              </w:rPr>
            </w:pPr>
          </w:p>
        </w:tc>
        <w:tc>
          <w:tcPr>
            <w:tcW w:w="0" w:type="auto"/>
            <w:shd w:val="clear" w:color="auto" w:fill="FFFFFF"/>
            <w:tcMar>
              <w:right w:w="20" w:type="dxa"/>
            </w:tcMar>
            <w:vAlign w:val="bottom"/>
          </w:tcPr>
          <w:p w14:paraId="3693E282"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8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8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85" w14:textId="77777777" w:rsidR="003734EC" w:rsidRDefault="003734EC">
            <w:pPr>
              <w:jc w:val="right"/>
              <w:rPr>
                <w:rFonts w:ascii="宋体"/>
              </w:rPr>
            </w:pPr>
          </w:p>
        </w:tc>
        <w:tc>
          <w:tcPr>
            <w:tcW w:w="0" w:type="auto"/>
            <w:shd w:val="clear" w:color="auto" w:fill="FFFFFF"/>
            <w:tcMar>
              <w:right w:w="20" w:type="dxa"/>
            </w:tcMar>
            <w:vAlign w:val="bottom"/>
          </w:tcPr>
          <w:p w14:paraId="3693E286"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87" w14:textId="77777777" w:rsidR="003734EC" w:rsidRDefault="000E364E">
            <w:pPr>
              <w:jc w:val="right"/>
              <w:textAlignment w:val="bottom"/>
            </w:pPr>
            <w:r>
              <w:rPr>
                <w:rFonts w:ascii="sans-serif" w:eastAsia="sans-serif" w:hAnsi="sans-serif" w:cs="sans-serif"/>
                <w:color w:val="000000"/>
                <w:sz w:val="15"/>
                <w:szCs w:val="15"/>
              </w:rPr>
              <w:t>83 </w:t>
            </w:r>
          </w:p>
        </w:tc>
        <w:tc>
          <w:tcPr>
            <w:tcW w:w="0" w:type="auto"/>
            <w:shd w:val="clear" w:color="auto" w:fill="FFFFFF"/>
            <w:tcMar>
              <w:top w:w="40" w:type="dxa"/>
              <w:bottom w:w="40" w:type="dxa"/>
              <w:right w:w="20" w:type="dxa"/>
            </w:tcMar>
            <w:vAlign w:val="bottom"/>
          </w:tcPr>
          <w:p w14:paraId="3693E28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289" w14:textId="77777777" w:rsidR="003734EC" w:rsidRDefault="003734EC">
            <w:pPr>
              <w:rPr>
                <w:rFonts w:ascii="宋体"/>
              </w:rPr>
            </w:pPr>
          </w:p>
        </w:tc>
        <w:tc>
          <w:tcPr>
            <w:tcW w:w="0" w:type="auto"/>
            <w:shd w:val="clear" w:color="auto" w:fill="auto"/>
            <w:vAlign w:val="center"/>
          </w:tcPr>
          <w:p w14:paraId="3693E28A" w14:textId="77777777" w:rsidR="003734EC" w:rsidRDefault="003734EC">
            <w:pPr>
              <w:rPr>
                <w:rFonts w:ascii="宋体"/>
              </w:rPr>
            </w:pPr>
          </w:p>
        </w:tc>
        <w:tc>
          <w:tcPr>
            <w:tcW w:w="0" w:type="auto"/>
            <w:shd w:val="clear" w:color="auto" w:fill="auto"/>
            <w:vAlign w:val="center"/>
          </w:tcPr>
          <w:p w14:paraId="3693E28B" w14:textId="77777777" w:rsidR="003734EC" w:rsidRDefault="003734EC">
            <w:pPr>
              <w:rPr>
                <w:rFonts w:ascii="宋体"/>
              </w:rPr>
            </w:pPr>
          </w:p>
        </w:tc>
        <w:tc>
          <w:tcPr>
            <w:tcW w:w="0" w:type="auto"/>
            <w:shd w:val="clear" w:color="auto" w:fill="auto"/>
            <w:vAlign w:val="center"/>
          </w:tcPr>
          <w:p w14:paraId="3693E28C" w14:textId="77777777" w:rsidR="003734EC" w:rsidRDefault="003734EC">
            <w:pPr>
              <w:rPr>
                <w:rFonts w:ascii="宋体"/>
              </w:rPr>
            </w:pPr>
          </w:p>
        </w:tc>
        <w:tc>
          <w:tcPr>
            <w:tcW w:w="0" w:type="auto"/>
            <w:shd w:val="clear" w:color="auto" w:fill="auto"/>
            <w:vAlign w:val="center"/>
          </w:tcPr>
          <w:p w14:paraId="3693E28D" w14:textId="77777777" w:rsidR="003734EC" w:rsidRDefault="003734EC">
            <w:pPr>
              <w:rPr>
                <w:rFonts w:ascii="宋体"/>
              </w:rPr>
            </w:pPr>
          </w:p>
        </w:tc>
        <w:tc>
          <w:tcPr>
            <w:tcW w:w="0" w:type="auto"/>
            <w:shd w:val="clear" w:color="auto" w:fill="auto"/>
            <w:vAlign w:val="center"/>
          </w:tcPr>
          <w:p w14:paraId="3693E28E" w14:textId="77777777" w:rsidR="003734EC" w:rsidRDefault="003734EC">
            <w:pPr>
              <w:rPr>
                <w:rFonts w:ascii="宋体"/>
              </w:rPr>
            </w:pPr>
          </w:p>
        </w:tc>
        <w:tc>
          <w:tcPr>
            <w:tcW w:w="0" w:type="auto"/>
            <w:shd w:val="clear" w:color="auto" w:fill="auto"/>
            <w:vAlign w:val="center"/>
          </w:tcPr>
          <w:p w14:paraId="3693E28F" w14:textId="77777777" w:rsidR="003734EC" w:rsidRDefault="003734EC">
            <w:pPr>
              <w:rPr>
                <w:rFonts w:ascii="宋体"/>
              </w:rPr>
            </w:pPr>
          </w:p>
        </w:tc>
        <w:tc>
          <w:tcPr>
            <w:tcW w:w="0" w:type="auto"/>
            <w:shd w:val="clear" w:color="auto" w:fill="auto"/>
            <w:vAlign w:val="center"/>
          </w:tcPr>
          <w:p w14:paraId="3693E290" w14:textId="77777777" w:rsidR="003734EC" w:rsidRDefault="003734EC">
            <w:pPr>
              <w:rPr>
                <w:rFonts w:ascii="宋体"/>
              </w:rPr>
            </w:pPr>
          </w:p>
        </w:tc>
        <w:tc>
          <w:tcPr>
            <w:tcW w:w="0" w:type="auto"/>
            <w:shd w:val="clear" w:color="auto" w:fill="auto"/>
            <w:vAlign w:val="center"/>
          </w:tcPr>
          <w:p w14:paraId="3693E291" w14:textId="77777777" w:rsidR="003734EC" w:rsidRDefault="003734EC">
            <w:pPr>
              <w:rPr>
                <w:rFonts w:ascii="宋体"/>
              </w:rPr>
            </w:pPr>
          </w:p>
        </w:tc>
        <w:tc>
          <w:tcPr>
            <w:tcW w:w="0" w:type="auto"/>
            <w:shd w:val="clear" w:color="auto" w:fill="auto"/>
            <w:vAlign w:val="center"/>
          </w:tcPr>
          <w:p w14:paraId="3693E292" w14:textId="77777777" w:rsidR="003734EC" w:rsidRDefault="003734EC">
            <w:pPr>
              <w:rPr>
                <w:rFonts w:ascii="宋体"/>
              </w:rPr>
            </w:pPr>
          </w:p>
        </w:tc>
        <w:tc>
          <w:tcPr>
            <w:tcW w:w="0" w:type="auto"/>
            <w:shd w:val="clear" w:color="auto" w:fill="auto"/>
            <w:vAlign w:val="center"/>
          </w:tcPr>
          <w:p w14:paraId="3693E293" w14:textId="77777777" w:rsidR="003734EC" w:rsidRDefault="003734EC">
            <w:pPr>
              <w:rPr>
                <w:rFonts w:ascii="宋体"/>
              </w:rPr>
            </w:pPr>
          </w:p>
        </w:tc>
        <w:tc>
          <w:tcPr>
            <w:tcW w:w="0" w:type="auto"/>
            <w:shd w:val="clear" w:color="auto" w:fill="auto"/>
            <w:vAlign w:val="center"/>
          </w:tcPr>
          <w:p w14:paraId="3693E294" w14:textId="77777777" w:rsidR="003734EC" w:rsidRDefault="003734EC">
            <w:pPr>
              <w:rPr>
                <w:rFonts w:ascii="宋体"/>
              </w:rPr>
            </w:pPr>
          </w:p>
        </w:tc>
        <w:tc>
          <w:tcPr>
            <w:tcW w:w="0" w:type="auto"/>
            <w:shd w:val="clear" w:color="auto" w:fill="auto"/>
            <w:vAlign w:val="center"/>
          </w:tcPr>
          <w:p w14:paraId="3693E295" w14:textId="77777777" w:rsidR="003734EC" w:rsidRDefault="003734EC">
            <w:pPr>
              <w:rPr>
                <w:rFonts w:ascii="宋体"/>
              </w:rPr>
            </w:pPr>
          </w:p>
        </w:tc>
        <w:tc>
          <w:tcPr>
            <w:tcW w:w="0" w:type="auto"/>
            <w:shd w:val="clear" w:color="auto" w:fill="auto"/>
            <w:vAlign w:val="center"/>
          </w:tcPr>
          <w:p w14:paraId="3693E296" w14:textId="77777777" w:rsidR="003734EC" w:rsidRDefault="003734EC">
            <w:pPr>
              <w:rPr>
                <w:rFonts w:ascii="宋体"/>
              </w:rPr>
            </w:pPr>
          </w:p>
        </w:tc>
        <w:tc>
          <w:tcPr>
            <w:tcW w:w="0" w:type="auto"/>
            <w:shd w:val="clear" w:color="auto" w:fill="auto"/>
            <w:vAlign w:val="center"/>
          </w:tcPr>
          <w:p w14:paraId="3693E297" w14:textId="77777777" w:rsidR="003734EC" w:rsidRDefault="003734EC">
            <w:pPr>
              <w:rPr>
                <w:rFonts w:ascii="宋体"/>
              </w:rPr>
            </w:pPr>
          </w:p>
        </w:tc>
      </w:tr>
      <w:tr w:rsidR="003734EC" w14:paraId="3693E2C3" w14:textId="77777777">
        <w:trPr>
          <w:jc w:val="center"/>
        </w:trPr>
        <w:tc>
          <w:tcPr>
            <w:tcW w:w="0" w:type="auto"/>
            <w:gridSpan w:val="3"/>
            <w:shd w:val="clear" w:color="auto" w:fill="E2EFD9"/>
            <w:tcMar>
              <w:top w:w="40" w:type="dxa"/>
              <w:left w:w="20" w:type="dxa"/>
              <w:bottom w:w="40" w:type="dxa"/>
              <w:right w:w="20" w:type="dxa"/>
            </w:tcMar>
            <w:vAlign w:val="bottom"/>
          </w:tcPr>
          <w:p w14:paraId="3693E299" w14:textId="77777777" w:rsidR="003734EC" w:rsidRDefault="000E364E">
            <w:pPr>
              <w:textAlignment w:val="bottom"/>
            </w:pPr>
            <w:r>
              <w:rPr>
                <w:rFonts w:ascii="sans-serif" w:eastAsia="sans-serif" w:hAnsi="sans-serif" w:cs="sans-serif"/>
                <w:color w:val="000000"/>
                <w:sz w:val="15"/>
                <w:szCs w:val="15"/>
              </w:rPr>
              <w:t>Tax withholding related to vesting of restricted stock units</w:t>
            </w:r>
          </w:p>
        </w:tc>
        <w:tc>
          <w:tcPr>
            <w:tcW w:w="0" w:type="auto"/>
            <w:gridSpan w:val="2"/>
            <w:shd w:val="clear" w:color="auto" w:fill="E2EFD9"/>
            <w:tcMar>
              <w:top w:w="40" w:type="dxa"/>
              <w:left w:w="20" w:type="dxa"/>
              <w:bottom w:w="40" w:type="dxa"/>
              <w:right w:w="0" w:type="dxa"/>
            </w:tcMar>
            <w:vAlign w:val="bottom"/>
          </w:tcPr>
          <w:p w14:paraId="3693E29A" w14:textId="77777777" w:rsidR="003734EC" w:rsidRDefault="000E364E">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bottom w:w="40" w:type="dxa"/>
              <w:right w:w="20" w:type="dxa"/>
            </w:tcMar>
            <w:vAlign w:val="bottom"/>
          </w:tcPr>
          <w:p w14:paraId="3693E29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9C" w14:textId="77777777" w:rsidR="003734EC" w:rsidRDefault="003734EC">
            <w:pPr>
              <w:jc w:val="right"/>
              <w:rPr>
                <w:rFonts w:ascii="宋体"/>
              </w:rPr>
            </w:pPr>
          </w:p>
        </w:tc>
        <w:tc>
          <w:tcPr>
            <w:tcW w:w="0" w:type="auto"/>
            <w:shd w:val="clear" w:color="auto" w:fill="E2EFD9"/>
            <w:tcMar>
              <w:right w:w="20" w:type="dxa"/>
            </w:tcMar>
            <w:vAlign w:val="bottom"/>
          </w:tcPr>
          <w:p w14:paraId="3693E29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9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9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A0" w14:textId="77777777" w:rsidR="003734EC" w:rsidRDefault="003734EC">
            <w:pPr>
              <w:jc w:val="right"/>
              <w:rPr>
                <w:rFonts w:ascii="宋体"/>
              </w:rPr>
            </w:pPr>
          </w:p>
        </w:tc>
        <w:tc>
          <w:tcPr>
            <w:tcW w:w="0" w:type="auto"/>
            <w:shd w:val="clear" w:color="auto" w:fill="E2EFD9"/>
            <w:tcMar>
              <w:right w:w="20" w:type="dxa"/>
            </w:tcMar>
            <w:vAlign w:val="bottom"/>
          </w:tcPr>
          <w:p w14:paraId="3693E2A1"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A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A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A4" w14:textId="77777777" w:rsidR="003734EC" w:rsidRDefault="003734EC">
            <w:pPr>
              <w:jc w:val="right"/>
              <w:rPr>
                <w:rFonts w:ascii="宋体"/>
              </w:rPr>
            </w:pPr>
          </w:p>
        </w:tc>
        <w:tc>
          <w:tcPr>
            <w:tcW w:w="0" w:type="auto"/>
            <w:shd w:val="clear" w:color="auto" w:fill="E2EFD9"/>
            <w:tcMar>
              <w:right w:w="20" w:type="dxa"/>
            </w:tcMar>
            <w:vAlign w:val="bottom"/>
          </w:tcPr>
          <w:p w14:paraId="3693E2A5"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A6" w14:textId="77777777" w:rsidR="003734EC" w:rsidRDefault="000E364E">
            <w:pPr>
              <w:jc w:val="right"/>
              <w:textAlignment w:val="bottom"/>
            </w:pPr>
            <w:r>
              <w:rPr>
                <w:rFonts w:ascii="sans-serif" w:eastAsia="sans-serif" w:hAnsi="sans-serif" w:cs="sans-serif"/>
                <w:color w:val="000000"/>
                <w:sz w:val="15"/>
                <w:szCs w:val="15"/>
              </w:rPr>
              <w:t>(211)</w:t>
            </w:r>
          </w:p>
        </w:tc>
        <w:tc>
          <w:tcPr>
            <w:tcW w:w="0" w:type="auto"/>
            <w:shd w:val="clear" w:color="auto" w:fill="E2EFD9"/>
            <w:tcMar>
              <w:top w:w="40" w:type="dxa"/>
              <w:bottom w:w="40" w:type="dxa"/>
              <w:right w:w="20" w:type="dxa"/>
            </w:tcMar>
            <w:vAlign w:val="bottom"/>
          </w:tcPr>
          <w:p w14:paraId="3693E2A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A8" w14:textId="77777777" w:rsidR="003734EC" w:rsidRDefault="003734EC">
            <w:pPr>
              <w:jc w:val="right"/>
              <w:rPr>
                <w:rFonts w:ascii="宋体"/>
              </w:rPr>
            </w:pPr>
          </w:p>
        </w:tc>
        <w:tc>
          <w:tcPr>
            <w:tcW w:w="0" w:type="auto"/>
            <w:shd w:val="clear" w:color="auto" w:fill="E2EFD9"/>
            <w:tcMar>
              <w:right w:w="20" w:type="dxa"/>
            </w:tcMar>
            <w:vAlign w:val="bottom"/>
          </w:tcPr>
          <w:p w14:paraId="3693E2A9"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A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A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AC" w14:textId="77777777" w:rsidR="003734EC" w:rsidRDefault="003734EC">
            <w:pPr>
              <w:jc w:val="right"/>
              <w:rPr>
                <w:rFonts w:ascii="宋体"/>
              </w:rPr>
            </w:pPr>
          </w:p>
        </w:tc>
        <w:tc>
          <w:tcPr>
            <w:tcW w:w="0" w:type="auto"/>
            <w:shd w:val="clear" w:color="auto" w:fill="E2EFD9"/>
            <w:tcMar>
              <w:right w:w="20" w:type="dxa"/>
            </w:tcMar>
            <w:vAlign w:val="bottom"/>
          </w:tcPr>
          <w:p w14:paraId="3693E2A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A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2A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2B0" w14:textId="77777777" w:rsidR="003734EC" w:rsidRDefault="003734EC">
            <w:pPr>
              <w:jc w:val="right"/>
              <w:rPr>
                <w:rFonts w:ascii="宋体"/>
              </w:rPr>
            </w:pPr>
          </w:p>
        </w:tc>
        <w:tc>
          <w:tcPr>
            <w:tcW w:w="0" w:type="auto"/>
            <w:shd w:val="clear" w:color="auto" w:fill="E2EFD9"/>
            <w:tcMar>
              <w:right w:w="20" w:type="dxa"/>
            </w:tcMar>
            <w:vAlign w:val="bottom"/>
          </w:tcPr>
          <w:p w14:paraId="3693E2B1"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2B2" w14:textId="77777777" w:rsidR="003734EC" w:rsidRDefault="000E364E">
            <w:pPr>
              <w:jc w:val="right"/>
              <w:textAlignment w:val="bottom"/>
            </w:pPr>
            <w:r>
              <w:rPr>
                <w:rFonts w:ascii="sans-serif" w:eastAsia="sans-serif" w:hAnsi="sans-serif" w:cs="sans-serif"/>
                <w:color w:val="000000"/>
                <w:sz w:val="15"/>
                <w:szCs w:val="15"/>
              </w:rPr>
              <w:t>(211)</w:t>
            </w:r>
          </w:p>
        </w:tc>
        <w:tc>
          <w:tcPr>
            <w:tcW w:w="0" w:type="auto"/>
            <w:shd w:val="clear" w:color="auto" w:fill="E2EFD9"/>
            <w:tcMar>
              <w:top w:w="40" w:type="dxa"/>
              <w:bottom w:w="40" w:type="dxa"/>
              <w:right w:w="20" w:type="dxa"/>
            </w:tcMar>
            <w:vAlign w:val="bottom"/>
          </w:tcPr>
          <w:p w14:paraId="3693E2B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2B4" w14:textId="77777777" w:rsidR="003734EC" w:rsidRDefault="003734EC">
            <w:pPr>
              <w:rPr>
                <w:rFonts w:ascii="宋体"/>
              </w:rPr>
            </w:pPr>
          </w:p>
        </w:tc>
        <w:tc>
          <w:tcPr>
            <w:tcW w:w="0" w:type="auto"/>
            <w:shd w:val="clear" w:color="auto" w:fill="auto"/>
            <w:vAlign w:val="center"/>
          </w:tcPr>
          <w:p w14:paraId="3693E2B5" w14:textId="77777777" w:rsidR="003734EC" w:rsidRDefault="003734EC">
            <w:pPr>
              <w:rPr>
                <w:rFonts w:ascii="宋体"/>
              </w:rPr>
            </w:pPr>
          </w:p>
        </w:tc>
        <w:tc>
          <w:tcPr>
            <w:tcW w:w="0" w:type="auto"/>
            <w:shd w:val="clear" w:color="auto" w:fill="auto"/>
            <w:vAlign w:val="center"/>
          </w:tcPr>
          <w:p w14:paraId="3693E2B6" w14:textId="77777777" w:rsidR="003734EC" w:rsidRDefault="003734EC">
            <w:pPr>
              <w:rPr>
                <w:rFonts w:ascii="宋体"/>
              </w:rPr>
            </w:pPr>
          </w:p>
        </w:tc>
        <w:tc>
          <w:tcPr>
            <w:tcW w:w="0" w:type="auto"/>
            <w:shd w:val="clear" w:color="auto" w:fill="auto"/>
            <w:vAlign w:val="center"/>
          </w:tcPr>
          <w:p w14:paraId="3693E2B7" w14:textId="77777777" w:rsidR="003734EC" w:rsidRDefault="003734EC">
            <w:pPr>
              <w:rPr>
                <w:rFonts w:ascii="宋体"/>
              </w:rPr>
            </w:pPr>
          </w:p>
        </w:tc>
        <w:tc>
          <w:tcPr>
            <w:tcW w:w="0" w:type="auto"/>
            <w:shd w:val="clear" w:color="auto" w:fill="auto"/>
            <w:vAlign w:val="center"/>
          </w:tcPr>
          <w:p w14:paraId="3693E2B8" w14:textId="77777777" w:rsidR="003734EC" w:rsidRDefault="003734EC">
            <w:pPr>
              <w:rPr>
                <w:rFonts w:ascii="宋体"/>
              </w:rPr>
            </w:pPr>
          </w:p>
        </w:tc>
        <w:tc>
          <w:tcPr>
            <w:tcW w:w="0" w:type="auto"/>
            <w:shd w:val="clear" w:color="auto" w:fill="auto"/>
            <w:vAlign w:val="center"/>
          </w:tcPr>
          <w:p w14:paraId="3693E2B9" w14:textId="77777777" w:rsidR="003734EC" w:rsidRDefault="003734EC">
            <w:pPr>
              <w:rPr>
                <w:rFonts w:ascii="宋体"/>
              </w:rPr>
            </w:pPr>
          </w:p>
        </w:tc>
        <w:tc>
          <w:tcPr>
            <w:tcW w:w="0" w:type="auto"/>
            <w:shd w:val="clear" w:color="auto" w:fill="auto"/>
            <w:vAlign w:val="center"/>
          </w:tcPr>
          <w:p w14:paraId="3693E2BA" w14:textId="77777777" w:rsidR="003734EC" w:rsidRDefault="003734EC">
            <w:pPr>
              <w:rPr>
                <w:rFonts w:ascii="宋体"/>
              </w:rPr>
            </w:pPr>
          </w:p>
        </w:tc>
        <w:tc>
          <w:tcPr>
            <w:tcW w:w="0" w:type="auto"/>
            <w:shd w:val="clear" w:color="auto" w:fill="auto"/>
            <w:vAlign w:val="center"/>
          </w:tcPr>
          <w:p w14:paraId="3693E2BB" w14:textId="77777777" w:rsidR="003734EC" w:rsidRDefault="003734EC">
            <w:pPr>
              <w:rPr>
                <w:rFonts w:ascii="宋体"/>
              </w:rPr>
            </w:pPr>
          </w:p>
        </w:tc>
        <w:tc>
          <w:tcPr>
            <w:tcW w:w="0" w:type="auto"/>
            <w:shd w:val="clear" w:color="auto" w:fill="auto"/>
            <w:vAlign w:val="center"/>
          </w:tcPr>
          <w:p w14:paraId="3693E2BC" w14:textId="77777777" w:rsidR="003734EC" w:rsidRDefault="003734EC">
            <w:pPr>
              <w:rPr>
                <w:rFonts w:ascii="宋体"/>
              </w:rPr>
            </w:pPr>
          </w:p>
        </w:tc>
        <w:tc>
          <w:tcPr>
            <w:tcW w:w="0" w:type="auto"/>
            <w:shd w:val="clear" w:color="auto" w:fill="auto"/>
            <w:vAlign w:val="center"/>
          </w:tcPr>
          <w:p w14:paraId="3693E2BD" w14:textId="77777777" w:rsidR="003734EC" w:rsidRDefault="003734EC">
            <w:pPr>
              <w:rPr>
                <w:rFonts w:ascii="宋体"/>
              </w:rPr>
            </w:pPr>
          </w:p>
        </w:tc>
        <w:tc>
          <w:tcPr>
            <w:tcW w:w="0" w:type="auto"/>
            <w:shd w:val="clear" w:color="auto" w:fill="auto"/>
            <w:vAlign w:val="center"/>
          </w:tcPr>
          <w:p w14:paraId="3693E2BE" w14:textId="77777777" w:rsidR="003734EC" w:rsidRDefault="003734EC">
            <w:pPr>
              <w:rPr>
                <w:rFonts w:ascii="宋体"/>
              </w:rPr>
            </w:pPr>
          </w:p>
        </w:tc>
        <w:tc>
          <w:tcPr>
            <w:tcW w:w="0" w:type="auto"/>
            <w:shd w:val="clear" w:color="auto" w:fill="auto"/>
            <w:vAlign w:val="center"/>
          </w:tcPr>
          <w:p w14:paraId="3693E2BF" w14:textId="77777777" w:rsidR="003734EC" w:rsidRDefault="003734EC">
            <w:pPr>
              <w:rPr>
                <w:rFonts w:ascii="宋体"/>
              </w:rPr>
            </w:pPr>
          </w:p>
        </w:tc>
        <w:tc>
          <w:tcPr>
            <w:tcW w:w="0" w:type="auto"/>
            <w:shd w:val="clear" w:color="auto" w:fill="auto"/>
            <w:vAlign w:val="center"/>
          </w:tcPr>
          <w:p w14:paraId="3693E2C0" w14:textId="77777777" w:rsidR="003734EC" w:rsidRDefault="003734EC">
            <w:pPr>
              <w:rPr>
                <w:rFonts w:ascii="宋体"/>
              </w:rPr>
            </w:pPr>
          </w:p>
        </w:tc>
        <w:tc>
          <w:tcPr>
            <w:tcW w:w="0" w:type="auto"/>
            <w:shd w:val="clear" w:color="auto" w:fill="auto"/>
            <w:vAlign w:val="center"/>
          </w:tcPr>
          <w:p w14:paraId="3693E2C1" w14:textId="77777777" w:rsidR="003734EC" w:rsidRDefault="003734EC">
            <w:pPr>
              <w:rPr>
                <w:rFonts w:ascii="宋体"/>
              </w:rPr>
            </w:pPr>
          </w:p>
        </w:tc>
        <w:tc>
          <w:tcPr>
            <w:tcW w:w="0" w:type="auto"/>
            <w:shd w:val="clear" w:color="auto" w:fill="auto"/>
            <w:vAlign w:val="center"/>
          </w:tcPr>
          <w:p w14:paraId="3693E2C2" w14:textId="77777777" w:rsidR="003734EC" w:rsidRDefault="003734EC">
            <w:pPr>
              <w:rPr>
                <w:rFonts w:ascii="宋体"/>
              </w:rPr>
            </w:pPr>
          </w:p>
        </w:tc>
      </w:tr>
      <w:tr w:rsidR="003734EC" w14:paraId="3693E2E1" w14:textId="77777777">
        <w:trPr>
          <w:jc w:val="center"/>
          <w:hidden/>
        </w:trPr>
        <w:tc>
          <w:tcPr>
            <w:tcW w:w="0" w:type="auto"/>
            <w:gridSpan w:val="3"/>
            <w:shd w:val="clear" w:color="auto" w:fill="auto"/>
            <w:vAlign w:val="center"/>
          </w:tcPr>
          <w:p w14:paraId="3693E2C4" w14:textId="77777777" w:rsidR="003734EC" w:rsidRDefault="003734EC">
            <w:pPr>
              <w:rPr>
                <w:rFonts w:ascii="宋体"/>
                <w:vanish/>
              </w:rPr>
            </w:pPr>
          </w:p>
        </w:tc>
        <w:tc>
          <w:tcPr>
            <w:tcW w:w="0" w:type="auto"/>
            <w:gridSpan w:val="3"/>
            <w:shd w:val="clear" w:color="auto" w:fill="auto"/>
            <w:vAlign w:val="center"/>
          </w:tcPr>
          <w:p w14:paraId="3693E2C5" w14:textId="77777777" w:rsidR="003734EC" w:rsidRDefault="003734EC">
            <w:pPr>
              <w:rPr>
                <w:rFonts w:ascii="宋体"/>
                <w:vanish/>
              </w:rPr>
            </w:pPr>
          </w:p>
        </w:tc>
        <w:tc>
          <w:tcPr>
            <w:tcW w:w="0" w:type="auto"/>
            <w:gridSpan w:val="3"/>
            <w:shd w:val="clear" w:color="auto" w:fill="auto"/>
            <w:vAlign w:val="center"/>
          </w:tcPr>
          <w:p w14:paraId="3693E2C6" w14:textId="77777777" w:rsidR="003734EC" w:rsidRDefault="003734EC">
            <w:pPr>
              <w:rPr>
                <w:rFonts w:ascii="宋体"/>
                <w:vanish/>
              </w:rPr>
            </w:pPr>
          </w:p>
        </w:tc>
        <w:tc>
          <w:tcPr>
            <w:tcW w:w="0" w:type="auto"/>
            <w:gridSpan w:val="3"/>
            <w:shd w:val="clear" w:color="auto" w:fill="auto"/>
            <w:vAlign w:val="center"/>
          </w:tcPr>
          <w:p w14:paraId="3693E2C7" w14:textId="77777777" w:rsidR="003734EC" w:rsidRDefault="003734EC">
            <w:pPr>
              <w:rPr>
                <w:rFonts w:ascii="宋体"/>
                <w:vanish/>
              </w:rPr>
            </w:pPr>
          </w:p>
        </w:tc>
        <w:tc>
          <w:tcPr>
            <w:tcW w:w="0" w:type="auto"/>
            <w:gridSpan w:val="3"/>
            <w:shd w:val="clear" w:color="auto" w:fill="auto"/>
            <w:vAlign w:val="center"/>
          </w:tcPr>
          <w:p w14:paraId="3693E2C8" w14:textId="77777777" w:rsidR="003734EC" w:rsidRDefault="003734EC">
            <w:pPr>
              <w:rPr>
                <w:rFonts w:ascii="宋体"/>
                <w:vanish/>
              </w:rPr>
            </w:pPr>
          </w:p>
        </w:tc>
        <w:tc>
          <w:tcPr>
            <w:tcW w:w="0" w:type="auto"/>
            <w:gridSpan w:val="3"/>
            <w:shd w:val="clear" w:color="auto" w:fill="auto"/>
            <w:vAlign w:val="center"/>
          </w:tcPr>
          <w:p w14:paraId="3693E2C9" w14:textId="77777777" w:rsidR="003734EC" w:rsidRDefault="003734EC">
            <w:pPr>
              <w:rPr>
                <w:rFonts w:ascii="宋体"/>
                <w:vanish/>
              </w:rPr>
            </w:pPr>
          </w:p>
        </w:tc>
        <w:tc>
          <w:tcPr>
            <w:tcW w:w="0" w:type="auto"/>
            <w:gridSpan w:val="3"/>
            <w:shd w:val="clear" w:color="auto" w:fill="auto"/>
            <w:vAlign w:val="center"/>
          </w:tcPr>
          <w:p w14:paraId="3693E2CA" w14:textId="77777777" w:rsidR="003734EC" w:rsidRDefault="003734EC">
            <w:pPr>
              <w:rPr>
                <w:rFonts w:ascii="宋体"/>
                <w:vanish/>
              </w:rPr>
            </w:pPr>
          </w:p>
        </w:tc>
        <w:tc>
          <w:tcPr>
            <w:tcW w:w="0" w:type="auto"/>
            <w:gridSpan w:val="3"/>
            <w:shd w:val="clear" w:color="auto" w:fill="auto"/>
            <w:vAlign w:val="center"/>
          </w:tcPr>
          <w:p w14:paraId="3693E2CB" w14:textId="77777777" w:rsidR="003734EC" w:rsidRDefault="003734EC">
            <w:pPr>
              <w:rPr>
                <w:rFonts w:ascii="宋体"/>
                <w:vanish/>
              </w:rPr>
            </w:pPr>
          </w:p>
        </w:tc>
        <w:tc>
          <w:tcPr>
            <w:tcW w:w="0" w:type="auto"/>
            <w:gridSpan w:val="3"/>
            <w:shd w:val="clear" w:color="auto" w:fill="auto"/>
            <w:vAlign w:val="center"/>
          </w:tcPr>
          <w:p w14:paraId="3693E2CC" w14:textId="77777777" w:rsidR="003734EC" w:rsidRDefault="003734EC">
            <w:pPr>
              <w:rPr>
                <w:rFonts w:ascii="宋体"/>
                <w:vanish/>
              </w:rPr>
            </w:pPr>
          </w:p>
        </w:tc>
        <w:tc>
          <w:tcPr>
            <w:tcW w:w="0" w:type="auto"/>
            <w:gridSpan w:val="3"/>
            <w:shd w:val="clear" w:color="auto" w:fill="auto"/>
            <w:vAlign w:val="center"/>
          </w:tcPr>
          <w:p w14:paraId="3693E2CD" w14:textId="77777777" w:rsidR="003734EC" w:rsidRDefault="003734EC">
            <w:pPr>
              <w:rPr>
                <w:rFonts w:ascii="宋体"/>
                <w:vanish/>
              </w:rPr>
            </w:pPr>
          </w:p>
        </w:tc>
        <w:tc>
          <w:tcPr>
            <w:tcW w:w="0" w:type="auto"/>
            <w:gridSpan w:val="3"/>
            <w:shd w:val="clear" w:color="auto" w:fill="auto"/>
            <w:vAlign w:val="center"/>
          </w:tcPr>
          <w:p w14:paraId="3693E2CE" w14:textId="77777777" w:rsidR="003734EC" w:rsidRDefault="003734EC">
            <w:pPr>
              <w:rPr>
                <w:rFonts w:ascii="宋体"/>
                <w:vanish/>
              </w:rPr>
            </w:pPr>
          </w:p>
        </w:tc>
        <w:tc>
          <w:tcPr>
            <w:tcW w:w="0" w:type="auto"/>
            <w:gridSpan w:val="3"/>
            <w:shd w:val="clear" w:color="auto" w:fill="auto"/>
            <w:vAlign w:val="center"/>
          </w:tcPr>
          <w:p w14:paraId="3693E2CF" w14:textId="77777777" w:rsidR="003734EC" w:rsidRDefault="003734EC">
            <w:pPr>
              <w:rPr>
                <w:rFonts w:ascii="宋体"/>
                <w:vanish/>
              </w:rPr>
            </w:pPr>
          </w:p>
        </w:tc>
        <w:tc>
          <w:tcPr>
            <w:tcW w:w="0" w:type="auto"/>
            <w:gridSpan w:val="3"/>
            <w:shd w:val="clear" w:color="auto" w:fill="auto"/>
            <w:vAlign w:val="center"/>
          </w:tcPr>
          <w:p w14:paraId="3693E2D0" w14:textId="77777777" w:rsidR="003734EC" w:rsidRDefault="003734EC">
            <w:pPr>
              <w:rPr>
                <w:rFonts w:ascii="宋体"/>
                <w:vanish/>
              </w:rPr>
            </w:pPr>
          </w:p>
        </w:tc>
        <w:tc>
          <w:tcPr>
            <w:tcW w:w="0" w:type="auto"/>
            <w:gridSpan w:val="3"/>
            <w:shd w:val="clear" w:color="auto" w:fill="auto"/>
            <w:vAlign w:val="center"/>
          </w:tcPr>
          <w:p w14:paraId="3693E2D1" w14:textId="77777777" w:rsidR="003734EC" w:rsidRDefault="003734EC">
            <w:pPr>
              <w:rPr>
                <w:rFonts w:ascii="宋体"/>
                <w:vanish/>
              </w:rPr>
            </w:pPr>
          </w:p>
        </w:tc>
        <w:tc>
          <w:tcPr>
            <w:tcW w:w="0" w:type="auto"/>
            <w:shd w:val="clear" w:color="auto" w:fill="auto"/>
            <w:vAlign w:val="center"/>
          </w:tcPr>
          <w:p w14:paraId="3693E2D2" w14:textId="77777777" w:rsidR="003734EC" w:rsidRDefault="003734EC">
            <w:pPr>
              <w:rPr>
                <w:rFonts w:ascii="宋体"/>
              </w:rPr>
            </w:pPr>
          </w:p>
        </w:tc>
        <w:tc>
          <w:tcPr>
            <w:tcW w:w="0" w:type="auto"/>
            <w:shd w:val="clear" w:color="auto" w:fill="auto"/>
            <w:vAlign w:val="center"/>
          </w:tcPr>
          <w:p w14:paraId="3693E2D3" w14:textId="77777777" w:rsidR="003734EC" w:rsidRDefault="003734EC">
            <w:pPr>
              <w:rPr>
                <w:rFonts w:ascii="宋体"/>
              </w:rPr>
            </w:pPr>
          </w:p>
        </w:tc>
        <w:tc>
          <w:tcPr>
            <w:tcW w:w="0" w:type="auto"/>
            <w:shd w:val="clear" w:color="auto" w:fill="auto"/>
            <w:vAlign w:val="center"/>
          </w:tcPr>
          <w:p w14:paraId="3693E2D4" w14:textId="77777777" w:rsidR="003734EC" w:rsidRDefault="003734EC">
            <w:pPr>
              <w:rPr>
                <w:rFonts w:ascii="宋体"/>
              </w:rPr>
            </w:pPr>
          </w:p>
        </w:tc>
        <w:tc>
          <w:tcPr>
            <w:tcW w:w="0" w:type="auto"/>
            <w:shd w:val="clear" w:color="auto" w:fill="auto"/>
            <w:vAlign w:val="center"/>
          </w:tcPr>
          <w:p w14:paraId="3693E2D5" w14:textId="77777777" w:rsidR="003734EC" w:rsidRDefault="003734EC">
            <w:pPr>
              <w:rPr>
                <w:rFonts w:ascii="宋体"/>
              </w:rPr>
            </w:pPr>
          </w:p>
        </w:tc>
        <w:tc>
          <w:tcPr>
            <w:tcW w:w="0" w:type="auto"/>
            <w:shd w:val="clear" w:color="auto" w:fill="auto"/>
            <w:vAlign w:val="center"/>
          </w:tcPr>
          <w:p w14:paraId="3693E2D6" w14:textId="77777777" w:rsidR="003734EC" w:rsidRDefault="003734EC">
            <w:pPr>
              <w:rPr>
                <w:rFonts w:ascii="宋体"/>
              </w:rPr>
            </w:pPr>
          </w:p>
        </w:tc>
        <w:tc>
          <w:tcPr>
            <w:tcW w:w="0" w:type="auto"/>
            <w:shd w:val="clear" w:color="auto" w:fill="auto"/>
            <w:vAlign w:val="center"/>
          </w:tcPr>
          <w:p w14:paraId="3693E2D7" w14:textId="77777777" w:rsidR="003734EC" w:rsidRDefault="003734EC">
            <w:pPr>
              <w:rPr>
                <w:rFonts w:ascii="宋体"/>
              </w:rPr>
            </w:pPr>
          </w:p>
        </w:tc>
        <w:tc>
          <w:tcPr>
            <w:tcW w:w="0" w:type="auto"/>
            <w:shd w:val="clear" w:color="auto" w:fill="auto"/>
            <w:vAlign w:val="center"/>
          </w:tcPr>
          <w:p w14:paraId="3693E2D8" w14:textId="77777777" w:rsidR="003734EC" w:rsidRDefault="003734EC">
            <w:pPr>
              <w:rPr>
                <w:rFonts w:ascii="宋体"/>
              </w:rPr>
            </w:pPr>
          </w:p>
        </w:tc>
        <w:tc>
          <w:tcPr>
            <w:tcW w:w="0" w:type="auto"/>
            <w:shd w:val="clear" w:color="auto" w:fill="auto"/>
            <w:vAlign w:val="center"/>
          </w:tcPr>
          <w:p w14:paraId="3693E2D9" w14:textId="77777777" w:rsidR="003734EC" w:rsidRDefault="003734EC">
            <w:pPr>
              <w:rPr>
                <w:rFonts w:ascii="宋体"/>
              </w:rPr>
            </w:pPr>
          </w:p>
        </w:tc>
        <w:tc>
          <w:tcPr>
            <w:tcW w:w="0" w:type="auto"/>
            <w:shd w:val="clear" w:color="auto" w:fill="auto"/>
            <w:vAlign w:val="center"/>
          </w:tcPr>
          <w:p w14:paraId="3693E2DA" w14:textId="77777777" w:rsidR="003734EC" w:rsidRDefault="003734EC">
            <w:pPr>
              <w:rPr>
                <w:rFonts w:ascii="宋体"/>
              </w:rPr>
            </w:pPr>
          </w:p>
        </w:tc>
        <w:tc>
          <w:tcPr>
            <w:tcW w:w="0" w:type="auto"/>
            <w:shd w:val="clear" w:color="auto" w:fill="auto"/>
            <w:vAlign w:val="center"/>
          </w:tcPr>
          <w:p w14:paraId="3693E2DB" w14:textId="77777777" w:rsidR="003734EC" w:rsidRDefault="003734EC">
            <w:pPr>
              <w:rPr>
                <w:rFonts w:ascii="宋体"/>
              </w:rPr>
            </w:pPr>
          </w:p>
        </w:tc>
        <w:tc>
          <w:tcPr>
            <w:tcW w:w="0" w:type="auto"/>
            <w:shd w:val="clear" w:color="auto" w:fill="auto"/>
            <w:vAlign w:val="center"/>
          </w:tcPr>
          <w:p w14:paraId="3693E2DC" w14:textId="77777777" w:rsidR="003734EC" w:rsidRDefault="003734EC">
            <w:pPr>
              <w:rPr>
                <w:rFonts w:ascii="宋体"/>
              </w:rPr>
            </w:pPr>
          </w:p>
        </w:tc>
        <w:tc>
          <w:tcPr>
            <w:tcW w:w="0" w:type="auto"/>
            <w:shd w:val="clear" w:color="auto" w:fill="auto"/>
            <w:vAlign w:val="center"/>
          </w:tcPr>
          <w:p w14:paraId="3693E2DD" w14:textId="77777777" w:rsidR="003734EC" w:rsidRDefault="003734EC">
            <w:pPr>
              <w:rPr>
                <w:rFonts w:ascii="宋体"/>
              </w:rPr>
            </w:pPr>
          </w:p>
        </w:tc>
        <w:tc>
          <w:tcPr>
            <w:tcW w:w="0" w:type="auto"/>
            <w:shd w:val="clear" w:color="auto" w:fill="auto"/>
            <w:vAlign w:val="center"/>
          </w:tcPr>
          <w:p w14:paraId="3693E2DE" w14:textId="77777777" w:rsidR="003734EC" w:rsidRDefault="003734EC">
            <w:pPr>
              <w:rPr>
                <w:rFonts w:ascii="宋体"/>
              </w:rPr>
            </w:pPr>
          </w:p>
        </w:tc>
        <w:tc>
          <w:tcPr>
            <w:tcW w:w="0" w:type="auto"/>
            <w:shd w:val="clear" w:color="auto" w:fill="auto"/>
            <w:vAlign w:val="center"/>
          </w:tcPr>
          <w:p w14:paraId="3693E2DF" w14:textId="77777777" w:rsidR="003734EC" w:rsidRDefault="003734EC">
            <w:pPr>
              <w:rPr>
                <w:rFonts w:ascii="宋体"/>
              </w:rPr>
            </w:pPr>
          </w:p>
        </w:tc>
        <w:tc>
          <w:tcPr>
            <w:tcW w:w="0" w:type="auto"/>
            <w:shd w:val="clear" w:color="auto" w:fill="auto"/>
            <w:vAlign w:val="center"/>
          </w:tcPr>
          <w:p w14:paraId="3693E2E0" w14:textId="77777777" w:rsidR="003734EC" w:rsidRDefault="003734EC">
            <w:pPr>
              <w:rPr>
                <w:rFonts w:ascii="宋体"/>
              </w:rPr>
            </w:pPr>
          </w:p>
        </w:tc>
      </w:tr>
      <w:tr w:rsidR="003734EC" w14:paraId="3693E30C" w14:textId="77777777">
        <w:trPr>
          <w:jc w:val="center"/>
        </w:trPr>
        <w:tc>
          <w:tcPr>
            <w:tcW w:w="0" w:type="auto"/>
            <w:gridSpan w:val="3"/>
            <w:shd w:val="clear" w:color="auto" w:fill="FFFFFF"/>
            <w:tcMar>
              <w:top w:w="40" w:type="dxa"/>
              <w:left w:w="20" w:type="dxa"/>
              <w:bottom w:w="40" w:type="dxa"/>
              <w:right w:w="20" w:type="dxa"/>
            </w:tcMar>
            <w:vAlign w:val="bottom"/>
          </w:tcPr>
          <w:p w14:paraId="3693E2E2" w14:textId="77777777" w:rsidR="003734EC" w:rsidRDefault="000E364E">
            <w:pPr>
              <w:textAlignment w:val="bottom"/>
            </w:pPr>
            <w:r>
              <w:rPr>
                <w:rFonts w:ascii="sans-serif" w:eastAsia="sans-serif" w:hAnsi="sans-serif" w:cs="sans-serif"/>
                <w:color w:val="000000"/>
                <w:sz w:val="15"/>
                <w:szCs w:val="15"/>
              </w:rPr>
              <w:t>Cash dividends declared and paid ($0.16 per common share)</w:t>
            </w:r>
          </w:p>
        </w:tc>
        <w:tc>
          <w:tcPr>
            <w:tcW w:w="0" w:type="auto"/>
            <w:gridSpan w:val="2"/>
            <w:shd w:val="clear" w:color="auto" w:fill="FFFFFF"/>
            <w:tcMar>
              <w:top w:w="40" w:type="dxa"/>
              <w:left w:w="20" w:type="dxa"/>
              <w:bottom w:w="40" w:type="dxa"/>
              <w:right w:w="0" w:type="dxa"/>
            </w:tcMar>
            <w:vAlign w:val="bottom"/>
          </w:tcPr>
          <w:p w14:paraId="3693E2E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E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E5" w14:textId="77777777" w:rsidR="003734EC" w:rsidRDefault="003734EC">
            <w:pPr>
              <w:jc w:val="right"/>
              <w:rPr>
                <w:rFonts w:ascii="宋体"/>
              </w:rPr>
            </w:pPr>
          </w:p>
        </w:tc>
        <w:tc>
          <w:tcPr>
            <w:tcW w:w="0" w:type="auto"/>
            <w:shd w:val="clear" w:color="auto" w:fill="FFFFFF"/>
            <w:tcMar>
              <w:right w:w="20" w:type="dxa"/>
            </w:tcMar>
            <w:vAlign w:val="bottom"/>
          </w:tcPr>
          <w:p w14:paraId="3693E2E6"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E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E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E9" w14:textId="77777777" w:rsidR="003734EC" w:rsidRDefault="003734EC">
            <w:pPr>
              <w:jc w:val="right"/>
              <w:rPr>
                <w:rFonts w:ascii="宋体"/>
              </w:rPr>
            </w:pPr>
          </w:p>
        </w:tc>
        <w:tc>
          <w:tcPr>
            <w:tcW w:w="0" w:type="auto"/>
            <w:shd w:val="clear" w:color="auto" w:fill="FFFFFF"/>
            <w:tcMar>
              <w:right w:w="20" w:type="dxa"/>
            </w:tcMar>
            <w:vAlign w:val="bottom"/>
          </w:tcPr>
          <w:p w14:paraId="3693E2EA"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E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E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ED" w14:textId="77777777" w:rsidR="003734EC" w:rsidRDefault="003734EC">
            <w:pPr>
              <w:jc w:val="right"/>
              <w:rPr>
                <w:rFonts w:ascii="宋体"/>
              </w:rPr>
            </w:pPr>
          </w:p>
        </w:tc>
        <w:tc>
          <w:tcPr>
            <w:tcW w:w="0" w:type="auto"/>
            <w:shd w:val="clear" w:color="auto" w:fill="FFFFFF"/>
            <w:tcMar>
              <w:right w:w="20" w:type="dxa"/>
            </w:tcMar>
            <w:vAlign w:val="bottom"/>
          </w:tcPr>
          <w:p w14:paraId="3693E2EE"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E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F0"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F1" w14:textId="77777777" w:rsidR="003734EC" w:rsidRDefault="003734EC">
            <w:pPr>
              <w:jc w:val="right"/>
              <w:rPr>
                <w:rFonts w:ascii="宋体"/>
              </w:rPr>
            </w:pPr>
          </w:p>
        </w:tc>
        <w:tc>
          <w:tcPr>
            <w:tcW w:w="0" w:type="auto"/>
            <w:shd w:val="clear" w:color="auto" w:fill="FFFFFF"/>
            <w:tcMar>
              <w:right w:w="20" w:type="dxa"/>
            </w:tcMar>
            <w:vAlign w:val="bottom"/>
          </w:tcPr>
          <w:p w14:paraId="3693E2F2"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F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3693E2F4"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F5" w14:textId="77777777" w:rsidR="003734EC" w:rsidRDefault="003734EC">
            <w:pPr>
              <w:jc w:val="right"/>
              <w:rPr>
                <w:rFonts w:ascii="宋体"/>
              </w:rPr>
            </w:pPr>
          </w:p>
        </w:tc>
        <w:tc>
          <w:tcPr>
            <w:tcW w:w="0" w:type="auto"/>
            <w:shd w:val="clear" w:color="auto" w:fill="FFFFFF"/>
            <w:tcMar>
              <w:right w:w="20" w:type="dxa"/>
            </w:tcMar>
            <w:vAlign w:val="bottom"/>
          </w:tcPr>
          <w:p w14:paraId="3693E2F6"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F7" w14:textId="77777777" w:rsidR="003734EC" w:rsidRDefault="000E364E">
            <w:pPr>
              <w:jc w:val="right"/>
              <w:textAlignment w:val="bottom"/>
            </w:pPr>
            <w:r>
              <w:rPr>
                <w:rFonts w:ascii="sans-serif" w:eastAsia="sans-serif" w:hAnsi="sans-serif" w:cs="sans-serif"/>
                <w:color w:val="000000"/>
                <w:sz w:val="15"/>
                <w:szCs w:val="15"/>
              </w:rPr>
              <w:t>(97)</w:t>
            </w:r>
          </w:p>
        </w:tc>
        <w:tc>
          <w:tcPr>
            <w:tcW w:w="0" w:type="auto"/>
            <w:shd w:val="clear" w:color="auto" w:fill="FFFFFF"/>
            <w:tcMar>
              <w:top w:w="40" w:type="dxa"/>
              <w:bottom w:w="40" w:type="dxa"/>
              <w:right w:w="20" w:type="dxa"/>
            </w:tcMar>
            <w:vAlign w:val="bottom"/>
          </w:tcPr>
          <w:p w14:paraId="3693E2F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2F9" w14:textId="77777777" w:rsidR="003734EC" w:rsidRDefault="003734EC">
            <w:pPr>
              <w:jc w:val="right"/>
              <w:rPr>
                <w:rFonts w:ascii="宋体"/>
              </w:rPr>
            </w:pPr>
          </w:p>
        </w:tc>
        <w:tc>
          <w:tcPr>
            <w:tcW w:w="0" w:type="auto"/>
            <w:shd w:val="clear" w:color="auto" w:fill="FFFFFF"/>
            <w:tcMar>
              <w:right w:w="20" w:type="dxa"/>
            </w:tcMar>
            <w:vAlign w:val="bottom"/>
          </w:tcPr>
          <w:p w14:paraId="3693E2FA"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2FB" w14:textId="77777777" w:rsidR="003734EC" w:rsidRDefault="000E364E">
            <w:pPr>
              <w:jc w:val="right"/>
              <w:textAlignment w:val="bottom"/>
            </w:pPr>
            <w:r>
              <w:rPr>
                <w:rFonts w:ascii="sans-serif" w:eastAsia="sans-serif" w:hAnsi="sans-serif" w:cs="sans-serif"/>
                <w:color w:val="000000"/>
                <w:sz w:val="15"/>
                <w:szCs w:val="15"/>
              </w:rPr>
              <w:t>(97)</w:t>
            </w:r>
          </w:p>
        </w:tc>
        <w:tc>
          <w:tcPr>
            <w:tcW w:w="0" w:type="auto"/>
            <w:shd w:val="clear" w:color="auto" w:fill="FFFFFF"/>
            <w:tcMar>
              <w:top w:w="40" w:type="dxa"/>
              <w:bottom w:w="40" w:type="dxa"/>
              <w:right w:w="20" w:type="dxa"/>
            </w:tcMar>
            <w:vAlign w:val="bottom"/>
          </w:tcPr>
          <w:p w14:paraId="3693E2F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2FD" w14:textId="77777777" w:rsidR="003734EC" w:rsidRDefault="003734EC">
            <w:pPr>
              <w:rPr>
                <w:rFonts w:ascii="宋体"/>
              </w:rPr>
            </w:pPr>
          </w:p>
        </w:tc>
        <w:tc>
          <w:tcPr>
            <w:tcW w:w="0" w:type="auto"/>
            <w:shd w:val="clear" w:color="auto" w:fill="auto"/>
            <w:vAlign w:val="center"/>
          </w:tcPr>
          <w:p w14:paraId="3693E2FE" w14:textId="77777777" w:rsidR="003734EC" w:rsidRDefault="003734EC">
            <w:pPr>
              <w:rPr>
                <w:rFonts w:ascii="宋体"/>
              </w:rPr>
            </w:pPr>
          </w:p>
        </w:tc>
        <w:tc>
          <w:tcPr>
            <w:tcW w:w="0" w:type="auto"/>
            <w:shd w:val="clear" w:color="auto" w:fill="auto"/>
            <w:vAlign w:val="center"/>
          </w:tcPr>
          <w:p w14:paraId="3693E2FF" w14:textId="77777777" w:rsidR="003734EC" w:rsidRDefault="003734EC">
            <w:pPr>
              <w:rPr>
                <w:rFonts w:ascii="宋体"/>
              </w:rPr>
            </w:pPr>
          </w:p>
        </w:tc>
        <w:tc>
          <w:tcPr>
            <w:tcW w:w="0" w:type="auto"/>
            <w:shd w:val="clear" w:color="auto" w:fill="auto"/>
            <w:vAlign w:val="center"/>
          </w:tcPr>
          <w:p w14:paraId="3693E300" w14:textId="77777777" w:rsidR="003734EC" w:rsidRDefault="003734EC">
            <w:pPr>
              <w:rPr>
                <w:rFonts w:ascii="宋体"/>
              </w:rPr>
            </w:pPr>
          </w:p>
        </w:tc>
        <w:tc>
          <w:tcPr>
            <w:tcW w:w="0" w:type="auto"/>
            <w:shd w:val="clear" w:color="auto" w:fill="auto"/>
            <w:vAlign w:val="center"/>
          </w:tcPr>
          <w:p w14:paraId="3693E301" w14:textId="77777777" w:rsidR="003734EC" w:rsidRDefault="003734EC">
            <w:pPr>
              <w:rPr>
                <w:rFonts w:ascii="宋体"/>
              </w:rPr>
            </w:pPr>
          </w:p>
        </w:tc>
        <w:tc>
          <w:tcPr>
            <w:tcW w:w="0" w:type="auto"/>
            <w:shd w:val="clear" w:color="auto" w:fill="auto"/>
            <w:vAlign w:val="center"/>
          </w:tcPr>
          <w:p w14:paraId="3693E302" w14:textId="77777777" w:rsidR="003734EC" w:rsidRDefault="003734EC">
            <w:pPr>
              <w:rPr>
                <w:rFonts w:ascii="宋体"/>
              </w:rPr>
            </w:pPr>
          </w:p>
        </w:tc>
        <w:tc>
          <w:tcPr>
            <w:tcW w:w="0" w:type="auto"/>
            <w:shd w:val="clear" w:color="auto" w:fill="auto"/>
            <w:vAlign w:val="center"/>
          </w:tcPr>
          <w:p w14:paraId="3693E303" w14:textId="77777777" w:rsidR="003734EC" w:rsidRDefault="003734EC">
            <w:pPr>
              <w:rPr>
                <w:rFonts w:ascii="宋体"/>
              </w:rPr>
            </w:pPr>
          </w:p>
        </w:tc>
        <w:tc>
          <w:tcPr>
            <w:tcW w:w="0" w:type="auto"/>
            <w:shd w:val="clear" w:color="auto" w:fill="auto"/>
            <w:vAlign w:val="center"/>
          </w:tcPr>
          <w:p w14:paraId="3693E304" w14:textId="77777777" w:rsidR="003734EC" w:rsidRDefault="003734EC">
            <w:pPr>
              <w:rPr>
                <w:rFonts w:ascii="宋体"/>
              </w:rPr>
            </w:pPr>
          </w:p>
        </w:tc>
        <w:tc>
          <w:tcPr>
            <w:tcW w:w="0" w:type="auto"/>
            <w:shd w:val="clear" w:color="auto" w:fill="auto"/>
            <w:vAlign w:val="center"/>
          </w:tcPr>
          <w:p w14:paraId="3693E305" w14:textId="77777777" w:rsidR="003734EC" w:rsidRDefault="003734EC">
            <w:pPr>
              <w:rPr>
                <w:rFonts w:ascii="宋体"/>
              </w:rPr>
            </w:pPr>
          </w:p>
        </w:tc>
        <w:tc>
          <w:tcPr>
            <w:tcW w:w="0" w:type="auto"/>
            <w:shd w:val="clear" w:color="auto" w:fill="auto"/>
            <w:vAlign w:val="center"/>
          </w:tcPr>
          <w:p w14:paraId="3693E306" w14:textId="77777777" w:rsidR="003734EC" w:rsidRDefault="003734EC">
            <w:pPr>
              <w:rPr>
                <w:rFonts w:ascii="宋体"/>
              </w:rPr>
            </w:pPr>
          </w:p>
        </w:tc>
        <w:tc>
          <w:tcPr>
            <w:tcW w:w="0" w:type="auto"/>
            <w:shd w:val="clear" w:color="auto" w:fill="auto"/>
            <w:vAlign w:val="center"/>
          </w:tcPr>
          <w:p w14:paraId="3693E307" w14:textId="77777777" w:rsidR="003734EC" w:rsidRDefault="003734EC">
            <w:pPr>
              <w:rPr>
                <w:rFonts w:ascii="宋体"/>
              </w:rPr>
            </w:pPr>
          </w:p>
        </w:tc>
        <w:tc>
          <w:tcPr>
            <w:tcW w:w="0" w:type="auto"/>
            <w:shd w:val="clear" w:color="auto" w:fill="auto"/>
            <w:vAlign w:val="center"/>
          </w:tcPr>
          <w:p w14:paraId="3693E308" w14:textId="77777777" w:rsidR="003734EC" w:rsidRDefault="003734EC">
            <w:pPr>
              <w:rPr>
                <w:rFonts w:ascii="宋体"/>
              </w:rPr>
            </w:pPr>
          </w:p>
        </w:tc>
        <w:tc>
          <w:tcPr>
            <w:tcW w:w="0" w:type="auto"/>
            <w:shd w:val="clear" w:color="auto" w:fill="auto"/>
            <w:vAlign w:val="center"/>
          </w:tcPr>
          <w:p w14:paraId="3693E309" w14:textId="77777777" w:rsidR="003734EC" w:rsidRDefault="003734EC">
            <w:pPr>
              <w:rPr>
                <w:rFonts w:ascii="宋体"/>
              </w:rPr>
            </w:pPr>
          </w:p>
        </w:tc>
        <w:tc>
          <w:tcPr>
            <w:tcW w:w="0" w:type="auto"/>
            <w:shd w:val="clear" w:color="auto" w:fill="auto"/>
            <w:vAlign w:val="center"/>
          </w:tcPr>
          <w:p w14:paraId="3693E30A" w14:textId="77777777" w:rsidR="003734EC" w:rsidRDefault="003734EC">
            <w:pPr>
              <w:rPr>
                <w:rFonts w:ascii="宋体"/>
              </w:rPr>
            </w:pPr>
          </w:p>
        </w:tc>
        <w:tc>
          <w:tcPr>
            <w:tcW w:w="0" w:type="auto"/>
            <w:shd w:val="clear" w:color="auto" w:fill="auto"/>
            <w:vAlign w:val="center"/>
          </w:tcPr>
          <w:p w14:paraId="3693E30B" w14:textId="77777777" w:rsidR="003734EC" w:rsidRDefault="003734EC">
            <w:pPr>
              <w:rPr>
                <w:rFonts w:ascii="宋体"/>
              </w:rPr>
            </w:pPr>
          </w:p>
        </w:tc>
      </w:tr>
      <w:tr w:rsidR="003734EC" w14:paraId="3693E337" w14:textId="77777777">
        <w:trPr>
          <w:jc w:val="center"/>
        </w:trPr>
        <w:tc>
          <w:tcPr>
            <w:tcW w:w="0" w:type="auto"/>
            <w:gridSpan w:val="3"/>
            <w:shd w:val="clear" w:color="auto" w:fill="E2EFD9"/>
            <w:tcMar>
              <w:top w:w="40" w:type="dxa"/>
              <w:left w:w="20" w:type="dxa"/>
              <w:bottom w:w="40" w:type="dxa"/>
              <w:right w:w="20" w:type="dxa"/>
            </w:tcMar>
            <w:vAlign w:val="bottom"/>
          </w:tcPr>
          <w:p w14:paraId="3693E30D" w14:textId="77777777" w:rsidR="003734EC" w:rsidRDefault="000E364E">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3693E30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30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10" w14:textId="77777777" w:rsidR="003734EC" w:rsidRDefault="003734EC">
            <w:pPr>
              <w:jc w:val="right"/>
              <w:rPr>
                <w:rFonts w:ascii="宋体"/>
              </w:rPr>
            </w:pPr>
          </w:p>
        </w:tc>
        <w:tc>
          <w:tcPr>
            <w:tcW w:w="0" w:type="auto"/>
            <w:shd w:val="clear" w:color="auto" w:fill="E2EFD9"/>
            <w:tcMar>
              <w:right w:w="20" w:type="dxa"/>
            </w:tcMar>
            <w:vAlign w:val="bottom"/>
          </w:tcPr>
          <w:p w14:paraId="3693E311"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1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31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14" w14:textId="77777777" w:rsidR="003734EC" w:rsidRDefault="003734EC">
            <w:pPr>
              <w:jc w:val="right"/>
              <w:rPr>
                <w:rFonts w:ascii="宋体"/>
              </w:rPr>
            </w:pPr>
          </w:p>
        </w:tc>
        <w:tc>
          <w:tcPr>
            <w:tcW w:w="0" w:type="auto"/>
            <w:shd w:val="clear" w:color="auto" w:fill="E2EFD9"/>
            <w:tcMar>
              <w:right w:w="20" w:type="dxa"/>
            </w:tcMar>
            <w:vAlign w:val="bottom"/>
          </w:tcPr>
          <w:p w14:paraId="3693E315"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16" w14:textId="77777777" w:rsidR="003734EC" w:rsidRDefault="000E364E">
            <w:pPr>
              <w:jc w:val="right"/>
              <w:textAlignment w:val="bottom"/>
            </w:pPr>
            <w:r>
              <w:rPr>
                <w:rFonts w:ascii="sans-serif" w:eastAsia="sans-serif" w:hAnsi="sans-serif" w:cs="sans-serif"/>
                <w:color w:val="000000"/>
                <w:sz w:val="15"/>
                <w:szCs w:val="15"/>
              </w:rPr>
              <w:t>183 </w:t>
            </w:r>
          </w:p>
        </w:tc>
        <w:tc>
          <w:tcPr>
            <w:tcW w:w="0" w:type="auto"/>
            <w:shd w:val="clear" w:color="auto" w:fill="E2EFD9"/>
            <w:tcMar>
              <w:top w:w="40" w:type="dxa"/>
              <w:bottom w:w="40" w:type="dxa"/>
              <w:right w:w="20" w:type="dxa"/>
            </w:tcMar>
            <w:vAlign w:val="bottom"/>
          </w:tcPr>
          <w:p w14:paraId="3693E31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18" w14:textId="77777777" w:rsidR="003734EC" w:rsidRDefault="003734EC">
            <w:pPr>
              <w:jc w:val="right"/>
              <w:rPr>
                <w:rFonts w:ascii="宋体"/>
              </w:rPr>
            </w:pPr>
          </w:p>
        </w:tc>
        <w:tc>
          <w:tcPr>
            <w:tcW w:w="0" w:type="auto"/>
            <w:shd w:val="clear" w:color="auto" w:fill="E2EFD9"/>
            <w:tcMar>
              <w:right w:w="20" w:type="dxa"/>
            </w:tcMar>
            <w:vAlign w:val="bottom"/>
          </w:tcPr>
          <w:p w14:paraId="3693E319"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1A"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31B"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1C" w14:textId="77777777" w:rsidR="003734EC" w:rsidRDefault="003734EC">
            <w:pPr>
              <w:jc w:val="right"/>
              <w:rPr>
                <w:rFonts w:ascii="宋体"/>
              </w:rPr>
            </w:pPr>
          </w:p>
        </w:tc>
        <w:tc>
          <w:tcPr>
            <w:tcW w:w="0" w:type="auto"/>
            <w:shd w:val="clear" w:color="auto" w:fill="E2EFD9"/>
            <w:tcMar>
              <w:right w:w="20" w:type="dxa"/>
            </w:tcMar>
            <w:vAlign w:val="bottom"/>
          </w:tcPr>
          <w:p w14:paraId="3693E31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1E"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31F"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20" w14:textId="77777777" w:rsidR="003734EC" w:rsidRDefault="003734EC">
            <w:pPr>
              <w:jc w:val="right"/>
              <w:rPr>
                <w:rFonts w:ascii="宋体"/>
              </w:rPr>
            </w:pPr>
          </w:p>
        </w:tc>
        <w:tc>
          <w:tcPr>
            <w:tcW w:w="0" w:type="auto"/>
            <w:shd w:val="clear" w:color="auto" w:fill="E2EFD9"/>
            <w:tcMar>
              <w:right w:w="20" w:type="dxa"/>
            </w:tcMar>
            <w:vAlign w:val="bottom"/>
          </w:tcPr>
          <w:p w14:paraId="3693E321"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2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3693E323"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E2EFD9"/>
            <w:tcMar>
              <w:left w:w="20" w:type="dxa"/>
              <w:right w:w="0" w:type="dxa"/>
            </w:tcMar>
            <w:vAlign w:val="bottom"/>
          </w:tcPr>
          <w:p w14:paraId="3693E324" w14:textId="77777777" w:rsidR="003734EC" w:rsidRDefault="003734EC">
            <w:pPr>
              <w:jc w:val="right"/>
              <w:rPr>
                <w:rFonts w:ascii="宋体"/>
              </w:rPr>
            </w:pPr>
          </w:p>
        </w:tc>
        <w:tc>
          <w:tcPr>
            <w:tcW w:w="0" w:type="auto"/>
            <w:shd w:val="clear" w:color="auto" w:fill="E2EFD9"/>
            <w:tcMar>
              <w:right w:w="20" w:type="dxa"/>
            </w:tcMar>
            <w:vAlign w:val="bottom"/>
          </w:tcPr>
          <w:p w14:paraId="3693E325"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326" w14:textId="77777777" w:rsidR="003734EC" w:rsidRDefault="000E364E">
            <w:pPr>
              <w:jc w:val="right"/>
              <w:textAlignment w:val="bottom"/>
            </w:pPr>
            <w:r>
              <w:rPr>
                <w:rFonts w:ascii="sans-serif" w:eastAsia="sans-serif" w:hAnsi="sans-serif" w:cs="sans-serif"/>
                <w:color w:val="000000"/>
                <w:sz w:val="15"/>
                <w:szCs w:val="15"/>
              </w:rPr>
              <w:t>183 </w:t>
            </w:r>
          </w:p>
        </w:tc>
        <w:tc>
          <w:tcPr>
            <w:tcW w:w="0" w:type="auto"/>
            <w:shd w:val="clear" w:color="auto" w:fill="E2EFD9"/>
            <w:tcMar>
              <w:top w:w="40" w:type="dxa"/>
              <w:bottom w:w="40" w:type="dxa"/>
              <w:right w:w="20" w:type="dxa"/>
            </w:tcMar>
            <w:vAlign w:val="bottom"/>
          </w:tcPr>
          <w:p w14:paraId="3693E32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328" w14:textId="77777777" w:rsidR="003734EC" w:rsidRDefault="003734EC">
            <w:pPr>
              <w:rPr>
                <w:rFonts w:ascii="宋体"/>
              </w:rPr>
            </w:pPr>
          </w:p>
        </w:tc>
        <w:tc>
          <w:tcPr>
            <w:tcW w:w="0" w:type="auto"/>
            <w:shd w:val="clear" w:color="auto" w:fill="auto"/>
            <w:vAlign w:val="center"/>
          </w:tcPr>
          <w:p w14:paraId="3693E329" w14:textId="77777777" w:rsidR="003734EC" w:rsidRDefault="003734EC">
            <w:pPr>
              <w:rPr>
                <w:rFonts w:ascii="宋体"/>
              </w:rPr>
            </w:pPr>
          </w:p>
        </w:tc>
        <w:tc>
          <w:tcPr>
            <w:tcW w:w="0" w:type="auto"/>
            <w:shd w:val="clear" w:color="auto" w:fill="auto"/>
            <w:vAlign w:val="center"/>
          </w:tcPr>
          <w:p w14:paraId="3693E32A" w14:textId="77777777" w:rsidR="003734EC" w:rsidRDefault="003734EC">
            <w:pPr>
              <w:rPr>
                <w:rFonts w:ascii="宋体"/>
              </w:rPr>
            </w:pPr>
          </w:p>
        </w:tc>
        <w:tc>
          <w:tcPr>
            <w:tcW w:w="0" w:type="auto"/>
            <w:shd w:val="clear" w:color="auto" w:fill="auto"/>
            <w:vAlign w:val="center"/>
          </w:tcPr>
          <w:p w14:paraId="3693E32B" w14:textId="77777777" w:rsidR="003734EC" w:rsidRDefault="003734EC">
            <w:pPr>
              <w:rPr>
                <w:rFonts w:ascii="宋体"/>
              </w:rPr>
            </w:pPr>
          </w:p>
        </w:tc>
        <w:tc>
          <w:tcPr>
            <w:tcW w:w="0" w:type="auto"/>
            <w:shd w:val="clear" w:color="auto" w:fill="auto"/>
            <w:vAlign w:val="center"/>
          </w:tcPr>
          <w:p w14:paraId="3693E32C" w14:textId="77777777" w:rsidR="003734EC" w:rsidRDefault="003734EC">
            <w:pPr>
              <w:rPr>
                <w:rFonts w:ascii="宋体"/>
              </w:rPr>
            </w:pPr>
          </w:p>
        </w:tc>
        <w:tc>
          <w:tcPr>
            <w:tcW w:w="0" w:type="auto"/>
            <w:shd w:val="clear" w:color="auto" w:fill="auto"/>
            <w:vAlign w:val="center"/>
          </w:tcPr>
          <w:p w14:paraId="3693E32D" w14:textId="77777777" w:rsidR="003734EC" w:rsidRDefault="003734EC">
            <w:pPr>
              <w:rPr>
                <w:rFonts w:ascii="宋体"/>
              </w:rPr>
            </w:pPr>
          </w:p>
        </w:tc>
        <w:tc>
          <w:tcPr>
            <w:tcW w:w="0" w:type="auto"/>
            <w:shd w:val="clear" w:color="auto" w:fill="auto"/>
            <w:vAlign w:val="center"/>
          </w:tcPr>
          <w:p w14:paraId="3693E32E" w14:textId="77777777" w:rsidR="003734EC" w:rsidRDefault="003734EC">
            <w:pPr>
              <w:rPr>
                <w:rFonts w:ascii="宋体"/>
              </w:rPr>
            </w:pPr>
          </w:p>
        </w:tc>
        <w:tc>
          <w:tcPr>
            <w:tcW w:w="0" w:type="auto"/>
            <w:shd w:val="clear" w:color="auto" w:fill="auto"/>
            <w:vAlign w:val="center"/>
          </w:tcPr>
          <w:p w14:paraId="3693E32F" w14:textId="77777777" w:rsidR="003734EC" w:rsidRDefault="003734EC">
            <w:pPr>
              <w:rPr>
                <w:rFonts w:ascii="宋体"/>
              </w:rPr>
            </w:pPr>
          </w:p>
        </w:tc>
        <w:tc>
          <w:tcPr>
            <w:tcW w:w="0" w:type="auto"/>
            <w:shd w:val="clear" w:color="auto" w:fill="auto"/>
            <w:vAlign w:val="center"/>
          </w:tcPr>
          <w:p w14:paraId="3693E330" w14:textId="77777777" w:rsidR="003734EC" w:rsidRDefault="003734EC">
            <w:pPr>
              <w:rPr>
                <w:rFonts w:ascii="宋体"/>
              </w:rPr>
            </w:pPr>
          </w:p>
        </w:tc>
        <w:tc>
          <w:tcPr>
            <w:tcW w:w="0" w:type="auto"/>
            <w:shd w:val="clear" w:color="auto" w:fill="auto"/>
            <w:vAlign w:val="center"/>
          </w:tcPr>
          <w:p w14:paraId="3693E331" w14:textId="77777777" w:rsidR="003734EC" w:rsidRDefault="003734EC">
            <w:pPr>
              <w:rPr>
                <w:rFonts w:ascii="宋体"/>
              </w:rPr>
            </w:pPr>
          </w:p>
        </w:tc>
        <w:tc>
          <w:tcPr>
            <w:tcW w:w="0" w:type="auto"/>
            <w:shd w:val="clear" w:color="auto" w:fill="auto"/>
            <w:vAlign w:val="center"/>
          </w:tcPr>
          <w:p w14:paraId="3693E332" w14:textId="77777777" w:rsidR="003734EC" w:rsidRDefault="003734EC">
            <w:pPr>
              <w:rPr>
                <w:rFonts w:ascii="宋体"/>
              </w:rPr>
            </w:pPr>
          </w:p>
        </w:tc>
        <w:tc>
          <w:tcPr>
            <w:tcW w:w="0" w:type="auto"/>
            <w:shd w:val="clear" w:color="auto" w:fill="auto"/>
            <w:vAlign w:val="center"/>
          </w:tcPr>
          <w:p w14:paraId="3693E333" w14:textId="77777777" w:rsidR="003734EC" w:rsidRDefault="003734EC">
            <w:pPr>
              <w:rPr>
                <w:rFonts w:ascii="宋体"/>
              </w:rPr>
            </w:pPr>
          </w:p>
        </w:tc>
        <w:tc>
          <w:tcPr>
            <w:tcW w:w="0" w:type="auto"/>
            <w:shd w:val="clear" w:color="auto" w:fill="auto"/>
            <w:vAlign w:val="center"/>
          </w:tcPr>
          <w:p w14:paraId="3693E334" w14:textId="77777777" w:rsidR="003734EC" w:rsidRDefault="003734EC">
            <w:pPr>
              <w:rPr>
                <w:rFonts w:ascii="宋体"/>
              </w:rPr>
            </w:pPr>
          </w:p>
        </w:tc>
        <w:tc>
          <w:tcPr>
            <w:tcW w:w="0" w:type="auto"/>
            <w:shd w:val="clear" w:color="auto" w:fill="auto"/>
            <w:vAlign w:val="center"/>
          </w:tcPr>
          <w:p w14:paraId="3693E335" w14:textId="77777777" w:rsidR="003734EC" w:rsidRDefault="003734EC">
            <w:pPr>
              <w:rPr>
                <w:rFonts w:ascii="宋体"/>
              </w:rPr>
            </w:pPr>
          </w:p>
        </w:tc>
        <w:tc>
          <w:tcPr>
            <w:tcW w:w="0" w:type="auto"/>
            <w:shd w:val="clear" w:color="auto" w:fill="auto"/>
            <w:vAlign w:val="center"/>
          </w:tcPr>
          <w:p w14:paraId="3693E336" w14:textId="77777777" w:rsidR="003734EC" w:rsidRDefault="003734EC">
            <w:pPr>
              <w:rPr>
                <w:rFonts w:ascii="宋体"/>
              </w:rPr>
            </w:pPr>
          </w:p>
        </w:tc>
      </w:tr>
      <w:tr w:rsidR="003734EC" w14:paraId="3693E355" w14:textId="77777777">
        <w:trPr>
          <w:jc w:val="center"/>
          <w:hidden/>
        </w:trPr>
        <w:tc>
          <w:tcPr>
            <w:tcW w:w="0" w:type="auto"/>
            <w:gridSpan w:val="3"/>
            <w:shd w:val="clear" w:color="auto" w:fill="auto"/>
            <w:vAlign w:val="center"/>
          </w:tcPr>
          <w:p w14:paraId="3693E338" w14:textId="77777777" w:rsidR="003734EC" w:rsidRDefault="003734EC">
            <w:pPr>
              <w:rPr>
                <w:rFonts w:ascii="宋体"/>
                <w:vanish/>
              </w:rPr>
            </w:pPr>
          </w:p>
        </w:tc>
        <w:tc>
          <w:tcPr>
            <w:tcW w:w="0" w:type="auto"/>
            <w:gridSpan w:val="3"/>
            <w:shd w:val="clear" w:color="auto" w:fill="auto"/>
            <w:vAlign w:val="center"/>
          </w:tcPr>
          <w:p w14:paraId="3693E339" w14:textId="77777777" w:rsidR="003734EC" w:rsidRDefault="003734EC">
            <w:pPr>
              <w:rPr>
                <w:rFonts w:ascii="宋体"/>
                <w:vanish/>
              </w:rPr>
            </w:pPr>
          </w:p>
        </w:tc>
        <w:tc>
          <w:tcPr>
            <w:tcW w:w="0" w:type="auto"/>
            <w:gridSpan w:val="3"/>
            <w:shd w:val="clear" w:color="auto" w:fill="auto"/>
            <w:vAlign w:val="center"/>
          </w:tcPr>
          <w:p w14:paraId="3693E33A" w14:textId="77777777" w:rsidR="003734EC" w:rsidRDefault="003734EC">
            <w:pPr>
              <w:rPr>
                <w:rFonts w:ascii="宋体"/>
                <w:vanish/>
              </w:rPr>
            </w:pPr>
          </w:p>
        </w:tc>
        <w:tc>
          <w:tcPr>
            <w:tcW w:w="0" w:type="auto"/>
            <w:gridSpan w:val="3"/>
            <w:shd w:val="clear" w:color="auto" w:fill="auto"/>
            <w:vAlign w:val="center"/>
          </w:tcPr>
          <w:p w14:paraId="3693E33B" w14:textId="77777777" w:rsidR="003734EC" w:rsidRDefault="003734EC">
            <w:pPr>
              <w:rPr>
                <w:rFonts w:ascii="宋体"/>
                <w:vanish/>
              </w:rPr>
            </w:pPr>
          </w:p>
        </w:tc>
        <w:tc>
          <w:tcPr>
            <w:tcW w:w="0" w:type="auto"/>
            <w:gridSpan w:val="3"/>
            <w:shd w:val="clear" w:color="auto" w:fill="auto"/>
            <w:vAlign w:val="center"/>
          </w:tcPr>
          <w:p w14:paraId="3693E33C" w14:textId="77777777" w:rsidR="003734EC" w:rsidRDefault="003734EC">
            <w:pPr>
              <w:rPr>
                <w:rFonts w:ascii="宋体"/>
                <w:vanish/>
              </w:rPr>
            </w:pPr>
          </w:p>
        </w:tc>
        <w:tc>
          <w:tcPr>
            <w:tcW w:w="0" w:type="auto"/>
            <w:gridSpan w:val="3"/>
            <w:shd w:val="clear" w:color="auto" w:fill="auto"/>
            <w:vAlign w:val="center"/>
          </w:tcPr>
          <w:p w14:paraId="3693E33D" w14:textId="77777777" w:rsidR="003734EC" w:rsidRDefault="003734EC">
            <w:pPr>
              <w:rPr>
                <w:rFonts w:ascii="宋体"/>
                <w:vanish/>
              </w:rPr>
            </w:pPr>
          </w:p>
        </w:tc>
        <w:tc>
          <w:tcPr>
            <w:tcW w:w="0" w:type="auto"/>
            <w:gridSpan w:val="3"/>
            <w:shd w:val="clear" w:color="auto" w:fill="auto"/>
            <w:vAlign w:val="center"/>
          </w:tcPr>
          <w:p w14:paraId="3693E33E" w14:textId="77777777" w:rsidR="003734EC" w:rsidRDefault="003734EC">
            <w:pPr>
              <w:rPr>
                <w:rFonts w:ascii="宋体"/>
                <w:vanish/>
              </w:rPr>
            </w:pPr>
          </w:p>
        </w:tc>
        <w:tc>
          <w:tcPr>
            <w:tcW w:w="0" w:type="auto"/>
            <w:gridSpan w:val="3"/>
            <w:shd w:val="clear" w:color="auto" w:fill="auto"/>
            <w:vAlign w:val="center"/>
          </w:tcPr>
          <w:p w14:paraId="3693E33F" w14:textId="77777777" w:rsidR="003734EC" w:rsidRDefault="003734EC">
            <w:pPr>
              <w:rPr>
                <w:rFonts w:ascii="宋体"/>
                <w:vanish/>
              </w:rPr>
            </w:pPr>
          </w:p>
        </w:tc>
        <w:tc>
          <w:tcPr>
            <w:tcW w:w="0" w:type="auto"/>
            <w:gridSpan w:val="3"/>
            <w:shd w:val="clear" w:color="auto" w:fill="auto"/>
            <w:vAlign w:val="center"/>
          </w:tcPr>
          <w:p w14:paraId="3693E340" w14:textId="77777777" w:rsidR="003734EC" w:rsidRDefault="003734EC">
            <w:pPr>
              <w:rPr>
                <w:rFonts w:ascii="宋体"/>
                <w:vanish/>
              </w:rPr>
            </w:pPr>
          </w:p>
        </w:tc>
        <w:tc>
          <w:tcPr>
            <w:tcW w:w="0" w:type="auto"/>
            <w:gridSpan w:val="3"/>
            <w:shd w:val="clear" w:color="auto" w:fill="auto"/>
            <w:vAlign w:val="center"/>
          </w:tcPr>
          <w:p w14:paraId="3693E341" w14:textId="77777777" w:rsidR="003734EC" w:rsidRDefault="003734EC">
            <w:pPr>
              <w:rPr>
                <w:rFonts w:ascii="宋体"/>
                <w:vanish/>
              </w:rPr>
            </w:pPr>
          </w:p>
        </w:tc>
        <w:tc>
          <w:tcPr>
            <w:tcW w:w="0" w:type="auto"/>
            <w:gridSpan w:val="3"/>
            <w:shd w:val="clear" w:color="auto" w:fill="auto"/>
            <w:vAlign w:val="center"/>
          </w:tcPr>
          <w:p w14:paraId="3693E342" w14:textId="77777777" w:rsidR="003734EC" w:rsidRDefault="003734EC">
            <w:pPr>
              <w:rPr>
                <w:rFonts w:ascii="宋体"/>
                <w:vanish/>
              </w:rPr>
            </w:pPr>
          </w:p>
        </w:tc>
        <w:tc>
          <w:tcPr>
            <w:tcW w:w="0" w:type="auto"/>
            <w:gridSpan w:val="3"/>
            <w:shd w:val="clear" w:color="auto" w:fill="auto"/>
            <w:vAlign w:val="center"/>
          </w:tcPr>
          <w:p w14:paraId="3693E343" w14:textId="77777777" w:rsidR="003734EC" w:rsidRDefault="003734EC">
            <w:pPr>
              <w:rPr>
                <w:rFonts w:ascii="宋体"/>
                <w:vanish/>
              </w:rPr>
            </w:pPr>
          </w:p>
        </w:tc>
        <w:tc>
          <w:tcPr>
            <w:tcW w:w="0" w:type="auto"/>
            <w:gridSpan w:val="3"/>
            <w:shd w:val="clear" w:color="auto" w:fill="auto"/>
            <w:vAlign w:val="center"/>
          </w:tcPr>
          <w:p w14:paraId="3693E344" w14:textId="77777777" w:rsidR="003734EC" w:rsidRDefault="003734EC">
            <w:pPr>
              <w:rPr>
                <w:rFonts w:ascii="宋体"/>
                <w:vanish/>
              </w:rPr>
            </w:pPr>
          </w:p>
        </w:tc>
        <w:tc>
          <w:tcPr>
            <w:tcW w:w="0" w:type="auto"/>
            <w:gridSpan w:val="3"/>
            <w:shd w:val="clear" w:color="auto" w:fill="auto"/>
            <w:vAlign w:val="center"/>
          </w:tcPr>
          <w:p w14:paraId="3693E345" w14:textId="77777777" w:rsidR="003734EC" w:rsidRDefault="003734EC">
            <w:pPr>
              <w:rPr>
                <w:rFonts w:ascii="宋体"/>
                <w:vanish/>
              </w:rPr>
            </w:pPr>
          </w:p>
        </w:tc>
        <w:tc>
          <w:tcPr>
            <w:tcW w:w="0" w:type="auto"/>
            <w:shd w:val="clear" w:color="auto" w:fill="auto"/>
            <w:vAlign w:val="center"/>
          </w:tcPr>
          <w:p w14:paraId="3693E346" w14:textId="77777777" w:rsidR="003734EC" w:rsidRDefault="003734EC">
            <w:pPr>
              <w:rPr>
                <w:rFonts w:ascii="宋体"/>
              </w:rPr>
            </w:pPr>
          </w:p>
        </w:tc>
        <w:tc>
          <w:tcPr>
            <w:tcW w:w="0" w:type="auto"/>
            <w:shd w:val="clear" w:color="auto" w:fill="auto"/>
            <w:vAlign w:val="center"/>
          </w:tcPr>
          <w:p w14:paraId="3693E347" w14:textId="77777777" w:rsidR="003734EC" w:rsidRDefault="003734EC">
            <w:pPr>
              <w:rPr>
                <w:rFonts w:ascii="宋体"/>
              </w:rPr>
            </w:pPr>
          </w:p>
        </w:tc>
        <w:tc>
          <w:tcPr>
            <w:tcW w:w="0" w:type="auto"/>
            <w:shd w:val="clear" w:color="auto" w:fill="auto"/>
            <w:vAlign w:val="center"/>
          </w:tcPr>
          <w:p w14:paraId="3693E348" w14:textId="77777777" w:rsidR="003734EC" w:rsidRDefault="003734EC">
            <w:pPr>
              <w:rPr>
                <w:rFonts w:ascii="宋体"/>
              </w:rPr>
            </w:pPr>
          </w:p>
        </w:tc>
        <w:tc>
          <w:tcPr>
            <w:tcW w:w="0" w:type="auto"/>
            <w:shd w:val="clear" w:color="auto" w:fill="auto"/>
            <w:vAlign w:val="center"/>
          </w:tcPr>
          <w:p w14:paraId="3693E349" w14:textId="77777777" w:rsidR="003734EC" w:rsidRDefault="003734EC">
            <w:pPr>
              <w:rPr>
                <w:rFonts w:ascii="宋体"/>
              </w:rPr>
            </w:pPr>
          </w:p>
        </w:tc>
        <w:tc>
          <w:tcPr>
            <w:tcW w:w="0" w:type="auto"/>
            <w:shd w:val="clear" w:color="auto" w:fill="auto"/>
            <w:vAlign w:val="center"/>
          </w:tcPr>
          <w:p w14:paraId="3693E34A" w14:textId="77777777" w:rsidR="003734EC" w:rsidRDefault="003734EC">
            <w:pPr>
              <w:rPr>
                <w:rFonts w:ascii="宋体"/>
              </w:rPr>
            </w:pPr>
          </w:p>
        </w:tc>
        <w:tc>
          <w:tcPr>
            <w:tcW w:w="0" w:type="auto"/>
            <w:shd w:val="clear" w:color="auto" w:fill="auto"/>
            <w:vAlign w:val="center"/>
          </w:tcPr>
          <w:p w14:paraId="3693E34B" w14:textId="77777777" w:rsidR="003734EC" w:rsidRDefault="003734EC">
            <w:pPr>
              <w:rPr>
                <w:rFonts w:ascii="宋体"/>
              </w:rPr>
            </w:pPr>
          </w:p>
        </w:tc>
        <w:tc>
          <w:tcPr>
            <w:tcW w:w="0" w:type="auto"/>
            <w:shd w:val="clear" w:color="auto" w:fill="auto"/>
            <w:vAlign w:val="center"/>
          </w:tcPr>
          <w:p w14:paraId="3693E34C" w14:textId="77777777" w:rsidR="003734EC" w:rsidRDefault="003734EC">
            <w:pPr>
              <w:rPr>
                <w:rFonts w:ascii="宋体"/>
              </w:rPr>
            </w:pPr>
          </w:p>
        </w:tc>
        <w:tc>
          <w:tcPr>
            <w:tcW w:w="0" w:type="auto"/>
            <w:shd w:val="clear" w:color="auto" w:fill="auto"/>
            <w:vAlign w:val="center"/>
          </w:tcPr>
          <w:p w14:paraId="3693E34D" w14:textId="77777777" w:rsidR="003734EC" w:rsidRDefault="003734EC">
            <w:pPr>
              <w:rPr>
                <w:rFonts w:ascii="宋体"/>
              </w:rPr>
            </w:pPr>
          </w:p>
        </w:tc>
        <w:tc>
          <w:tcPr>
            <w:tcW w:w="0" w:type="auto"/>
            <w:shd w:val="clear" w:color="auto" w:fill="auto"/>
            <w:vAlign w:val="center"/>
          </w:tcPr>
          <w:p w14:paraId="3693E34E" w14:textId="77777777" w:rsidR="003734EC" w:rsidRDefault="003734EC">
            <w:pPr>
              <w:rPr>
                <w:rFonts w:ascii="宋体"/>
              </w:rPr>
            </w:pPr>
          </w:p>
        </w:tc>
        <w:tc>
          <w:tcPr>
            <w:tcW w:w="0" w:type="auto"/>
            <w:shd w:val="clear" w:color="auto" w:fill="auto"/>
            <w:vAlign w:val="center"/>
          </w:tcPr>
          <w:p w14:paraId="3693E34F" w14:textId="77777777" w:rsidR="003734EC" w:rsidRDefault="003734EC">
            <w:pPr>
              <w:rPr>
                <w:rFonts w:ascii="宋体"/>
              </w:rPr>
            </w:pPr>
          </w:p>
        </w:tc>
        <w:tc>
          <w:tcPr>
            <w:tcW w:w="0" w:type="auto"/>
            <w:shd w:val="clear" w:color="auto" w:fill="auto"/>
            <w:vAlign w:val="center"/>
          </w:tcPr>
          <w:p w14:paraId="3693E350" w14:textId="77777777" w:rsidR="003734EC" w:rsidRDefault="003734EC">
            <w:pPr>
              <w:rPr>
                <w:rFonts w:ascii="宋体"/>
              </w:rPr>
            </w:pPr>
          </w:p>
        </w:tc>
        <w:tc>
          <w:tcPr>
            <w:tcW w:w="0" w:type="auto"/>
            <w:shd w:val="clear" w:color="auto" w:fill="auto"/>
            <w:vAlign w:val="center"/>
          </w:tcPr>
          <w:p w14:paraId="3693E351" w14:textId="77777777" w:rsidR="003734EC" w:rsidRDefault="003734EC">
            <w:pPr>
              <w:rPr>
                <w:rFonts w:ascii="宋体"/>
              </w:rPr>
            </w:pPr>
          </w:p>
        </w:tc>
        <w:tc>
          <w:tcPr>
            <w:tcW w:w="0" w:type="auto"/>
            <w:shd w:val="clear" w:color="auto" w:fill="auto"/>
            <w:vAlign w:val="center"/>
          </w:tcPr>
          <w:p w14:paraId="3693E352" w14:textId="77777777" w:rsidR="003734EC" w:rsidRDefault="003734EC">
            <w:pPr>
              <w:rPr>
                <w:rFonts w:ascii="宋体"/>
              </w:rPr>
            </w:pPr>
          </w:p>
        </w:tc>
        <w:tc>
          <w:tcPr>
            <w:tcW w:w="0" w:type="auto"/>
            <w:shd w:val="clear" w:color="auto" w:fill="auto"/>
            <w:vAlign w:val="center"/>
          </w:tcPr>
          <w:p w14:paraId="3693E353" w14:textId="77777777" w:rsidR="003734EC" w:rsidRDefault="003734EC">
            <w:pPr>
              <w:rPr>
                <w:rFonts w:ascii="宋体"/>
              </w:rPr>
            </w:pPr>
          </w:p>
        </w:tc>
        <w:tc>
          <w:tcPr>
            <w:tcW w:w="0" w:type="auto"/>
            <w:shd w:val="clear" w:color="auto" w:fill="auto"/>
            <w:vAlign w:val="center"/>
          </w:tcPr>
          <w:p w14:paraId="3693E354" w14:textId="77777777" w:rsidR="003734EC" w:rsidRDefault="003734EC">
            <w:pPr>
              <w:rPr>
                <w:rFonts w:ascii="宋体"/>
              </w:rPr>
            </w:pPr>
          </w:p>
        </w:tc>
      </w:tr>
      <w:tr w:rsidR="000E364E" w14:paraId="3693E386" w14:textId="77777777">
        <w:trPr>
          <w:jc w:val="center"/>
        </w:trPr>
        <w:tc>
          <w:tcPr>
            <w:tcW w:w="0" w:type="auto"/>
            <w:gridSpan w:val="3"/>
            <w:shd w:val="clear" w:color="auto" w:fill="FFFFFF"/>
            <w:tcMar>
              <w:top w:w="40" w:type="dxa"/>
              <w:left w:w="20" w:type="dxa"/>
              <w:bottom w:w="40" w:type="dxa"/>
              <w:right w:w="20" w:type="dxa"/>
            </w:tcMar>
            <w:vAlign w:val="bottom"/>
          </w:tcPr>
          <w:p w14:paraId="3693E356" w14:textId="77777777" w:rsidR="003734EC" w:rsidRDefault="000E364E">
            <w:pPr>
              <w:textAlignment w:val="bottom"/>
            </w:pPr>
            <w:r>
              <w:rPr>
                <w:rFonts w:ascii="sans-serif" w:eastAsia="sans-serif" w:hAnsi="sans-serif" w:cs="sans-serif"/>
                <w:color w:val="000000"/>
                <w:sz w:val="15"/>
                <w:szCs w:val="15"/>
              </w:rPr>
              <w:t>Balances, April 28,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93E357" w14:textId="77777777" w:rsidR="003734EC" w:rsidRDefault="000E364E">
            <w:pPr>
              <w:jc w:val="right"/>
              <w:textAlignment w:val="bottom"/>
            </w:pPr>
            <w:r>
              <w:rPr>
                <w:rFonts w:ascii="sans-serif" w:eastAsia="sans-serif" w:hAnsi="sans-serif" w:cs="sans-serif"/>
                <w:color w:val="000000"/>
                <w:sz w:val="15"/>
                <w:szCs w:val="15"/>
              </w:rPr>
              <w:t>609 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58"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59" w14:textId="77777777" w:rsidR="003734EC" w:rsidRDefault="003734EC">
            <w:pPr>
              <w:jc w:val="right"/>
              <w:rPr>
                <w:rFonts w:ascii="宋体"/>
              </w:rPr>
            </w:pPr>
          </w:p>
        </w:tc>
        <w:tc>
          <w:tcPr>
            <w:tcW w:w="0" w:type="auto"/>
            <w:shd w:val="clear" w:color="auto" w:fill="FFFFFF"/>
            <w:tcMar>
              <w:right w:w="20" w:type="dxa"/>
            </w:tcMar>
            <w:vAlign w:val="bottom"/>
          </w:tcPr>
          <w:p w14:paraId="3693E35A"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5B"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5C" w14:textId="77777777" w:rsidR="003734EC" w:rsidRDefault="000E364E">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5D"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5E" w14:textId="77777777" w:rsidR="003734EC" w:rsidRDefault="003734EC">
            <w:pPr>
              <w:jc w:val="right"/>
              <w:rPr>
                <w:rFonts w:ascii="宋体"/>
              </w:rPr>
            </w:pPr>
          </w:p>
        </w:tc>
        <w:tc>
          <w:tcPr>
            <w:tcW w:w="0" w:type="auto"/>
            <w:shd w:val="clear" w:color="auto" w:fill="FFFFFF"/>
            <w:tcMar>
              <w:right w:w="20" w:type="dxa"/>
            </w:tcMar>
            <w:vAlign w:val="bottom"/>
          </w:tcPr>
          <w:p w14:paraId="3693E35F"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60"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61" w14:textId="77777777" w:rsidR="003734EC" w:rsidRDefault="000E364E">
            <w:pPr>
              <w:jc w:val="right"/>
              <w:textAlignment w:val="bottom"/>
            </w:pPr>
            <w:r>
              <w:rPr>
                <w:rFonts w:ascii="sans-serif" w:eastAsia="sans-serif" w:hAnsi="sans-serif" w:cs="sans-serif"/>
                <w:color w:val="000000"/>
                <w:sz w:val="15"/>
                <w:szCs w:val="15"/>
              </w:rPr>
              <w:t>6,317 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62"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63" w14:textId="77777777" w:rsidR="003734EC" w:rsidRDefault="003734EC">
            <w:pPr>
              <w:jc w:val="right"/>
              <w:rPr>
                <w:rFonts w:ascii="宋体"/>
              </w:rPr>
            </w:pPr>
          </w:p>
        </w:tc>
        <w:tc>
          <w:tcPr>
            <w:tcW w:w="0" w:type="auto"/>
            <w:shd w:val="clear" w:color="auto" w:fill="FFFFFF"/>
            <w:tcMar>
              <w:right w:w="20" w:type="dxa"/>
            </w:tcMar>
            <w:vAlign w:val="bottom"/>
          </w:tcPr>
          <w:p w14:paraId="3693E364"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65"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66" w14:textId="77777777" w:rsidR="003734EC" w:rsidRDefault="000E364E">
            <w:pPr>
              <w:jc w:val="right"/>
              <w:textAlignment w:val="bottom"/>
            </w:pPr>
            <w:r>
              <w:rPr>
                <w:rFonts w:ascii="sans-serif" w:eastAsia="sans-serif" w:hAnsi="sans-serif" w:cs="sans-serif"/>
                <w:color w:val="000000"/>
                <w:sz w:val="15"/>
                <w:szCs w:val="15"/>
              </w:rPr>
              <w:t>(9,474)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67"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68" w14:textId="77777777" w:rsidR="003734EC" w:rsidRDefault="003734EC">
            <w:pPr>
              <w:jc w:val="right"/>
              <w:rPr>
                <w:rFonts w:ascii="宋体"/>
              </w:rPr>
            </w:pPr>
          </w:p>
        </w:tc>
        <w:tc>
          <w:tcPr>
            <w:tcW w:w="0" w:type="auto"/>
            <w:shd w:val="clear" w:color="auto" w:fill="FFFFFF"/>
            <w:tcMar>
              <w:right w:w="20" w:type="dxa"/>
            </w:tcMar>
            <w:vAlign w:val="bottom"/>
          </w:tcPr>
          <w:p w14:paraId="3693E369"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6A"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6B" w14:textId="77777777" w:rsidR="003734EC" w:rsidRDefault="000E364E">
            <w:pPr>
              <w:jc w:val="right"/>
              <w:textAlignment w:val="bottom"/>
            </w:pPr>
            <w:r>
              <w:rPr>
                <w:rFonts w:ascii="sans-serif" w:eastAsia="sans-serif" w:hAnsi="sans-serif" w:cs="sans-serif"/>
                <w:color w:val="000000"/>
                <w:sz w:val="15"/>
                <w:szCs w:val="15"/>
              </w:rPr>
              <w:t>(2)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6C"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6D" w14:textId="77777777" w:rsidR="003734EC" w:rsidRDefault="003734EC">
            <w:pPr>
              <w:jc w:val="right"/>
              <w:rPr>
                <w:rFonts w:ascii="宋体"/>
              </w:rPr>
            </w:pPr>
          </w:p>
        </w:tc>
        <w:tc>
          <w:tcPr>
            <w:tcW w:w="0" w:type="auto"/>
            <w:shd w:val="clear" w:color="auto" w:fill="FFFFFF"/>
            <w:tcMar>
              <w:right w:w="20" w:type="dxa"/>
            </w:tcMar>
            <w:vAlign w:val="bottom"/>
          </w:tcPr>
          <w:p w14:paraId="3693E36E"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6F"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70" w14:textId="77777777" w:rsidR="003734EC" w:rsidRDefault="000E364E">
            <w:pPr>
              <w:jc w:val="right"/>
              <w:textAlignment w:val="bottom"/>
            </w:pPr>
            <w:r>
              <w:rPr>
                <w:rFonts w:ascii="sans-serif" w:eastAsia="sans-serif" w:hAnsi="sans-serif" w:cs="sans-serif"/>
                <w:color w:val="000000"/>
                <w:sz w:val="15"/>
                <w:szCs w:val="15"/>
              </w:rPr>
              <w:t>12,862 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71" w14:textId="77777777" w:rsidR="003734EC" w:rsidRDefault="000E364E">
            <w:pPr>
              <w:jc w:val="right"/>
              <w:textAlignment w:val="bottom"/>
            </w:pPr>
            <w:r>
              <w:rPr>
                <w:rFonts w:ascii="sans-serif" w:eastAsia="sans-serif" w:hAnsi="sans-serif" w:cs="sans-serif"/>
                <w:color w:val="000000"/>
                <w:sz w:val="15"/>
                <w:szCs w:val="15"/>
              </w:rPr>
              <w:t> </w:t>
            </w:r>
          </w:p>
        </w:tc>
        <w:tc>
          <w:tcPr>
            <w:tcW w:w="0" w:type="auto"/>
            <w:gridSpan w:val="2"/>
            <w:shd w:val="clear" w:color="auto" w:fill="FFFFFF"/>
            <w:tcMar>
              <w:left w:w="20" w:type="dxa"/>
              <w:right w:w="0" w:type="dxa"/>
            </w:tcMar>
            <w:vAlign w:val="bottom"/>
          </w:tcPr>
          <w:p w14:paraId="3693E372" w14:textId="77777777" w:rsidR="003734EC" w:rsidRDefault="003734EC">
            <w:pPr>
              <w:jc w:val="right"/>
              <w:rPr>
                <w:rFonts w:ascii="宋体"/>
              </w:rPr>
            </w:pPr>
          </w:p>
        </w:tc>
        <w:tc>
          <w:tcPr>
            <w:tcW w:w="0" w:type="auto"/>
            <w:shd w:val="clear" w:color="auto" w:fill="FFFFFF"/>
            <w:tcMar>
              <w:right w:w="20" w:type="dxa"/>
            </w:tcMar>
            <w:vAlign w:val="bottom"/>
          </w:tcPr>
          <w:p w14:paraId="3693E373" w14:textId="77777777" w:rsidR="003734EC" w:rsidRDefault="003734EC">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374" w14:textId="77777777" w:rsidR="003734EC" w:rsidRDefault="000E364E">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375" w14:textId="77777777" w:rsidR="003734EC" w:rsidRDefault="000E364E">
            <w:pPr>
              <w:jc w:val="right"/>
              <w:textAlignment w:val="bottom"/>
            </w:pPr>
            <w:r>
              <w:rPr>
                <w:rFonts w:ascii="sans-serif" w:eastAsia="sans-serif" w:hAnsi="sans-serif" w:cs="sans-serif"/>
                <w:color w:val="000000"/>
                <w:sz w:val="15"/>
                <w:szCs w:val="15"/>
              </w:rPr>
              <w:t>9,704 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376" w14:textId="77777777" w:rsidR="003734EC" w:rsidRDefault="000E364E">
            <w:pPr>
              <w:jc w:val="right"/>
              <w:textAlignment w:val="bottom"/>
            </w:pPr>
            <w:r>
              <w:rPr>
                <w:rFonts w:ascii="sans-serif" w:eastAsia="sans-serif" w:hAnsi="sans-serif" w:cs="sans-serif"/>
                <w:color w:val="000000"/>
                <w:sz w:val="15"/>
                <w:szCs w:val="15"/>
              </w:rPr>
              <w:t> </w:t>
            </w:r>
          </w:p>
        </w:tc>
        <w:tc>
          <w:tcPr>
            <w:tcW w:w="0" w:type="auto"/>
            <w:shd w:val="clear" w:color="auto" w:fill="auto"/>
            <w:vAlign w:val="center"/>
          </w:tcPr>
          <w:p w14:paraId="3693E377" w14:textId="77777777" w:rsidR="003734EC" w:rsidRDefault="003734EC">
            <w:pPr>
              <w:rPr>
                <w:rFonts w:ascii="宋体"/>
              </w:rPr>
            </w:pPr>
          </w:p>
        </w:tc>
        <w:tc>
          <w:tcPr>
            <w:tcW w:w="0" w:type="auto"/>
            <w:shd w:val="clear" w:color="auto" w:fill="auto"/>
            <w:vAlign w:val="center"/>
          </w:tcPr>
          <w:p w14:paraId="3693E378" w14:textId="77777777" w:rsidR="003734EC" w:rsidRDefault="003734EC">
            <w:pPr>
              <w:rPr>
                <w:rFonts w:ascii="宋体"/>
              </w:rPr>
            </w:pPr>
          </w:p>
        </w:tc>
        <w:tc>
          <w:tcPr>
            <w:tcW w:w="0" w:type="auto"/>
            <w:shd w:val="clear" w:color="auto" w:fill="auto"/>
            <w:vAlign w:val="center"/>
          </w:tcPr>
          <w:p w14:paraId="3693E379" w14:textId="77777777" w:rsidR="003734EC" w:rsidRDefault="003734EC">
            <w:pPr>
              <w:rPr>
                <w:rFonts w:ascii="宋体"/>
              </w:rPr>
            </w:pPr>
          </w:p>
        </w:tc>
        <w:tc>
          <w:tcPr>
            <w:tcW w:w="0" w:type="auto"/>
            <w:shd w:val="clear" w:color="auto" w:fill="auto"/>
            <w:vAlign w:val="center"/>
          </w:tcPr>
          <w:p w14:paraId="3693E37A" w14:textId="77777777" w:rsidR="003734EC" w:rsidRDefault="003734EC">
            <w:pPr>
              <w:rPr>
                <w:rFonts w:ascii="宋体"/>
              </w:rPr>
            </w:pPr>
          </w:p>
        </w:tc>
        <w:tc>
          <w:tcPr>
            <w:tcW w:w="0" w:type="auto"/>
            <w:shd w:val="clear" w:color="auto" w:fill="auto"/>
            <w:vAlign w:val="center"/>
          </w:tcPr>
          <w:p w14:paraId="3693E37B" w14:textId="77777777" w:rsidR="003734EC" w:rsidRDefault="003734EC">
            <w:pPr>
              <w:rPr>
                <w:rFonts w:ascii="宋体"/>
              </w:rPr>
            </w:pPr>
          </w:p>
        </w:tc>
        <w:tc>
          <w:tcPr>
            <w:tcW w:w="0" w:type="auto"/>
            <w:shd w:val="clear" w:color="auto" w:fill="auto"/>
            <w:vAlign w:val="center"/>
          </w:tcPr>
          <w:p w14:paraId="3693E37C" w14:textId="77777777" w:rsidR="003734EC" w:rsidRDefault="003734EC">
            <w:pPr>
              <w:rPr>
                <w:rFonts w:ascii="宋体"/>
              </w:rPr>
            </w:pPr>
          </w:p>
        </w:tc>
        <w:tc>
          <w:tcPr>
            <w:tcW w:w="0" w:type="auto"/>
            <w:shd w:val="clear" w:color="auto" w:fill="auto"/>
            <w:vAlign w:val="center"/>
          </w:tcPr>
          <w:p w14:paraId="3693E37D" w14:textId="77777777" w:rsidR="003734EC" w:rsidRDefault="003734EC">
            <w:pPr>
              <w:rPr>
                <w:rFonts w:ascii="宋体"/>
              </w:rPr>
            </w:pPr>
          </w:p>
        </w:tc>
        <w:tc>
          <w:tcPr>
            <w:tcW w:w="0" w:type="auto"/>
            <w:shd w:val="clear" w:color="auto" w:fill="auto"/>
            <w:vAlign w:val="center"/>
          </w:tcPr>
          <w:p w14:paraId="3693E37E" w14:textId="77777777" w:rsidR="003734EC" w:rsidRDefault="003734EC">
            <w:pPr>
              <w:rPr>
                <w:rFonts w:ascii="宋体"/>
              </w:rPr>
            </w:pPr>
          </w:p>
        </w:tc>
        <w:tc>
          <w:tcPr>
            <w:tcW w:w="0" w:type="auto"/>
            <w:shd w:val="clear" w:color="auto" w:fill="auto"/>
            <w:vAlign w:val="center"/>
          </w:tcPr>
          <w:p w14:paraId="3693E37F" w14:textId="77777777" w:rsidR="003734EC" w:rsidRDefault="003734EC">
            <w:pPr>
              <w:rPr>
                <w:rFonts w:ascii="宋体"/>
              </w:rPr>
            </w:pPr>
          </w:p>
        </w:tc>
        <w:tc>
          <w:tcPr>
            <w:tcW w:w="0" w:type="auto"/>
            <w:shd w:val="clear" w:color="auto" w:fill="auto"/>
            <w:vAlign w:val="center"/>
          </w:tcPr>
          <w:p w14:paraId="3693E380" w14:textId="77777777" w:rsidR="003734EC" w:rsidRDefault="003734EC">
            <w:pPr>
              <w:rPr>
                <w:rFonts w:ascii="宋体"/>
              </w:rPr>
            </w:pPr>
          </w:p>
        </w:tc>
        <w:tc>
          <w:tcPr>
            <w:tcW w:w="0" w:type="auto"/>
            <w:shd w:val="clear" w:color="auto" w:fill="auto"/>
            <w:vAlign w:val="center"/>
          </w:tcPr>
          <w:p w14:paraId="3693E381" w14:textId="77777777" w:rsidR="003734EC" w:rsidRDefault="003734EC">
            <w:pPr>
              <w:rPr>
                <w:rFonts w:ascii="宋体"/>
              </w:rPr>
            </w:pPr>
          </w:p>
        </w:tc>
        <w:tc>
          <w:tcPr>
            <w:tcW w:w="0" w:type="auto"/>
            <w:shd w:val="clear" w:color="auto" w:fill="auto"/>
            <w:vAlign w:val="center"/>
          </w:tcPr>
          <w:p w14:paraId="3693E382" w14:textId="77777777" w:rsidR="003734EC" w:rsidRDefault="003734EC">
            <w:pPr>
              <w:rPr>
                <w:rFonts w:ascii="宋体"/>
              </w:rPr>
            </w:pPr>
          </w:p>
        </w:tc>
        <w:tc>
          <w:tcPr>
            <w:tcW w:w="0" w:type="auto"/>
            <w:shd w:val="clear" w:color="auto" w:fill="auto"/>
            <w:vAlign w:val="center"/>
          </w:tcPr>
          <w:p w14:paraId="3693E383" w14:textId="77777777" w:rsidR="003734EC" w:rsidRDefault="003734EC">
            <w:pPr>
              <w:rPr>
                <w:rFonts w:ascii="宋体"/>
              </w:rPr>
            </w:pPr>
          </w:p>
        </w:tc>
        <w:tc>
          <w:tcPr>
            <w:tcW w:w="0" w:type="auto"/>
            <w:shd w:val="clear" w:color="auto" w:fill="auto"/>
            <w:vAlign w:val="center"/>
          </w:tcPr>
          <w:p w14:paraId="3693E384" w14:textId="77777777" w:rsidR="003734EC" w:rsidRDefault="003734EC">
            <w:pPr>
              <w:rPr>
                <w:rFonts w:ascii="宋体"/>
              </w:rPr>
            </w:pPr>
          </w:p>
        </w:tc>
        <w:tc>
          <w:tcPr>
            <w:tcW w:w="0" w:type="auto"/>
            <w:shd w:val="clear" w:color="auto" w:fill="auto"/>
            <w:vAlign w:val="center"/>
          </w:tcPr>
          <w:p w14:paraId="3693E385" w14:textId="77777777" w:rsidR="003734EC" w:rsidRDefault="003734EC">
            <w:pPr>
              <w:rPr>
                <w:rFonts w:ascii="宋体"/>
              </w:rPr>
            </w:pPr>
          </w:p>
        </w:tc>
      </w:tr>
    </w:tbl>
    <w:p w14:paraId="3693E387" w14:textId="77777777" w:rsidR="003734EC" w:rsidRDefault="000E364E">
      <w:pPr>
        <w:spacing w:after="180"/>
        <w:jc w:val="center"/>
      </w:pPr>
      <w:r>
        <w:rPr>
          <w:rFonts w:ascii="sans-serif" w:eastAsia="sans-serif" w:hAnsi="sans-serif" w:cs="sans-serif"/>
          <w:color w:val="000000"/>
          <w:sz w:val="20"/>
          <w:szCs w:val="20"/>
        </w:rPr>
        <w:t>Se</w:t>
      </w:r>
      <w:r>
        <w:rPr>
          <w:rFonts w:ascii="sans-serif" w:eastAsia="sans-serif" w:hAnsi="sans-serif" w:cs="sans-serif"/>
          <w:color w:val="000000"/>
          <w:sz w:val="20"/>
          <w:szCs w:val="20"/>
        </w:rPr>
        <w:t>e accompanying Notes to Condensed Consolidated Financial Statements.</w:t>
      </w:r>
    </w:p>
    <w:p w14:paraId="3693E388" w14:textId="77777777" w:rsidR="003734EC" w:rsidRDefault="000E364E">
      <w:pPr>
        <w:spacing w:after="180"/>
        <w:jc w:val="center"/>
      </w:pPr>
      <w:r>
        <w:rPr>
          <w:rFonts w:ascii="sans-serif" w:eastAsia="sans-serif" w:hAnsi="sans-serif" w:cs="sans-serif"/>
          <w:color w:val="000000"/>
          <w:sz w:val="20"/>
          <w:szCs w:val="20"/>
        </w:rPr>
        <w:t>6</w:t>
      </w:r>
    </w:p>
    <w:p w14:paraId="3693E389" w14:textId="77777777" w:rsidR="003734EC" w:rsidRDefault="000E364E">
      <w:r>
        <w:pict w14:anchorId="3693FF50">
          <v:rect id="_x0000_i1030" style="width:415.3pt;height:1.5pt" o:hralign="center" o:hrstd="t" o:hr="t" fillcolor="#a0a0a0" stroked="f"/>
        </w:pict>
      </w:r>
    </w:p>
    <w:p w14:paraId="3693E38A" w14:textId="77777777" w:rsidR="003734EC" w:rsidRDefault="003734EC">
      <w:pPr>
        <w:spacing w:after="180"/>
        <w:jc w:val="both"/>
      </w:pPr>
    </w:p>
    <w:p w14:paraId="3693E38B" w14:textId="77777777" w:rsidR="003734EC" w:rsidRDefault="000E364E">
      <w:pPr>
        <w:jc w:val="center"/>
      </w:pPr>
      <w:r>
        <w:rPr>
          <w:rFonts w:ascii="sans-serif" w:eastAsia="sans-serif" w:hAnsi="sans-serif" w:cs="sans-serif"/>
          <w:b/>
          <w:bCs/>
          <w:color w:val="000000"/>
          <w:sz w:val="20"/>
          <w:szCs w:val="20"/>
        </w:rPr>
        <w:t>NVIDIA CORPORATION AND SUBSIDIARIES</w:t>
      </w:r>
    </w:p>
    <w:p w14:paraId="3693E38C" w14:textId="77777777" w:rsidR="003734EC" w:rsidRDefault="000E364E">
      <w:pPr>
        <w:jc w:val="center"/>
      </w:pPr>
      <w:r>
        <w:rPr>
          <w:rFonts w:ascii="sans-serif" w:eastAsia="sans-serif" w:hAnsi="sans-serif" w:cs="sans-serif"/>
          <w:b/>
          <w:bCs/>
          <w:color w:val="000000"/>
          <w:sz w:val="20"/>
          <w:szCs w:val="20"/>
        </w:rPr>
        <w:t>CONDENSED CONSOLIDATED STATEMENTS OF CASH FLOWS</w:t>
      </w:r>
    </w:p>
    <w:p w14:paraId="3693E38D" w14:textId="77777777" w:rsidR="003734EC" w:rsidRDefault="000E364E">
      <w:pPr>
        <w:jc w:val="center"/>
      </w:pPr>
      <w:r>
        <w:rPr>
          <w:rFonts w:ascii="sans-serif" w:eastAsia="sans-serif" w:hAnsi="sans-serif" w:cs="sans-serif"/>
          <w:b/>
          <w:bCs/>
          <w:color w:val="000000"/>
          <w:sz w:val="20"/>
          <w:szCs w:val="20"/>
        </w:rPr>
        <w:t>(In millions)</w:t>
      </w:r>
    </w:p>
    <w:p w14:paraId="3693E38E" w14:textId="77777777" w:rsidR="003734EC" w:rsidRDefault="000E364E">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5764"/>
        <w:gridCol w:w="77"/>
        <w:gridCol w:w="127"/>
        <w:gridCol w:w="833"/>
        <w:gridCol w:w="81"/>
        <w:gridCol w:w="36"/>
        <w:gridCol w:w="50"/>
        <w:gridCol w:w="36"/>
        <w:gridCol w:w="127"/>
        <w:gridCol w:w="849"/>
        <w:gridCol w:w="81"/>
        <w:gridCol w:w="36"/>
        <w:gridCol w:w="36"/>
        <w:gridCol w:w="36"/>
        <w:gridCol w:w="36"/>
        <w:gridCol w:w="36"/>
        <w:gridCol w:w="36"/>
      </w:tblGrid>
      <w:tr w:rsidR="003734EC" w14:paraId="3693E39B" w14:textId="77777777">
        <w:trPr>
          <w:gridAfter w:val="6"/>
          <w:jc w:val="center"/>
        </w:trPr>
        <w:tc>
          <w:tcPr>
            <w:tcW w:w="50" w:type="pct"/>
            <w:shd w:val="clear" w:color="auto" w:fill="auto"/>
            <w:vAlign w:val="center"/>
          </w:tcPr>
          <w:p w14:paraId="3693E38F" w14:textId="77777777" w:rsidR="003734EC" w:rsidRDefault="003734EC">
            <w:pPr>
              <w:rPr>
                <w:rFonts w:ascii="宋体"/>
              </w:rPr>
            </w:pPr>
          </w:p>
        </w:tc>
        <w:tc>
          <w:tcPr>
            <w:tcW w:w="3562" w:type="pct"/>
            <w:shd w:val="clear" w:color="auto" w:fill="auto"/>
            <w:vAlign w:val="center"/>
          </w:tcPr>
          <w:p w14:paraId="3693E390" w14:textId="77777777" w:rsidR="003734EC" w:rsidRDefault="003734EC">
            <w:pPr>
              <w:rPr>
                <w:rFonts w:ascii="宋体"/>
              </w:rPr>
            </w:pPr>
          </w:p>
        </w:tc>
        <w:tc>
          <w:tcPr>
            <w:tcW w:w="50" w:type="pct"/>
            <w:shd w:val="clear" w:color="auto" w:fill="auto"/>
            <w:vAlign w:val="center"/>
          </w:tcPr>
          <w:p w14:paraId="3693E391" w14:textId="77777777" w:rsidR="003734EC" w:rsidRDefault="003734EC">
            <w:pPr>
              <w:rPr>
                <w:rFonts w:ascii="宋体"/>
              </w:rPr>
            </w:pPr>
          </w:p>
        </w:tc>
        <w:tc>
          <w:tcPr>
            <w:tcW w:w="50" w:type="pct"/>
            <w:shd w:val="clear" w:color="auto" w:fill="auto"/>
            <w:vAlign w:val="center"/>
          </w:tcPr>
          <w:p w14:paraId="3693E392" w14:textId="77777777" w:rsidR="003734EC" w:rsidRDefault="003734EC">
            <w:pPr>
              <w:rPr>
                <w:rFonts w:ascii="宋体"/>
              </w:rPr>
            </w:pPr>
          </w:p>
        </w:tc>
        <w:tc>
          <w:tcPr>
            <w:tcW w:w="535" w:type="pct"/>
            <w:shd w:val="clear" w:color="auto" w:fill="auto"/>
            <w:vAlign w:val="center"/>
          </w:tcPr>
          <w:p w14:paraId="3693E393" w14:textId="77777777" w:rsidR="003734EC" w:rsidRDefault="003734EC">
            <w:pPr>
              <w:rPr>
                <w:rFonts w:ascii="宋体"/>
              </w:rPr>
            </w:pPr>
          </w:p>
        </w:tc>
        <w:tc>
          <w:tcPr>
            <w:tcW w:w="50" w:type="pct"/>
            <w:shd w:val="clear" w:color="auto" w:fill="auto"/>
            <w:vAlign w:val="center"/>
          </w:tcPr>
          <w:p w14:paraId="3693E394" w14:textId="77777777" w:rsidR="003734EC" w:rsidRDefault="003734EC">
            <w:pPr>
              <w:rPr>
                <w:rFonts w:ascii="宋体"/>
              </w:rPr>
            </w:pPr>
          </w:p>
        </w:tc>
        <w:tc>
          <w:tcPr>
            <w:tcW w:w="5" w:type="pct"/>
            <w:shd w:val="clear" w:color="auto" w:fill="auto"/>
            <w:vAlign w:val="center"/>
          </w:tcPr>
          <w:p w14:paraId="3693E395" w14:textId="77777777" w:rsidR="003734EC" w:rsidRDefault="003734EC">
            <w:pPr>
              <w:rPr>
                <w:rFonts w:ascii="宋体"/>
              </w:rPr>
            </w:pPr>
          </w:p>
        </w:tc>
        <w:tc>
          <w:tcPr>
            <w:tcW w:w="55" w:type="pct"/>
            <w:shd w:val="clear" w:color="auto" w:fill="auto"/>
            <w:vAlign w:val="center"/>
          </w:tcPr>
          <w:p w14:paraId="3693E396" w14:textId="77777777" w:rsidR="003734EC" w:rsidRDefault="003734EC">
            <w:pPr>
              <w:rPr>
                <w:rFonts w:ascii="宋体"/>
              </w:rPr>
            </w:pPr>
          </w:p>
        </w:tc>
        <w:tc>
          <w:tcPr>
            <w:tcW w:w="5" w:type="pct"/>
            <w:shd w:val="clear" w:color="auto" w:fill="auto"/>
            <w:vAlign w:val="center"/>
          </w:tcPr>
          <w:p w14:paraId="3693E397" w14:textId="77777777" w:rsidR="003734EC" w:rsidRDefault="003734EC">
            <w:pPr>
              <w:rPr>
                <w:rFonts w:ascii="宋体"/>
              </w:rPr>
            </w:pPr>
          </w:p>
        </w:tc>
        <w:tc>
          <w:tcPr>
            <w:tcW w:w="50" w:type="pct"/>
            <w:shd w:val="clear" w:color="auto" w:fill="auto"/>
            <w:vAlign w:val="center"/>
          </w:tcPr>
          <w:p w14:paraId="3693E398" w14:textId="77777777" w:rsidR="003734EC" w:rsidRDefault="003734EC">
            <w:pPr>
              <w:rPr>
                <w:rFonts w:ascii="宋体"/>
              </w:rPr>
            </w:pPr>
          </w:p>
        </w:tc>
        <w:tc>
          <w:tcPr>
            <w:tcW w:w="536" w:type="pct"/>
            <w:shd w:val="clear" w:color="auto" w:fill="auto"/>
            <w:vAlign w:val="center"/>
          </w:tcPr>
          <w:p w14:paraId="3693E399" w14:textId="77777777" w:rsidR="003734EC" w:rsidRDefault="003734EC">
            <w:pPr>
              <w:rPr>
                <w:rFonts w:ascii="宋体"/>
              </w:rPr>
            </w:pPr>
          </w:p>
        </w:tc>
        <w:tc>
          <w:tcPr>
            <w:tcW w:w="50" w:type="pct"/>
            <w:shd w:val="clear" w:color="auto" w:fill="auto"/>
            <w:vAlign w:val="center"/>
          </w:tcPr>
          <w:p w14:paraId="3693E39A" w14:textId="77777777" w:rsidR="003734EC" w:rsidRDefault="003734EC">
            <w:pPr>
              <w:rPr>
                <w:rFonts w:ascii="宋体"/>
              </w:rPr>
            </w:pPr>
          </w:p>
        </w:tc>
      </w:tr>
      <w:tr w:rsidR="003734EC" w14:paraId="3693E3A0" w14:textId="77777777">
        <w:trPr>
          <w:jc w:val="center"/>
        </w:trPr>
        <w:tc>
          <w:tcPr>
            <w:tcW w:w="0" w:type="auto"/>
            <w:gridSpan w:val="3"/>
            <w:shd w:val="clear" w:color="auto" w:fill="auto"/>
            <w:tcMar>
              <w:top w:w="40" w:type="dxa"/>
              <w:left w:w="20" w:type="dxa"/>
              <w:bottom w:w="40" w:type="dxa"/>
              <w:right w:w="20" w:type="dxa"/>
            </w:tcMar>
            <w:vAlign w:val="bottom"/>
          </w:tcPr>
          <w:p w14:paraId="3693E39C" w14:textId="77777777" w:rsidR="003734EC" w:rsidRDefault="000E364E">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3693E39D" w14:textId="77777777" w:rsidR="003734EC" w:rsidRDefault="000E364E">
            <w:pPr>
              <w:jc w:val="center"/>
              <w:textAlignment w:val="bottom"/>
            </w:pPr>
            <w:r>
              <w:rPr>
                <w:rFonts w:ascii="sans-serif" w:eastAsia="sans-serif" w:hAnsi="sans-serif" w:cs="sans-serif"/>
                <w:b/>
                <w:bCs/>
                <w:color w:val="000000"/>
                <w:sz w:val="18"/>
                <w:szCs w:val="18"/>
              </w:rPr>
              <w:t>Three Months Ended</w:t>
            </w:r>
          </w:p>
        </w:tc>
        <w:tc>
          <w:tcPr>
            <w:tcW w:w="0" w:type="auto"/>
            <w:gridSpan w:val="3"/>
            <w:shd w:val="clear" w:color="auto" w:fill="auto"/>
            <w:vAlign w:val="center"/>
          </w:tcPr>
          <w:p w14:paraId="3693E39E" w14:textId="77777777" w:rsidR="003734EC" w:rsidRDefault="003734EC">
            <w:pPr>
              <w:rPr>
                <w:rFonts w:ascii="宋体"/>
                <w:vanish/>
              </w:rPr>
            </w:pPr>
          </w:p>
        </w:tc>
        <w:tc>
          <w:tcPr>
            <w:tcW w:w="0" w:type="auto"/>
            <w:gridSpan w:val="3"/>
            <w:shd w:val="clear" w:color="auto" w:fill="auto"/>
            <w:vAlign w:val="center"/>
          </w:tcPr>
          <w:p w14:paraId="3693E39F" w14:textId="77777777" w:rsidR="003734EC" w:rsidRDefault="003734EC">
            <w:pPr>
              <w:rPr>
                <w:rFonts w:ascii="宋体"/>
                <w:vanish/>
              </w:rPr>
            </w:pPr>
          </w:p>
        </w:tc>
      </w:tr>
      <w:tr w:rsidR="003734EC" w14:paraId="3693E3AB" w14:textId="77777777">
        <w:trPr>
          <w:jc w:val="center"/>
        </w:trPr>
        <w:tc>
          <w:tcPr>
            <w:tcW w:w="0" w:type="auto"/>
            <w:gridSpan w:val="3"/>
            <w:shd w:val="clear" w:color="auto" w:fill="auto"/>
            <w:tcMar>
              <w:left w:w="20" w:type="dxa"/>
              <w:right w:w="20" w:type="dxa"/>
            </w:tcMar>
            <w:vAlign w:val="bottom"/>
          </w:tcPr>
          <w:p w14:paraId="3693E3A1"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3A2" w14:textId="77777777" w:rsidR="003734EC" w:rsidRDefault="000E364E">
            <w:pPr>
              <w:jc w:val="center"/>
              <w:textAlignment w:val="bottom"/>
            </w:pPr>
            <w:r>
              <w:rPr>
                <w:rFonts w:ascii="sans-serif" w:eastAsia="sans-serif" w:hAnsi="sans-serif" w:cs="sans-serif"/>
                <w:b/>
                <w:bCs/>
                <w:color w:val="000000"/>
                <w:sz w:val="18"/>
                <w:szCs w:val="18"/>
              </w:rPr>
              <w:t>April 26,</w:t>
            </w:r>
          </w:p>
        </w:tc>
        <w:tc>
          <w:tcPr>
            <w:tcW w:w="0" w:type="auto"/>
            <w:gridSpan w:val="3"/>
            <w:tcBorders>
              <w:top w:val="single" w:sz="8" w:space="0" w:color="000000"/>
            </w:tcBorders>
            <w:shd w:val="clear" w:color="auto" w:fill="auto"/>
            <w:tcMar>
              <w:left w:w="20" w:type="dxa"/>
              <w:right w:w="20" w:type="dxa"/>
            </w:tcMar>
            <w:vAlign w:val="bottom"/>
          </w:tcPr>
          <w:p w14:paraId="3693E3A3"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3A4" w14:textId="77777777" w:rsidR="003734EC" w:rsidRDefault="000E364E">
            <w:pPr>
              <w:jc w:val="center"/>
              <w:textAlignment w:val="bottom"/>
            </w:pPr>
            <w:r>
              <w:rPr>
                <w:rFonts w:ascii="sans-serif" w:eastAsia="sans-serif" w:hAnsi="sans-serif" w:cs="sans-serif"/>
                <w:b/>
                <w:bCs/>
                <w:color w:val="000000"/>
                <w:sz w:val="18"/>
                <w:szCs w:val="18"/>
              </w:rPr>
              <w:t>April 28,</w:t>
            </w:r>
          </w:p>
        </w:tc>
        <w:tc>
          <w:tcPr>
            <w:tcW w:w="0" w:type="auto"/>
            <w:shd w:val="clear" w:color="auto" w:fill="auto"/>
            <w:vAlign w:val="center"/>
          </w:tcPr>
          <w:p w14:paraId="3693E3A5" w14:textId="77777777" w:rsidR="003734EC" w:rsidRDefault="003734EC">
            <w:pPr>
              <w:rPr>
                <w:rFonts w:ascii="宋体"/>
              </w:rPr>
            </w:pPr>
          </w:p>
        </w:tc>
        <w:tc>
          <w:tcPr>
            <w:tcW w:w="0" w:type="auto"/>
            <w:shd w:val="clear" w:color="auto" w:fill="auto"/>
            <w:vAlign w:val="center"/>
          </w:tcPr>
          <w:p w14:paraId="3693E3A6" w14:textId="77777777" w:rsidR="003734EC" w:rsidRDefault="003734EC">
            <w:pPr>
              <w:rPr>
                <w:rFonts w:ascii="宋体"/>
              </w:rPr>
            </w:pPr>
          </w:p>
        </w:tc>
        <w:tc>
          <w:tcPr>
            <w:tcW w:w="0" w:type="auto"/>
            <w:shd w:val="clear" w:color="auto" w:fill="auto"/>
            <w:vAlign w:val="center"/>
          </w:tcPr>
          <w:p w14:paraId="3693E3A7" w14:textId="77777777" w:rsidR="003734EC" w:rsidRDefault="003734EC">
            <w:pPr>
              <w:rPr>
                <w:rFonts w:ascii="宋体"/>
              </w:rPr>
            </w:pPr>
          </w:p>
        </w:tc>
        <w:tc>
          <w:tcPr>
            <w:tcW w:w="0" w:type="auto"/>
            <w:shd w:val="clear" w:color="auto" w:fill="auto"/>
            <w:vAlign w:val="center"/>
          </w:tcPr>
          <w:p w14:paraId="3693E3A8" w14:textId="77777777" w:rsidR="003734EC" w:rsidRDefault="003734EC">
            <w:pPr>
              <w:rPr>
                <w:rFonts w:ascii="宋体"/>
              </w:rPr>
            </w:pPr>
          </w:p>
        </w:tc>
        <w:tc>
          <w:tcPr>
            <w:tcW w:w="0" w:type="auto"/>
            <w:shd w:val="clear" w:color="auto" w:fill="auto"/>
            <w:vAlign w:val="center"/>
          </w:tcPr>
          <w:p w14:paraId="3693E3A9" w14:textId="77777777" w:rsidR="003734EC" w:rsidRDefault="003734EC">
            <w:pPr>
              <w:rPr>
                <w:rFonts w:ascii="宋体"/>
              </w:rPr>
            </w:pPr>
          </w:p>
        </w:tc>
        <w:tc>
          <w:tcPr>
            <w:tcW w:w="0" w:type="auto"/>
            <w:shd w:val="clear" w:color="auto" w:fill="auto"/>
            <w:vAlign w:val="center"/>
          </w:tcPr>
          <w:p w14:paraId="3693E3AA" w14:textId="77777777" w:rsidR="003734EC" w:rsidRDefault="003734EC">
            <w:pPr>
              <w:rPr>
                <w:rFonts w:ascii="宋体"/>
              </w:rPr>
            </w:pPr>
          </w:p>
        </w:tc>
      </w:tr>
      <w:tr w:rsidR="003734EC" w14:paraId="3693E3B6" w14:textId="77777777">
        <w:trPr>
          <w:jc w:val="center"/>
        </w:trPr>
        <w:tc>
          <w:tcPr>
            <w:tcW w:w="0" w:type="auto"/>
            <w:gridSpan w:val="3"/>
            <w:shd w:val="clear" w:color="auto" w:fill="auto"/>
            <w:tcMar>
              <w:top w:w="40" w:type="dxa"/>
              <w:left w:w="20" w:type="dxa"/>
              <w:bottom w:w="40" w:type="dxa"/>
              <w:right w:w="20" w:type="dxa"/>
            </w:tcMar>
            <w:vAlign w:val="bottom"/>
          </w:tcPr>
          <w:p w14:paraId="3693E3AC"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3693E3AD" w14:textId="77777777" w:rsidR="003734EC" w:rsidRDefault="000E364E">
            <w:pPr>
              <w:jc w:val="center"/>
              <w:textAlignment w:val="bottom"/>
            </w:pPr>
            <w:r>
              <w:rPr>
                <w:rFonts w:ascii="sans-serif" w:eastAsia="sans-serif" w:hAnsi="sans-serif" w:cs="sans-serif"/>
                <w:b/>
                <w:bCs/>
                <w:color w:val="000000"/>
                <w:sz w:val="18"/>
                <w:szCs w:val="18"/>
              </w:rPr>
              <w:t>2020</w:t>
            </w:r>
          </w:p>
        </w:tc>
        <w:tc>
          <w:tcPr>
            <w:tcW w:w="0" w:type="auto"/>
            <w:gridSpan w:val="3"/>
            <w:shd w:val="clear" w:color="auto" w:fill="auto"/>
            <w:tcMar>
              <w:left w:w="20" w:type="dxa"/>
              <w:right w:w="20" w:type="dxa"/>
            </w:tcMar>
            <w:vAlign w:val="bottom"/>
          </w:tcPr>
          <w:p w14:paraId="3693E3AE"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3AF" w14:textId="77777777" w:rsidR="003734EC" w:rsidRDefault="000E364E">
            <w:pPr>
              <w:jc w:val="center"/>
              <w:textAlignment w:val="bottom"/>
            </w:pPr>
            <w:r>
              <w:rPr>
                <w:rFonts w:ascii="sans-serif" w:eastAsia="sans-serif" w:hAnsi="sans-serif" w:cs="sans-serif"/>
                <w:b/>
                <w:bCs/>
                <w:color w:val="000000"/>
                <w:sz w:val="18"/>
                <w:szCs w:val="18"/>
              </w:rPr>
              <w:t>2019</w:t>
            </w:r>
          </w:p>
        </w:tc>
        <w:tc>
          <w:tcPr>
            <w:tcW w:w="0" w:type="auto"/>
            <w:shd w:val="clear" w:color="auto" w:fill="auto"/>
            <w:vAlign w:val="center"/>
          </w:tcPr>
          <w:p w14:paraId="3693E3B0" w14:textId="77777777" w:rsidR="003734EC" w:rsidRDefault="003734EC">
            <w:pPr>
              <w:rPr>
                <w:rFonts w:ascii="宋体"/>
              </w:rPr>
            </w:pPr>
          </w:p>
        </w:tc>
        <w:tc>
          <w:tcPr>
            <w:tcW w:w="0" w:type="auto"/>
            <w:shd w:val="clear" w:color="auto" w:fill="auto"/>
            <w:vAlign w:val="center"/>
          </w:tcPr>
          <w:p w14:paraId="3693E3B1" w14:textId="77777777" w:rsidR="003734EC" w:rsidRDefault="003734EC">
            <w:pPr>
              <w:rPr>
                <w:rFonts w:ascii="宋体"/>
              </w:rPr>
            </w:pPr>
          </w:p>
        </w:tc>
        <w:tc>
          <w:tcPr>
            <w:tcW w:w="0" w:type="auto"/>
            <w:shd w:val="clear" w:color="auto" w:fill="auto"/>
            <w:vAlign w:val="center"/>
          </w:tcPr>
          <w:p w14:paraId="3693E3B2" w14:textId="77777777" w:rsidR="003734EC" w:rsidRDefault="003734EC">
            <w:pPr>
              <w:rPr>
                <w:rFonts w:ascii="宋体"/>
              </w:rPr>
            </w:pPr>
          </w:p>
        </w:tc>
        <w:tc>
          <w:tcPr>
            <w:tcW w:w="0" w:type="auto"/>
            <w:shd w:val="clear" w:color="auto" w:fill="auto"/>
            <w:vAlign w:val="center"/>
          </w:tcPr>
          <w:p w14:paraId="3693E3B3" w14:textId="77777777" w:rsidR="003734EC" w:rsidRDefault="003734EC">
            <w:pPr>
              <w:rPr>
                <w:rFonts w:ascii="宋体"/>
              </w:rPr>
            </w:pPr>
          </w:p>
        </w:tc>
        <w:tc>
          <w:tcPr>
            <w:tcW w:w="0" w:type="auto"/>
            <w:shd w:val="clear" w:color="auto" w:fill="auto"/>
            <w:vAlign w:val="center"/>
          </w:tcPr>
          <w:p w14:paraId="3693E3B4" w14:textId="77777777" w:rsidR="003734EC" w:rsidRDefault="003734EC">
            <w:pPr>
              <w:rPr>
                <w:rFonts w:ascii="宋体"/>
              </w:rPr>
            </w:pPr>
          </w:p>
        </w:tc>
        <w:tc>
          <w:tcPr>
            <w:tcW w:w="0" w:type="auto"/>
            <w:shd w:val="clear" w:color="auto" w:fill="auto"/>
            <w:vAlign w:val="center"/>
          </w:tcPr>
          <w:p w14:paraId="3693E3B5" w14:textId="77777777" w:rsidR="003734EC" w:rsidRDefault="003734EC">
            <w:pPr>
              <w:rPr>
                <w:rFonts w:ascii="宋体"/>
              </w:rPr>
            </w:pPr>
          </w:p>
        </w:tc>
      </w:tr>
      <w:tr w:rsidR="003734EC" w14:paraId="3693E3C1" w14:textId="77777777">
        <w:trPr>
          <w:jc w:val="center"/>
        </w:trPr>
        <w:tc>
          <w:tcPr>
            <w:tcW w:w="0" w:type="auto"/>
            <w:gridSpan w:val="3"/>
            <w:shd w:val="clear" w:color="auto" w:fill="E2EFD9"/>
            <w:tcMar>
              <w:top w:w="40" w:type="dxa"/>
              <w:left w:w="20" w:type="dxa"/>
              <w:bottom w:w="40" w:type="dxa"/>
              <w:right w:w="20" w:type="dxa"/>
            </w:tcMar>
            <w:vAlign w:val="bottom"/>
          </w:tcPr>
          <w:p w14:paraId="3693E3B7" w14:textId="77777777" w:rsidR="003734EC" w:rsidRDefault="000E364E">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3693E3B8"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3B9" w14:textId="77777777" w:rsidR="003734EC" w:rsidRDefault="003734EC">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3693E3BA" w14:textId="77777777" w:rsidR="003734EC" w:rsidRDefault="000E364E">
            <w:pPr>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3BB" w14:textId="77777777" w:rsidR="003734EC" w:rsidRDefault="003734EC">
            <w:pPr>
              <w:rPr>
                <w:rFonts w:ascii="宋体"/>
              </w:rPr>
            </w:pPr>
          </w:p>
        </w:tc>
        <w:tc>
          <w:tcPr>
            <w:tcW w:w="0" w:type="auto"/>
            <w:shd w:val="clear" w:color="auto" w:fill="auto"/>
            <w:vAlign w:val="center"/>
          </w:tcPr>
          <w:p w14:paraId="3693E3BC" w14:textId="77777777" w:rsidR="003734EC" w:rsidRDefault="003734EC">
            <w:pPr>
              <w:rPr>
                <w:rFonts w:ascii="宋体"/>
              </w:rPr>
            </w:pPr>
          </w:p>
        </w:tc>
        <w:tc>
          <w:tcPr>
            <w:tcW w:w="0" w:type="auto"/>
            <w:shd w:val="clear" w:color="auto" w:fill="auto"/>
            <w:vAlign w:val="center"/>
          </w:tcPr>
          <w:p w14:paraId="3693E3BD" w14:textId="77777777" w:rsidR="003734EC" w:rsidRDefault="003734EC">
            <w:pPr>
              <w:rPr>
                <w:rFonts w:ascii="宋体"/>
              </w:rPr>
            </w:pPr>
          </w:p>
        </w:tc>
        <w:tc>
          <w:tcPr>
            <w:tcW w:w="0" w:type="auto"/>
            <w:shd w:val="clear" w:color="auto" w:fill="auto"/>
            <w:vAlign w:val="center"/>
          </w:tcPr>
          <w:p w14:paraId="3693E3BE" w14:textId="77777777" w:rsidR="003734EC" w:rsidRDefault="003734EC">
            <w:pPr>
              <w:rPr>
                <w:rFonts w:ascii="宋体"/>
              </w:rPr>
            </w:pPr>
          </w:p>
        </w:tc>
        <w:tc>
          <w:tcPr>
            <w:tcW w:w="0" w:type="auto"/>
            <w:shd w:val="clear" w:color="auto" w:fill="auto"/>
            <w:vAlign w:val="center"/>
          </w:tcPr>
          <w:p w14:paraId="3693E3BF" w14:textId="77777777" w:rsidR="003734EC" w:rsidRDefault="003734EC">
            <w:pPr>
              <w:rPr>
                <w:rFonts w:ascii="宋体"/>
              </w:rPr>
            </w:pPr>
          </w:p>
        </w:tc>
        <w:tc>
          <w:tcPr>
            <w:tcW w:w="0" w:type="auto"/>
            <w:shd w:val="clear" w:color="auto" w:fill="auto"/>
            <w:vAlign w:val="center"/>
          </w:tcPr>
          <w:p w14:paraId="3693E3C0" w14:textId="77777777" w:rsidR="003734EC" w:rsidRDefault="003734EC">
            <w:pPr>
              <w:rPr>
                <w:rFonts w:ascii="宋体"/>
              </w:rPr>
            </w:pPr>
          </w:p>
        </w:tc>
      </w:tr>
      <w:tr w:rsidR="003734EC" w14:paraId="3693E3D0" w14:textId="77777777">
        <w:trPr>
          <w:jc w:val="center"/>
        </w:trPr>
        <w:tc>
          <w:tcPr>
            <w:tcW w:w="0" w:type="auto"/>
            <w:gridSpan w:val="3"/>
            <w:shd w:val="clear" w:color="auto" w:fill="FFFFFF"/>
            <w:tcMar>
              <w:top w:w="40" w:type="dxa"/>
              <w:left w:w="20" w:type="dxa"/>
              <w:bottom w:w="40" w:type="dxa"/>
              <w:right w:w="20" w:type="dxa"/>
            </w:tcMar>
            <w:vAlign w:val="bottom"/>
          </w:tcPr>
          <w:p w14:paraId="3693E3C2" w14:textId="77777777" w:rsidR="003734EC" w:rsidRDefault="000E364E">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tcMar>
            <w:vAlign w:val="bottom"/>
          </w:tcPr>
          <w:p w14:paraId="3693E3C3" w14:textId="77777777" w:rsidR="003734EC" w:rsidRDefault="000E364E">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3693E3C4" w14:textId="77777777" w:rsidR="003734EC" w:rsidRDefault="000E364E">
            <w:pPr>
              <w:jc w:val="right"/>
              <w:textAlignment w:val="bottom"/>
            </w:pPr>
            <w:r>
              <w:rPr>
                <w:rFonts w:ascii="sans-serif" w:eastAsia="sans-serif" w:hAnsi="sans-serif" w:cs="sans-serif"/>
                <w:color w:val="000000"/>
                <w:sz w:val="18"/>
                <w:szCs w:val="18"/>
              </w:rPr>
              <w:t>917 </w:t>
            </w:r>
          </w:p>
        </w:tc>
        <w:tc>
          <w:tcPr>
            <w:tcW w:w="0" w:type="auto"/>
            <w:shd w:val="clear" w:color="auto" w:fill="FFFFFF"/>
            <w:tcMar>
              <w:top w:w="40" w:type="dxa"/>
              <w:bottom w:w="40" w:type="dxa"/>
              <w:right w:w="20" w:type="dxa"/>
            </w:tcMar>
            <w:vAlign w:val="bottom"/>
          </w:tcPr>
          <w:p w14:paraId="3693E3C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3C6"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3C7" w14:textId="77777777" w:rsidR="003734EC" w:rsidRDefault="000E364E">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3693E3C8" w14:textId="77777777" w:rsidR="003734EC" w:rsidRDefault="000E364E">
            <w:pPr>
              <w:jc w:val="right"/>
              <w:textAlignment w:val="bottom"/>
            </w:pPr>
            <w:r>
              <w:rPr>
                <w:rFonts w:ascii="sans-serif" w:eastAsia="sans-serif" w:hAnsi="sans-serif" w:cs="sans-serif"/>
                <w:color w:val="000000"/>
                <w:sz w:val="18"/>
                <w:szCs w:val="18"/>
              </w:rPr>
              <w:t>394 </w:t>
            </w:r>
          </w:p>
        </w:tc>
        <w:tc>
          <w:tcPr>
            <w:tcW w:w="0" w:type="auto"/>
            <w:shd w:val="clear" w:color="auto" w:fill="FFFFFF"/>
            <w:tcMar>
              <w:top w:w="40" w:type="dxa"/>
              <w:bottom w:w="40" w:type="dxa"/>
              <w:right w:w="20" w:type="dxa"/>
            </w:tcMar>
            <w:vAlign w:val="bottom"/>
          </w:tcPr>
          <w:p w14:paraId="3693E3C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3CA" w14:textId="77777777" w:rsidR="003734EC" w:rsidRDefault="003734EC">
            <w:pPr>
              <w:rPr>
                <w:rFonts w:ascii="宋体"/>
              </w:rPr>
            </w:pPr>
          </w:p>
        </w:tc>
        <w:tc>
          <w:tcPr>
            <w:tcW w:w="0" w:type="auto"/>
            <w:shd w:val="clear" w:color="auto" w:fill="auto"/>
            <w:vAlign w:val="center"/>
          </w:tcPr>
          <w:p w14:paraId="3693E3CB" w14:textId="77777777" w:rsidR="003734EC" w:rsidRDefault="003734EC">
            <w:pPr>
              <w:rPr>
                <w:rFonts w:ascii="宋体"/>
              </w:rPr>
            </w:pPr>
          </w:p>
        </w:tc>
        <w:tc>
          <w:tcPr>
            <w:tcW w:w="0" w:type="auto"/>
            <w:shd w:val="clear" w:color="auto" w:fill="auto"/>
            <w:vAlign w:val="center"/>
          </w:tcPr>
          <w:p w14:paraId="3693E3CC" w14:textId="77777777" w:rsidR="003734EC" w:rsidRDefault="003734EC">
            <w:pPr>
              <w:rPr>
                <w:rFonts w:ascii="宋体"/>
              </w:rPr>
            </w:pPr>
          </w:p>
        </w:tc>
        <w:tc>
          <w:tcPr>
            <w:tcW w:w="0" w:type="auto"/>
            <w:shd w:val="clear" w:color="auto" w:fill="auto"/>
            <w:vAlign w:val="center"/>
          </w:tcPr>
          <w:p w14:paraId="3693E3CD" w14:textId="77777777" w:rsidR="003734EC" w:rsidRDefault="003734EC">
            <w:pPr>
              <w:rPr>
                <w:rFonts w:ascii="宋体"/>
              </w:rPr>
            </w:pPr>
          </w:p>
        </w:tc>
        <w:tc>
          <w:tcPr>
            <w:tcW w:w="0" w:type="auto"/>
            <w:shd w:val="clear" w:color="auto" w:fill="auto"/>
            <w:vAlign w:val="center"/>
          </w:tcPr>
          <w:p w14:paraId="3693E3CE" w14:textId="77777777" w:rsidR="003734EC" w:rsidRDefault="003734EC">
            <w:pPr>
              <w:rPr>
                <w:rFonts w:ascii="宋体"/>
              </w:rPr>
            </w:pPr>
          </w:p>
        </w:tc>
        <w:tc>
          <w:tcPr>
            <w:tcW w:w="0" w:type="auto"/>
            <w:shd w:val="clear" w:color="auto" w:fill="auto"/>
            <w:vAlign w:val="center"/>
          </w:tcPr>
          <w:p w14:paraId="3693E3CF" w14:textId="77777777" w:rsidR="003734EC" w:rsidRDefault="003734EC">
            <w:pPr>
              <w:rPr>
                <w:rFonts w:ascii="宋体"/>
              </w:rPr>
            </w:pPr>
          </w:p>
        </w:tc>
      </w:tr>
      <w:tr w:rsidR="003734EC" w14:paraId="3693E3DC" w14:textId="77777777">
        <w:trPr>
          <w:jc w:val="center"/>
        </w:trPr>
        <w:tc>
          <w:tcPr>
            <w:tcW w:w="0" w:type="auto"/>
            <w:gridSpan w:val="2"/>
            <w:shd w:val="clear" w:color="auto" w:fill="E2EFD9"/>
            <w:tcMar>
              <w:top w:w="40" w:type="dxa"/>
              <w:left w:w="20" w:type="dxa"/>
              <w:bottom w:w="40" w:type="dxa"/>
              <w:right w:w="0" w:type="dxa"/>
            </w:tcMar>
            <w:vAlign w:val="bottom"/>
          </w:tcPr>
          <w:p w14:paraId="3693E3D1" w14:textId="77777777" w:rsidR="003734EC" w:rsidRDefault="000E364E">
            <w:pPr>
              <w:textAlignment w:val="bottom"/>
            </w:pPr>
            <w:r>
              <w:rPr>
                <w:rFonts w:ascii="sans-serif" w:eastAsia="sans-serif" w:hAnsi="sans-serif" w:cs="sans-serif"/>
                <w:color w:val="000000"/>
                <w:sz w:val="18"/>
                <w:szCs w:val="18"/>
              </w:rPr>
              <w:t>Adjustments to reconcile net income to net cash provided by operating activities: </w:t>
            </w:r>
          </w:p>
        </w:tc>
        <w:tc>
          <w:tcPr>
            <w:tcW w:w="0" w:type="auto"/>
            <w:shd w:val="clear" w:color="auto" w:fill="E2EFD9"/>
            <w:tcMar>
              <w:top w:w="40" w:type="dxa"/>
              <w:bottom w:w="40" w:type="dxa"/>
              <w:right w:w="20" w:type="dxa"/>
            </w:tcMar>
            <w:vAlign w:val="bottom"/>
          </w:tcPr>
          <w:p w14:paraId="3693E3D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3D3"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3D4"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3D5" w14:textId="77777777" w:rsidR="003734EC" w:rsidRDefault="003734EC">
            <w:pPr>
              <w:rPr>
                <w:rFonts w:ascii="宋体"/>
              </w:rPr>
            </w:pPr>
          </w:p>
        </w:tc>
        <w:tc>
          <w:tcPr>
            <w:tcW w:w="0" w:type="auto"/>
            <w:shd w:val="clear" w:color="auto" w:fill="auto"/>
            <w:vAlign w:val="center"/>
          </w:tcPr>
          <w:p w14:paraId="3693E3D6" w14:textId="77777777" w:rsidR="003734EC" w:rsidRDefault="003734EC">
            <w:pPr>
              <w:rPr>
                <w:rFonts w:ascii="宋体"/>
              </w:rPr>
            </w:pPr>
          </w:p>
        </w:tc>
        <w:tc>
          <w:tcPr>
            <w:tcW w:w="0" w:type="auto"/>
            <w:shd w:val="clear" w:color="auto" w:fill="auto"/>
            <w:vAlign w:val="center"/>
          </w:tcPr>
          <w:p w14:paraId="3693E3D7" w14:textId="77777777" w:rsidR="003734EC" w:rsidRDefault="003734EC">
            <w:pPr>
              <w:rPr>
                <w:rFonts w:ascii="宋体"/>
              </w:rPr>
            </w:pPr>
          </w:p>
        </w:tc>
        <w:tc>
          <w:tcPr>
            <w:tcW w:w="0" w:type="auto"/>
            <w:shd w:val="clear" w:color="auto" w:fill="auto"/>
            <w:vAlign w:val="center"/>
          </w:tcPr>
          <w:p w14:paraId="3693E3D8" w14:textId="77777777" w:rsidR="003734EC" w:rsidRDefault="003734EC">
            <w:pPr>
              <w:rPr>
                <w:rFonts w:ascii="宋体"/>
              </w:rPr>
            </w:pPr>
          </w:p>
        </w:tc>
        <w:tc>
          <w:tcPr>
            <w:tcW w:w="0" w:type="auto"/>
            <w:shd w:val="clear" w:color="auto" w:fill="auto"/>
            <w:vAlign w:val="center"/>
          </w:tcPr>
          <w:p w14:paraId="3693E3D9" w14:textId="77777777" w:rsidR="003734EC" w:rsidRDefault="003734EC">
            <w:pPr>
              <w:rPr>
                <w:rFonts w:ascii="宋体"/>
              </w:rPr>
            </w:pPr>
          </w:p>
        </w:tc>
        <w:tc>
          <w:tcPr>
            <w:tcW w:w="0" w:type="auto"/>
            <w:shd w:val="clear" w:color="auto" w:fill="auto"/>
            <w:vAlign w:val="center"/>
          </w:tcPr>
          <w:p w14:paraId="3693E3DA" w14:textId="77777777" w:rsidR="003734EC" w:rsidRDefault="003734EC">
            <w:pPr>
              <w:rPr>
                <w:rFonts w:ascii="宋体"/>
              </w:rPr>
            </w:pPr>
          </w:p>
        </w:tc>
        <w:tc>
          <w:tcPr>
            <w:tcW w:w="0" w:type="auto"/>
            <w:shd w:val="clear" w:color="auto" w:fill="auto"/>
            <w:vAlign w:val="center"/>
          </w:tcPr>
          <w:p w14:paraId="3693E3DB" w14:textId="77777777" w:rsidR="003734EC" w:rsidRDefault="003734EC">
            <w:pPr>
              <w:rPr>
                <w:rFonts w:ascii="宋体"/>
              </w:rPr>
            </w:pPr>
          </w:p>
        </w:tc>
      </w:tr>
      <w:tr w:rsidR="003734EC" w14:paraId="3693E3E9" w14:textId="77777777">
        <w:trPr>
          <w:jc w:val="center"/>
        </w:trPr>
        <w:tc>
          <w:tcPr>
            <w:tcW w:w="0" w:type="auto"/>
            <w:gridSpan w:val="3"/>
            <w:shd w:val="clear" w:color="auto" w:fill="FFFFFF"/>
            <w:tcMar>
              <w:top w:w="40" w:type="dxa"/>
              <w:left w:w="135" w:type="dxa"/>
              <w:bottom w:w="40" w:type="dxa"/>
              <w:right w:w="20" w:type="dxa"/>
            </w:tcMar>
            <w:vAlign w:val="bottom"/>
          </w:tcPr>
          <w:p w14:paraId="3693E3DD" w14:textId="77777777" w:rsidR="003734EC" w:rsidRDefault="000E364E">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3693E3DE" w14:textId="77777777" w:rsidR="003734EC" w:rsidRDefault="000E364E">
            <w:pPr>
              <w:jc w:val="right"/>
              <w:textAlignment w:val="bottom"/>
            </w:pPr>
            <w:r>
              <w:rPr>
                <w:rFonts w:ascii="sans-serif" w:eastAsia="sans-serif" w:hAnsi="sans-serif" w:cs="sans-serif"/>
                <w:color w:val="000000"/>
                <w:sz w:val="18"/>
                <w:szCs w:val="18"/>
              </w:rPr>
              <w:t>224 </w:t>
            </w:r>
          </w:p>
        </w:tc>
        <w:tc>
          <w:tcPr>
            <w:tcW w:w="0" w:type="auto"/>
            <w:shd w:val="clear" w:color="auto" w:fill="FFFFFF"/>
            <w:tcMar>
              <w:top w:w="40" w:type="dxa"/>
              <w:bottom w:w="40" w:type="dxa"/>
              <w:right w:w="20" w:type="dxa"/>
            </w:tcMar>
            <w:vAlign w:val="bottom"/>
          </w:tcPr>
          <w:p w14:paraId="3693E3D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3E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3E1" w14:textId="77777777" w:rsidR="003734EC" w:rsidRDefault="000E364E">
            <w:pPr>
              <w:jc w:val="right"/>
              <w:textAlignment w:val="bottom"/>
            </w:pPr>
            <w:r>
              <w:rPr>
                <w:rFonts w:ascii="sans-serif" w:eastAsia="sans-serif" w:hAnsi="sans-serif" w:cs="sans-serif"/>
                <w:color w:val="000000"/>
                <w:sz w:val="18"/>
                <w:szCs w:val="18"/>
              </w:rPr>
              <w:t>178 </w:t>
            </w:r>
          </w:p>
        </w:tc>
        <w:tc>
          <w:tcPr>
            <w:tcW w:w="0" w:type="auto"/>
            <w:shd w:val="clear" w:color="auto" w:fill="FFFFFF"/>
            <w:tcMar>
              <w:top w:w="40" w:type="dxa"/>
              <w:bottom w:w="40" w:type="dxa"/>
              <w:right w:w="20" w:type="dxa"/>
            </w:tcMar>
            <w:vAlign w:val="bottom"/>
          </w:tcPr>
          <w:p w14:paraId="3693E3E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3E3" w14:textId="77777777" w:rsidR="003734EC" w:rsidRDefault="003734EC">
            <w:pPr>
              <w:rPr>
                <w:rFonts w:ascii="宋体"/>
              </w:rPr>
            </w:pPr>
          </w:p>
        </w:tc>
        <w:tc>
          <w:tcPr>
            <w:tcW w:w="0" w:type="auto"/>
            <w:shd w:val="clear" w:color="auto" w:fill="auto"/>
            <w:vAlign w:val="center"/>
          </w:tcPr>
          <w:p w14:paraId="3693E3E4" w14:textId="77777777" w:rsidR="003734EC" w:rsidRDefault="003734EC">
            <w:pPr>
              <w:rPr>
                <w:rFonts w:ascii="宋体"/>
              </w:rPr>
            </w:pPr>
          </w:p>
        </w:tc>
        <w:tc>
          <w:tcPr>
            <w:tcW w:w="0" w:type="auto"/>
            <w:shd w:val="clear" w:color="auto" w:fill="auto"/>
            <w:vAlign w:val="center"/>
          </w:tcPr>
          <w:p w14:paraId="3693E3E5" w14:textId="77777777" w:rsidR="003734EC" w:rsidRDefault="003734EC">
            <w:pPr>
              <w:rPr>
                <w:rFonts w:ascii="宋体"/>
              </w:rPr>
            </w:pPr>
          </w:p>
        </w:tc>
        <w:tc>
          <w:tcPr>
            <w:tcW w:w="0" w:type="auto"/>
            <w:shd w:val="clear" w:color="auto" w:fill="auto"/>
            <w:vAlign w:val="center"/>
          </w:tcPr>
          <w:p w14:paraId="3693E3E6" w14:textId="77777777" w:rsidR="003734EC" w:rsidRDefault="003734EC">
            <w:pPr>
              <w:rPr>
                <w:rFonts w:ascii="宋体"/>
              </w:rPr>
            </w:pPr>
          </w:p>
        </w:tc>
        <w:tc>
          <w:tcPr>
            <w:tcW w:w="0" w:type="auto"/>
            <w:shd w:val="clear" w:color="auto" w:fill="auto"/>
            <w:vAlign w:val="center"/>
          </w:tcPr>
          <w:p w14:paraId="3693E3E7" w14:textId="77777777" w:rsidR="003734EC" w:rsidRDefault="003734EC">
            <w:pPr>
              <w:rPr>
                <w:rFonts w:ascii="宋体"/>
              </w:rPr>
            </w:pPr>
          </w:p>
        </w:tc>
        <w:tc>
          <w:tcPr>
            <w:tcW w:w="0" w:type="auto"/>
            <w:shd w:val="clear" w:color="auto" w:fill="auto"/>
            <w:vAlign w:val="center"/>
          </w:tcPr>
          <w:p w14:paraId="3693E3E8" w14:textId="77777777" w:rsidR="003734EC" w:rsidRDefault="003734EC">
            <w:pPr>
              <w:rPr>
                <w:rFonts w:ascii="宋体"/>
              </w:rPr>
            </w:pPr>
          </w:p>
        </w:tc>
      </w:tr>
      <w:tr w:rsidR="003734EC" w14:paraId="3693E3F6" w14:textId="77777777">
        <w:trPr>
          <w:jc w:val="center"/>
        </w:trPr>
        <w:tc>
          <w:tcPr>
            <w:tcW w:w="0" w:type="auto"/>
            <w:gridSpan w:val="3"/>
            <w:shd w:val="clear" w:color="auto" w:fill="E2EFD9"/>
            <w:tcMar>
              <w:top w:w="40" w:type="dxa"/>
              <w:left w:w="135" w:type="dxa"/>
              <w:bottom w:w="40" w:type="dxa"/>
              <w:right w:w="20" w:type="dxa"/>
            </w:tcMar>
            <w:vAlign w:val="bottom"/>
          </w:tcPr>
          <w:p w14:paraId="3693E3EA" w14:textId="77777777" w:rsidR="003734EC" w:rsidRDefault="000E364E">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3693E3EB" w14:textId="77777777" w:rsidR="003734EC" w:rsidRDefault="000E364E">
            <w:pPr>
              <w:jc w:val="right"/>
              <w:textAlignment w:val="bottom"/>
            </w:pPr>
            <w:r>
              <w:rPr>
                <w:rFonts w:ascii="sans-serif" w:eastAsia="sans-serif" w:hAnsi="sans-serif" w:cs="sans-serif"/>
                <w:color w:val="000000"/>
                <w:sz w:val="18"/>
                <w:szCs w:val="18"/>
              </w:rPr>
              <w:t>107 </w:t>
            </w:r>
          </w:p>
        </w:tc>
        <w:tc>
          <w:tcPr>
            <w:tcW w:w="0" w:type="auto"/>
            <w:shd w:val="clear" w:color="auto" w:fill="E2EFD9"/>
            <w:tcMar>
              <w:top w:w="40" w:type="dxa"/>
              <w:bottom w:w="40" w:type="dxa"/>
              <w:right w:w="20" w:type="dxa"/>
            </w:tcMar>
            <w:vAlign w:val="bottom"/>
          </w:tcPr>
          <w:p w14:paraId="3693E3E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3E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3EE" w14:textId="77777777" w:rsidR="003734EC" w:rsidRDefault="000E364E">
            <w:pPr>
              <w:jc w:val="right"/>
              <w:textAlignment w:val="bottom"/>
            </w:pPr>
            <w:r>
              <w:rPr>
                <w:rFonts w:ascii="sans-serif" w:eastAsia="sans-serif" w:hAnsi="sans-serif" w:cs="sans-serif"/>
                <w:color w:val="000000"/>
                <w:sz w:val="18"/>
                <w:szCs w:val="18"/>
              </w:rPr>
              <w:t>91 </w:t>
            </w:r>
          </w:p>
        </w:tc>
        <w:tc>
          <w:tcPr>
            <w:tcW w:w="0" w:type="auto"/>
            <w:shd w:val="clear" w:color="auto" w:fill="E2EFD9"/>
            <w:tcMar>
              <w:top w:w="40" w:type="dxa"/>
              <w:bottom w:w="40" w:type="dxa"/>
              <w:right w:w="20" w:type="dxa"/>
            </w:tcMar>
            <w:vAlign w:val="bottom"/>
          </w:tcPr>
          <w:p w14:paraId="3693E3E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3F0" w14:textId="77777777" w:rsidR="003734EC" w:rsidRDefault="003734EC">
            <w:pPr>
              <w:rPr>
                <w:rFonts w:ascii="宋体"/>
              </w:rPr>
            </w:pPr>
          </w:p>
        </w:tc>
        <w:tc>
          <w:tcPr>
            <w:tcW w:w="0" w:type="auto"/>
            <w:shd w:val="clear" w:color="auto" w:fill="auto"/>
            <w:vAlign w:val="center"/>
          </w:tcPr>
          <w:p w14:paraId="3693E3F1" w14:textId="77777777" w:rsidR="003734EC" w:rsidRDefault="003734EC">
            <w:pPr>
              <w:rPr>
                <w:rFonts w:ascii="宋体"/>
              </w:rPr>
            </w:pPr>
          </w:p>
        </w:tc>
        <w:tc>
          <w:tcPr>
            <w:tcW w:w="0" w:type="auto"/>
            <w:shd w:val="clear" w:color="auto" w:fill="auto"/>
            <w:vAlign w:val="center"/>
          </w:tcPr>
          <w:p w14:paraId="3693E3F2" w14:textId="77777777" w:rsidR="003734EC" w:rsidRDefault="003734EC">
            <w:pPr>
              <w:rPr>
                <w:rFonts w:ascii="宋体"/>
              </w:rPr>
            </w:pPr>
          </w:p>
        </w:tc>
        <w:tc>
          <w:tcPr>
            <w:tcW w:w="0" w:type="auto"/>
            <w:shd w:val="clear" w:color="auto" w:fill="auto"/>
            <w:vAlign w:val="center"/>
          </w:tcPr>
          <w:p w14:paraId="3693E3F3" w14:textId="77777777" w:rsidR="003734EC" w:rsidRDefault="003734EC">
            <w:pPr>
              <w:rPr>
                <w:rFonts w:ascii="宋体"/>
              </w:rPr>
            </w:pPr>
          </w:p>
        </w:tc>
        <w:tc>
          <w:tcPr>
            <w:tcW w:w="0" w:type="auto"/>
            <w:shd w:val="clear" w:color="auto" w:fill="auto"/>
            <w:vAlign w:val="center"/>
          </w:tcPr>
          <w:p w14:paraId="3693E3F4" w14:textId="77777777" w:rsidR="003734EC" w:rsidRDefault="003734EC">
            <w:pPr>
              <w:rPr>
                <w:rFonts w:ascii="宋体"/>
              </w:rPr>
            </w:pPr>
          </w:p>
        </w:tc>
        <w:tc>
          <w:tcPr>
            <w:tcW w:w="0" w:type="auto"/>
            <w:shd w:val="clear" w:color="auto" w:fill="auto"/>
            <w:vAlign w:val="center"/>
          </w:tcPr>
          <w:p w14:paraId="3693E3F5" w14:textId="77777777" w:rsidR="003734EC" w:rsidRDefault="003734EC">
            <w:pPr>
              <w:rPr>
                <w:rFonts w:ascii="宋体"/>
              </w:rPr>
            </w:pPr>
          </w:p>
        </w:tc>
      </w:tr>
      <w:tr w:rsidR="003734EC" w14:paraId="3693E403" w14:textId="77777777">
        <w:trPr>
          <w:jc w:val="center"/>
        </w:trPr>
        <w:tc>
          <w:tcPr>
            <w:tcW w:w="0" w:type="auto"/>
            <w:gridSpan w:val="3"/>
            <w:shd w:val="clear" w:color="auto" w:fill="FFFFFF"/>
            <w:tcMar>
              <w:top w:w="40" w:type="dxa"/>
              <w:left w:w="135" w:type="dxa"/>
              <w:bottom w:w="40" w:type="dxa"/>
              <w:right w:w="20" w:type="dxa"/>
            </w:tcMar>
            <w:vAlign w:val="bottom"/>
          </w:tcPr>
          <w:p w14:paraId="3693E3F7" w14:textId="77777777" w:rsidR="003734EC" w:rsidRDefault="000E364E">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3693E3F8" w14:textId="77777777" w:rsidR="003734EC" w:rsidRDefault="000E364E">
            <w:pPr>
              <w:jc w:val="right"/>
              <w:textAlignment w:val="bottom"/>
            </w:pPr>
            <w:r>
              <w:rPr>
                <w:rFonts w:ascii="sans-serif" w:eastAsia="sans-serif" w:hAnsi="sans-serif" w:cs="sans-serif"/>
                <w:color w:val="000000"/>
                <w:sz w:val="18"/>
                <w:szCs w:val="18"/>
              </w:rPr>
              <w:t>16 </w:t>
            </w:r>
          </w:p>
        </w:tc>
        <w:tc>
          <w:tcPr>
            <w:tcW w:w="0" w:type="auto"/>
            <w:shd w:val="clear" w:color="auto" w:fill="FFFFFF"/>
            <w:tcMar>
              <w:top w:w="40" w:type="dxa"/>
              <w:bottom w:w="40" w:type="dxa"/>
              <w:right w:w="20" w:type="dxa"/>
            </w:tcMar>
            <w:vAlign w:val="bottom"/>
          </w:tcPr>
          <w:p w14:paraId="3693E3F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3F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3FB" w14:textId="77777777" w:rsidR="003734EC" w:rsidRDefault="000E364E">
            <w:pPr>
              <w:jc w:val="right"/>
              <w:textAlignment w:val="bottom"/>
            </w:pPr>
            <w:r>
              <w:rPr>
                <w:rFonts w:ascii="sans-serif" w:eastAsia="sans-serif" w:hAnsi="sans-serif" w:cs="sans-serif"/>
                <w:color w:val="000000"/>
                <w:sz w:val="18"/>
                <w:szCs w:val="18"/>
              </w:rPr>
              <w:t>(42)</w:t>
            </w:r>
          </w:p>
        </w:tc>
        <w:tc>
          <w:tcPr>
            <w:tcW w:w="0" w:type="auto"/>
            <w:shd w:val="clear" w:color="auto" w:fill="FFFFFF"/>
            <w:tcMar>
              <w:top w:w="40" w:type="dxa"/>
              <w:bottom w:w="40" w:type="dxa"/>
              <w:right w:w="20" w:type="dxa"/>
            </w:tcMar>
            <w:vAlign w:val="bottom"/>
          </w:tcPr>
          <w:p w14:paraId="3693E3F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3FD" w14:textId="77777777" w:rsidR="003734EC" w:rsidRDefault="003734EC">
            <w:pPr>
              <w:rPr>
                <w:rFonts w:ascii="宋体"/>
              </w:rPr>
            </w:pPr>
          </w:p>
        </w:tc>
        <w:tc>
          <w:tcPr>
            <w:tcW w:w="0" w:type="auto"/>
            <w:shd w:val="clear" w:color="auto" w:fill="auto"/>
            <w:vAlign w:val="center"/>
          </w:tcPr>
          <w:p w14:paraId="3693E3FE" w14:textId="77777777" w:rsidR="003734EC" w:rsidRDefault="003734EC">
            <w:pPr>
              <w:rPr>
                <w:rFonts w:ascii="宋体"/>
              </w:rPr>
            </w:pPr>
          </w:p>
        </w:tc>
        <w:tc>
          <w:tcPr>
            <w:tcW w:w="0" w:type="auto"/>
            <w:shd w:val="clear" w:color="auto" w:fill="auto"/>
            <w:vAlign w:val="center"/>
          </w:tcPr>
          <w:p w14:paraId="3693E3FF" w14:textId="77777777" w:rsidR="003734EC" w:rsidRDefault="003734EC">
            <w:pPr>
              <w:rPr>
                <w:rFonts w:ascii="宋体"/>
              </w:rPr>
            </w:pPr>
          </w:p>
        </w:tc>
        <w:tc>
          <w:tcPr>
            <w:tcW w:w="0" w:type="auto"/>
            <w:shd w:val="clear" w:color="auto" w:fill="auto"/>
            <w:vAlign w:val="center"/>
          </w:tcPr>
          <w:p w14:paraId="3693E400" w14:textId="77777777" w:rsidR="003734EC" w:rsidRDefault="003734EC">
            <w:pPr>
              <w:rPr>
                <w:rFonts w:ascii="宋体"/>
              </w:rPr>
            </w:pPr>
          </w:p>
        </w:tc>
        <w:tc>
          <w:tcPr>
            <w:tcW w:w="0" w:type="auto"/>
            <w:shd w:val="clear" w:color="auto" w:fill="auto"/>
            <w:vAlign w:val="center"/>
          </w:tcPr>
          <w:p w14:paraId="3693E401" w14:textId="77777777" w:rsidR="003734EC" w:rsidRDefault="003734EC">
            <w:pPr>
              <w:rPr>
                <w:rFonts w:ascii="宋体"/>
              </w:rPr>
            </w:pPr>
          </w:p>
        </w:tc>
        <w:tc>
          <w:tcPr>
            <w:tcW w:w="0" w:type="auto"/>
            <w:shd w:val="clear" w:color="auto" w:fill="auto"/>
            <w:vAlign w:val="center"/>
          </w:tcPr>
          <w:p w14:paraId="3693E402" w14:textId="77777777" w:rsidR="003734EC" w:rsidRDefault="003734EC">
            <w:pPr>
              <w:rPr>
                <w:rFonts w:ascii="宋体"/>
              </w:rPr>
            </w:pPr>
          </w:p>
        </w:tc>
      </w:tr>
      <w:tr w:rsidR="003734EC" w14:paraId="3693E40E" w14:textId="77777777">
        <w:trPr>
          <w:jc w:val="center"/>
          <w:hidden/>
        </w:trPr>
        <w:tc>
          <w:tcPr>
            <w:tcW w:w="0" w:type="auto"/>
            <w:gridSpan w:val="3"/>
            <w:shd w:val="clear" w:color="auto" w:fill="auto"/>
            <w:vAlign w:val="center"/>
          </w:tcPr>
          <w:p w14:paraId="3693E404" w14:textId="77777777" w:rsidR="003734EC" w:rsidRDefault="003734EC">
            <w:pPr>
              <w:rPr>
                <w:rFonts w:ascii="宋体"/>
                <w:vanish/>
              </w:rPr>
            </w:pPr>
          </w:p>
        </w:tc>
        <w:tc>
          <w:tcPr>
            <w:tcW w:w="0" w:type="auto"/>
            <w:gridSpan w:val="3"/>
            <w:shd w:val="clear" w:color="auto" w:fill="auto"/>
            <w:vAlign w:val="center"/>
          </w:tcPr>
          <w:p w14:paraId="3693E405" w14:textId="77777777" w:rsidR="003734EC" w:rsidRDefault="003734EC">
            <w:pPr>
              <w:rPr>
                <w:rFonts w:ascii="宋体"/>
                <w:vanish/>
              </w:rPr>
            </w:pPr>
          </w:p>
        </w:tc>
        <w:tc>
          <w:tcPr>
            <w:tcW w:w="0" w:type="auto"/>
            <w:gridSpan w:val="3"/>
            <w:shd w:val="clear" w:color="auto" w:fill="auto"/>
            <w:vAlign w:val="center"/>
          </w:tcPr>
          <w:p w14:paraId="3693E406" w14:textId="77777777" w:rsidR="003734EC" w:rsidRDefault="003734EC">
            <w:pPr>
              <w:rPr>
                <w:rFonts w:ascii="宋体"/>
                <w:vanish/>
              </w:rPr>
            </w:pPr>
          </w:p>
        </w:tc>
        <w:tc>
          <w:tcPr>
            <w:tcW w:w="0" w:type="auto"/>
            <w:gridSpan w:val="3"/>
            <w:shd w:val="clear" w:color="auto" w:fill="auto"/>
            <w:vAlign w:val="center"/>
          </w:tcPr>
          <w:p w14:paraId="3693E407" w14:textId="77777777" w:rsidR="003734EC" w:rsidRDefault="003734EC">
            <w:pPr>
              <w:rPr>
                <w:rFonts w:ascii="宋体"/>
                <w:vanish/>
              </w:rPr>
            </w:pPr>
          </w:p>
        </w:tc>
        <w:tc>
          <w:tcPr>
            <w:tcW w:w="0" w:type="auto"/>
            <w:shd w:val="clear" w:color="auto" w:fill="auto"/>
            <w:vAlign w:val="center"/>
          </w:tcPr>
          <w:p w14:paraId="3693E408" w14:textId="77777777" w:rsidR="003734EC" w:rsidRDefault="003734EC">
            <w:pPr>
              <w:rPr>
                <w:rFonts w:ascii="宋体"/>
              </w:rPr>
            </w:pPr>
          </w:p>
        </w:tc>
        <w:tc>
          <w:tcPr>
            <w:tcW w:w="0" w:type="auto"/>
            <w:shd w:val="clear" w:color="auto" w:fill="auto"/>
            <w:vAlign w:val="center"/>
          </w:tcPr>
          <w:p w14:paraId="3693E409" w14:textId="77777777" w:rsidR="003734EC" w:rsidRDefault="003734EC">
            <w:pPr>
              <w:rPr>
                <w:rFonts w:ascii="宋体"/>
              </w:rPr>
            </w:pPr>
          </w:p>
        </w:tc>
        <w:tc>
          <w:tcPr>
            <w:tcW w:w="0" w:type="auto"/>
            <w:shd w:val="clear" w:color="auto" w:fill="auto"/>
            <w:vAlign w:val="center"/>
          </w:tcPr>
          <w:p w14:paraId="3693E40A" w14:textId="77777777" w:rsidR="003734EC" w:rsidRDefault="003734EC">
            <w:pPr>
              <w:rPr>
                <w:rFonts w:ascii="宋体"/>
              </w:rPr>
            </w:pPr>
          </w:p>
        </w:tc>
        <w:tc>
          <w:tcPr>
            <w:tcW w:w="0" w:type="auto"/>
            <w:shd w:val="clear" w:color="auto" w:fill="auto"/>
            <w:vAlign w:val="center"/>
          </w:tcPr>
          <w:p w14:paraId="3693E40B" w14:textId="77777777" w:rsidR="003734EC" w:rsidRDefault="003734EC">
            <w:pPr>
              <w:rPr>
                <w:rFonts w:ascii="宋体"/>
              </w:rPr>
            </w:pPr>
          </w:p>
        </w:tc>
        <w:tc>
          <w:tcPr>
            <w:tcW w:w="0" w:type="auto"/>
            <w:shd w:val="clear" w:color="auto" w:fill="auto"/>
            <w:vAlign w:val="center"/>
          </w:tcPr>
          <w:p w14:paraId="3693E40C" w14:textId="77777777" w:rsidR="003734EC" w:rsidRDefault="003734EC">
            <w:pPr>
              <w:rPr>
                <w:rFonts w:ascii="宋体"/>
              </w:rPr>
            </w:pPr>
          </w:p>
        </w:tc>
        <w:tc>
          <w:tcPr>
            <w:tcW w:w="0" w:type="auto"/>
            <w:shd w:val="clear" w:color="auto" w:fill="auto"/>
            <w:vAlign w:val="center"/>
          </w:tcPr>
          <w:p w14:paraId="3693E40D" w14:textId="77777777" w:rsidR="003734EC" w:rsidRDefault="003734EC">
            <w:pPr>
              <w:rPr>
                <w:rFonts w:ascii="宋体"/>
              </w:rPr>
            </w:pPr>
          </w:p>
        </w:tc>
      </w:tr>
      <w:tr w:rsidR="003734EC" w14:paraId="3693E41B" w14:textId="77777777">
        <w:trPr>
          <w:jc w:val="center"/>
        </w:trPr>
        <w:tc>
          <w:tcPr>
            <w:tcW w:w="0" w:type="auto"/>
            <w:gridSpan w:val="3"/>
            <w:shd w:val="clear" w:color="auto" w:fill="E2EFD9"/>
            <w:tcMar>
              <w:top w:w="40" w:type="dxa"/>
              <w:left w:w="135" w:type="dxa"/>
              <w:bottom w:w="40" w:type="dxa"/>
              <w:right w:w="20" w:type="dxa"/>
            </w:tcMar>
            <w:vAlign w:val="bottom"/>
          </w:tcPr>
          <w:p w14:paraId="3693E40F" w14:textId="77777777" w:rsidR="003734EC" w:rsidRDefault="000E364E">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3693E410" w14:textId="77777777" w:rsidR="003734EC" w:rsidRDefault="000E364E">
            <w:pPr>
              <w:jc w:val="right"/>
              <w:textAlignment w:val="bottom"/>
            </w:pPr>
            <w:r>
              <w:rPr>
                <w:rFonts w:ascii="sans-serif" w:eastAsia="sans-serif" w:hAnsi="sans-serif" w:cs="sans-serif"/>
                <w:color w:val="000000"/>
                <w:sz w:val="18"/>
                <w:szCs w:val="18"/>
              </w:rPr>
              <w:t>4 </w:t>
            </w:r>
          </w:p>
        </w:tc>
        <w:tc>
          <w:tcPr>
            <w:tcW w:w="0" w:type="auto"/>
            <w:shd w:val="clear" w:color="auto" w:fill="E2EFD9"/>
            <w:tcMar>
              <w:top w:w="40" w:type="dxa"/>
              <w:bottom w:w="40" w:type="dxa"/>
              <w:right w:w="20" w:type="dxa"/>
            </w:tcMar>
            <w:vAlign w:val="bottom"/>
          </w:tcPr>
          <w:p w14:paraId="3693E411"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12"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13" w14:textId="77777777" w:rsidR="003734EC" w:rsidRDefault="000E364E">
            <w:pPr>
              <w:jc w:val="right"/>
              <w:textAlignment w:val="bottom"/>
            </w:pPr>
            <w:r>
              <w:rPr>
                <w:rFonts w:ascii="sans-serif" w:eastAsia="sans-serif" w:hAnsi="sans-serif" w:cs="sans-serif"/>
                <w:color w:val="000000"/>
                <w:sz w:val="18"/>
                <w:szCs w:val="18"/>
              </w:rPr>
              <w:t>(2)</w:t>
            </w:r>
          </w:p>
        </w:tc>
        <w:tc>
          <w:tcPr>
            <w:tcW w:w="0" w:type="auto"/>
            <w:shd w:val="clear" w:color="auto" w:fill="E2EFD9"/>
            <w:tcMar>
              <w:top w:w="40" w:type="dxa"/>
              <w:bottom w:w="40" w:type="dxa"/>
              <w:right w:w="20" w:type="dxa"/>
            </w:tcMar>
            <w:vAlign w:val="bottom"/>
          </w:tcPr>
          <w:p w14:paraId="3693E414"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15" w14:textId="77777777" w:rsidR="003734EC" w:rsidRDefault="003734EC">
            <w:pPr>
              <w:rPr>
                <w:rFonts w:ascii="宋体"/>
              </w:rPr>
            </w:pPr>
          </w:p>
        </w:tc>
        <w:tc>
          <w:tcPr>
            <w:tcW w:w="0" w:type="auto"/>
            <w:shd w:val="clear" w:color="auto" w:fill="auto"/>
            <w:vAlign w:val="center"/>
          </w:tcPr>
          <w:p w14:paraId="3693E416" w14:textId="77777777" w:rsidR="003734EC" w:rsidRDefault="003734EC">
            <w:pPr>
              <w:rPr>
                <w:rFonts w:ascii="宋体"/>
              </w:rPr>
            </w:pPr>
          </w:p>
        </w:tc>
        <w:tc>
          <w:tcPr>
            <w:tcW w:w="0" w:type="auto"/>
            <w:shd w:val="clear" w:color="auto" w:fill="auto"/>
            <w:vAlign w:val="center"/>
          </w:tcPr>
          <w:p w14:paraId="3693E417" w14:textId="77777777" w:rsidR="003734EC" w:rsidRDefault="003734EC">
            <w:pPr>
              <w:rPr>
                <w:rFonts w:ascii="宋体"/>
              </w:rPr>
            </w:pPr>
          </w:p>
        </w:tc>
        <w:tc>
          <w:tcPr>
            <w:tcW w:w="0" w:type="auto"/>
            <w:shd w:val="clear" w:color="auto" w:fill="auto"/>
            <w:vAlign w:val="center"/>
          </w:tcPr>
          <w:p w14:paraId="3693E418" w14:textId="77777777" w:rsidR="003734EC" w:rsidRDefault="003734EC">
            <w:pPr>
              <w:rPr>
                <w:rFonts w:ascii="宋体"/>
              </w:rPr>
            </w:pPr>
          </w:p>
        </w:tc>
        <w:tc>
          <w:tcPr>
            <w:tcW w:w="0" w:type="auto"/>
            <w:shd w:val="clear" w:color="auto" w:fill="auto"/>
            <w:vAlign w:val="center"/>
          </w:tcPr>
          <w:p w14:paraId="3693E419" w14:textId="77777777" w:rsidR="003734EC" w:rsidRDefault="003734EC">
            <w:pPr>
              <w:rPr>
                <w:rFonts w:ascii="宋体"/>
              </w:rPr>
            </w:pPr>
          </w:p>
        </w:tc>
        <w:tc>
          <w:tcPr>
            <w:tcW w:w="0" w:type="auto"/>
            <w:shd w:val="clear" w:color="auto" w:fill="auto"/>
            <w:vAlign w:val="center"/>
          </w:tcPr>
          <w:p w14:paraId="3693E41A" w14:textId="77777777" w:rsidR="003734EC" w:rsidRDefault="003734EC">
            <w:pPr>
              <w:rPr>
                <w:rFonts w:ascii="宋体"/>
              </w:rPr>
            </w:pPr>
          </w:p>
        </w:tc>
      </w:tr>
      <w:tr w:rsidR="003734EC" w14:paraId="3693E426" w14:textId="77777777">
        <w:trPr>
          <w:jc w:val="center"/>
        </w:trPr>
        <w:tc>
          <w:tcPr>
            <w:tcW w:w="0" w:type="auto"/>
            <w:gridSpan w:val="3"/>
            <w:shd w:val="clear" w:color="auto" w:fill="FFFFFF"/>
            <w:tcMar>
              <w:top w:w="40" w:type="dxa"/>
              <w:left w:w="20" w:type="dxa"/>
              <w:bottom w:w="40" w:type="dxa"/>
              <w:right w:w="20" w:type="dxa"/>
            </w:tcMar>
            <w:vAlign w:val="bottom"/>
          </w:tcPr>
          <w:p w14:paraId="3693E41C" w14:textId="77777777" w:rsidR="003734EC" w:rsidRDefault="000E364E">
            <w:pPr>
              <w:textAlignment w:val="bottom"/>
            </w:pPr>
            <w:r>
              <w:rPr>
                <w:rFonts w:ascii="sans-serif" w:eastAsia="sans-serif" w:hAnsi="sans-serif" w:cs="sans-serif"/>
                <w:color w:val="000000"/>
                <w:sz w:val="18"/>
                <w:szCs w:val="18"/>
              </w:rPr>
              <w:t>Changes in operating assets and liabilities:</w:t>
            </w:r>
          </w:p>
        </w:tc>
        <w:tc>
          <w:tcPr>
            <w:tcW w:w="0" w:type="auto"/>
            <w:gridSpan w:val="3"/>
            <w:shd w:val="clear" w:color="auto" w:fill="FFFFFF"/>
            <w:tcMar>
              <w:left w:w="20" w:type="dxa"/>
              <w:right w:w="20" w:type="dxa"/>
            </w:tcMar>
            <w:vAlign w:val="bottom"/>
          </w:tcPr>
          <w:p w14:paraId="3693E41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41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41F" w14:textId="77777777" w:rsidR="003734EC" w:rsidRDefault="003734EC">
            <w:pPr>
              <w:rPr>
                <w:rFonts w:ascii="宋体"/>
              </w:rPr>
            </w:pPr>
          </w:p>
        </w:tc>
        <w:tc>
          <w:tcPr>
            <w:tcW w:w="0" w:type="auto"/>
            <w:shd w:val="clear" w:color="auto" w:fill="auto"/>
            <w:vAlign w:val="center"/>
          </w:tcPr>
          <w:p w14:paraId="3693E420" w14:textId="77777777" w:rsidR="003734EC" w:rsidRDefault="003734EC">
            <w:pPr>
              <w:rPr>
                <w:rFonts w:ascii="宋体"/>
              </w:rPr>
            </w:pPr>
          </w:p>
        </w:tc>
        <w:tc>
          <w:tcPr>
            <w:tcW w:w="0" w:type="auto"/>
            <w:shd w:val="clear" w:color="auto" w:fill="auto"/>
            <w:vAlign w:val="center"/>
          </w:tcPr>
          <w:p w14:paraId="3693E421" w14:textId="77777777" w:rsidR="003734EC" w:rsidRDefault="003734EC">
            <w:pPr>
              <w:rPr>
                <w:rFonts w:ascii="宋体"/>
              </w:rPr>
            </w:pPr>
          </w:p>
        </w:tc>
        <w:tc>
          <w:tcPr>
            <w:tcW w:w="0" w:type="auto"/>
            <w:shd w:val="clear" w:color="auto" w:fill="auto"/>
            <w:vAlign w:val="center"/>
          </w:tcPr>
          <w:p w14:paraId="3693E422" w14:textId="77777777" w:rsidR="003734EC" w:rsidRDefault="003734EC">
            <w:pPr>
              <w:rPr>
                <w:rFonts w:ascii="宋体"/>
              </w:rPr>
            </w:pPr>
          </w:p>
        </w:tc>
        <w:tc>
          <w:tcPr>
            <w:tcW w:w="0" w:type="auto"/>
            <w:shd w:val="clear" w:color="auto" w:fill="auto"/>
            <w:vAlign w:val="center"/>
          </w:tcPr>
          <w:p w14:paraId="3693E423" w14:textId="77777777" w:rsidR="003734EC" w:rsidRDefault="003734EC">
            <w:pPr>
              <w:rPr>
                <w:rFonts w:ascii="宋体"/>
              </w:rPr>
            </w:pPr>
          </w:p>
        </w:tc>
        <w:tc>
          <w:tcPr>
            <w:tcW w:w="0" w:type="auto"/>
            <w:shd w:val="clear" w:color="auto" w:fill="auto"/>
            <w:vAlign w:val="center"/>
          </w:tcPr>
          <w:p w14:paraId="3693E424" w14:textId="77777777" w:rsidR="003734EC" w:rsidRDefault="003734EC">
            <w:pPr>
              <w:rPr>
                <w:rFonts w:ascii="宋体"/>
              </w:rPr>
            </w:pPr>
          </w:p>
        </w:tc>
        <w:tc>
          <w:tcPr>
            <w:tcW w:w="0" w:type="auto"/>
            <w:shd w:val="clear" w:color="auto" w:fill="auto"/>
            <w:vAlign w:val="center"/>
          </w:tcPr>
          <w:p w14:paraId="3693E425" w14:textId="77777777" w:rsidR="003734EC" w:rsidRDefault="003734EC">
            <w:pPr>
              <w:rPr>
                <w:rFonts w:ascii="宋体"/>
              </w:rPr>
            </w:pPr>
          </w:p>
        </w:tc>
      </w:tr>
      <w:tr w:rsidR="003734EC" w14:paraId="3693E433" w14:textId="77777777">
        <w:trPr>
          <w:jc w:val="center"/>
        </w:trPr>
        <w:tc>
          <w:tcPr>
            <w:tcW w:w="0" w:type="auto"/>
            <w:gridSpan w:val="3"/>
            <w:shd w:val="clear" w:color="auto" w:fill="E2EFD9"/>
            <w:tcMar>
              <w:top w:w="40" w:type="dxa"/>
              <w:left w:w="135" w:type="dxa"/>
              <w:bottom w:w="40" w:type="dxa"/>
              <w:right w:w="20" w:type="dxa"/>
            </w:tcMar>
            <w:vAlign w:val="bottom"/>
          </w:tcPr>
          <w:p w14:paraId="3693E427" w14:textId="77777777" w:rsidR="003734EC" w:rsidRDefault="000E364E">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3693E428" w14:textId="77777777" w:rsidR="003734EC" w:rsidRDefault="000E364E">
            <w:pPr>
              <w:jc w:val="right"/>
              <w:textAlignment w:val="bottom"/>
            </w:pPr>
            <w:r>
              <w:rPr>
                <w:rFonts w:ascii="sans-serif" w:eastAsia="sans-serif" w:hAnsi="sans-serif" w:cs="sans-serif"/>
                <w:color w:val="000000"/>
                <w:sz w:val="18"/>
                <w:szCs w:val="18"/>
              </w:rPr>
              <w:t>(249)</w:t>
            </w:r>
          </w:p>
        </w:tc>
        <w:tc>
          <w:tcPr>
            <w:tcW w:w="0" w:type="auto"/>
            <w:shd w:val="clear" w:color="auto" w:fill="E2EFD9"/>
            <w:tcMar>
              <w:top w:w="40" w:type="dxa"/>
              <w:bottom w:w="40" w:type="dxa"/>
              <w:right w:w="20" w:type="dxa"/>
            </w:tcMar>
            <w:vAlign w:val="bottom"/>
          </w:tcPr>
          <w:p w14:paraId="3693E42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2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2B" w14:textId="77777777" w:rsidR="003734EC" w:rsidRDefault="000E364E">
            <w:pPr>
              <w:jc w:val="right"/>
              <w:textAlignment w:val="bottom"/>
            </w:pPr>
            <w:r>
              <w:rPr>
                <w:rFonts w:ascii="sans-serif" w:eastAsia="sans-serif" w:hAnsi="sans-serif" w:cs="sans-serif"/>
                <w:color w:val="000000"/>
                <w:sz w:val="18"/>
                <w:szCs w:val="18"/>
              </w:rPr>
              <w:t>182 </w:t>
            </w:r>
          </w:p>
        </w:tc>
        <w:tc>
          <w:tcPr>
            <w:tcW w:w="0" w:type="auto"/>
            <w:shd w:val="clear" w:color="auto" w:fill="E2EFD9"/>
            <w:tcMar>
              <w:top w:w="40" w:type="dxa"/>
              <w:bottom w:w="40" w:type="dxa"/>
              <w:right w:w="20" w:type="dxa"/>
            </w:tcMar>
            <w:vAlign w:val="bottom"/>
          </w:tcPr>
          <w:p w14:paraId="3693E42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2D" w14:textId="77777777" w:rsidR="003734EC" w:rsidRDefault="003734EC">
            <w:pPr>
              <w:rPr>
                <w:rFonts w:ascii="宋体"/>
              </w:rPr>
            </w:pPr>
          </w:p>
        </w:tc>
        <w:tc>
          <w:tcPr>
            <w:tcW w:w="0" w:type="auto"/>
            <w:shd w:val="clear" w:color="auto" w:fill="auto"/>
            <w:vAlign w:val="center"/>
          </w:tcPr>
          <w:p w14:paraId="3693E42E" w14:textId="77777777" w:rsidR="003734EC" w:rsidRDefault="003734EC">
            <w:pPr>
              <w:rPr>
                <w:rFonts w:ascii="宋体"/>
              </w:rPr>
            </w:pPr>
          </w:p>
        </w:tc>
        <w:tc>
          <w:tcPr>
            <w:tcW w:w="0" w:type="auto"/>
            <w:shd w:val="clear" w:color="auto" w:fill="auto"/>
            <w:vAlign w:val="center"/>
          </w:tcPr>
          <w:p w14:paraId="3693E42F" w14:textId="77777777" w:rsidR="003734EC" w:rsidRDefault="003734EC">
            <w:pPr>
              <w:rPr>
                <w:rFonts w:ascii="宋体"/>
              </w:rPr>
            </w:pPr>
          </w:p>
        </w:tc>
        <w:tc>
          <w:tcPr>
            <w:tcW w:w="0" w:type="auto"/>
            <w:shd w:val="clear" w:color="auto" w:fill="auto"/>
            <w:vAlign w:val="center"/>
          </w:tcPr>
          <w:p w14:paraId="3693E430" w14:textId="77777777" w:rsidR="003734EC" w:rsidRDefault="003734EC">
            <w:pPr>
              <w:rPr>
                <w:rFonts w:ascii="宋体"/>
              </w:rPr>
            </w:pPr>
          </w:p>
        </w:tc>
        <w:tc>
          <w:tcPr>
            <w:tcW w:w="0" w:type="auto"/>
            <w:shd w:val="clear" w:color="auto" w:fill="auto"/>
            <w:vAlign w:val="center"/>
          </w:tcPr>
          <w:p w14:paraId="3693E431" w14:textId="77777777" w:rsidR="003734EC" w:rsidRDefault="003734EC">
            <w:pPr>
              <w:rPr>
                <w:rFonts w:ascii="宋体"/>
              </w:rPr>
            </w:pPr>
          </w:p>
        </w:tc>
        <w:tc>
          <w:tcPr>
            <w:tcW w:w="0" w:type="auto"/>
            <w:shd w:val="clear" w:color="auto" w:fill="auto"/>
            <w:vAlign w:val="center"/>
          </w:tcPr>
          <w:p w14:paraId="3693E432" w14:textId="77777777" w:rsidR="003734EC" w:rsidRDefault="003734EC">
            <w:pPr>
              <w:rPr>
                <w:rFonts w:ascii="宋体"/>
              </w:rPr>
            </w:pPr>
          </w:p>
        </w:tc>
      </w:tr>
      <w:tr w:rsidR="003734EC" w14:paraId="3693E440" w14:textId="77777777">
        <w:trPr>
          <w:jc w:val="center"/>
        </w:trPr>
        <w:tc>
          <w:tcPr>
            <w:tcW w:w="0" w:type="auto"/>
            <w:gridSpan w:val="3"/>
            <w:shd w:val="clear" w:color="auto" w:fill="FFFFFF"/>
            <w:tcMar>
              <w:top w:w="40" w:type="dxa"/>
              <w:left w:w="135" w:type="dxa"/>
              <w:bottom w:w="40" w:type="dxa"/>
              <w:right w:w="20" w:type="dxa"/>
            </w:tcMar>
            <w:vAlign w:val="bottom"/>
          </w:tcPr>
          <w:p w14:paraId="3693E434" w14:textId="77777777" w:rsidR="003734EC" w:rsidRDefault="000E364E">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3693E435" w14:textId="77777777" w:rsidR="003734EC" w:rsidRDefault="000E364E">
            <w:pPr>
              <w:jc w:val="right"/>
              <w:textAlignment w:val="bottom"/>
            </w:pPr>
            <w:r>
              <w:rPr>
                <w:rFonts w:ascii="sans-serif" w:eastAsia="sans-serif" w:hAnsi="sans-serif" w:cs="sans-serif"/>
                <w:color w:val="000000"/>
                <w:sz w:val="18"/>
                <w:szCs w:val="18"/>
              </w:rPr>
              <w:t>(151)</w:t>
            </w:r>
          </w:p>
        </w:tc>
        <w:tc>
          <w:tcPr>
            <w:tcW w:w="0" w:type="auto"/>
            <w:shd w:val="clear" w:color="auto" w:fill="FFFFFF"/>
            <w:tcMar>
              <w:top w:w="40" w:type="dxa"/>
              <w:bottom w:w="40" w:type="dxa"/>
              <w:right w:w="20" w:type="dxa"/>
            </w:tcMar>
            <w:vAlign w:val="bottom"/>
          </w:tcPr>
          <w:p w14:paraId="3693E436"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3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38" w14:textId="77777777" w:rsidR="003734EC" w:rsidRDefault="000E364E">
            <w:pPr>
              <w:jc w:val="right"/>
              <w:textAlignment w:val="bottom"/>
            </w:pPr>
            <w:r>
              <w:rPr>
                <w:rFonts w:ascii="sans-serif" w:eastAsia="sans-serif" w:hAnsi="sans-serif" w:cs="sans-serif"/>
                <w:color w:val="000000"/>
                <w:sz w:val="18"/>
                <w:szCs w:val="18"/>
              </w:rPr>
              <w:t>153 </w:t>
            </w:r>
          </w:p>
        </w:tc>
        <w:tc>
          <w:tcPr>
            <w:tcW w:w="0" w:type="auto"/>
            <w:shd w:val="clear" w:color="auto" w:fill="FFFFFF"/>
            <w:tcMar>
              <w:top w:w="40" w:type="dxa"/>
              <w:bottom w:w="40" w:type="dxa"/>
              <w:right w:w="20" w:type="dxa"/>
            </w:tcMar>
            <w:vAlign w:val="bottom"/>
          </w:tcPr>
          <w:p w14:paraId="3693E43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3A" w14:textId="77777777" w:rsidR="003734EC" w:rsidRDefault="003734EC">
            <w:pPr>
              <w:rPr>
                <w:rFonts w:ascii="宋体"/>
              </w:rPr>
            </w:pPr>
          </w:p>
        </w:tc>
        <w:tc>
          <w:tcPr>
            <w:tcW w:w="0" w:type="auto"/>
            <w:shd w:val="clear" w:color="auto" w:fill="auto"/>
            <w:vAlign w:val="center"/>
          </w:tcPr>
          <w:p w14:paraId="3693E43B" w14:textId="77777777" w:rsidR="003734EC" w:rsidRDefault="003734EC">
            <w:pPr>
              <w:rPr>
                <w:rFonts w:ascii="宋体"/>
              </w:rPr>
            </w:pPr>
          </w:p>
        </w:tc>
        <w:tc>
          <w:tcPr>
            <w:tcW w:w="0" w:type="auto"/>
            <w:shd w:val="clear" w:color="auto" w:fill="auto"/>
            <w:vAlign w:val="center"/>
          </w:tcPr>
          <w:p w14:paraId="3693E43C" w14:textId="77777777" w:rsidR="003734EC" w:rsidRDefault="003734EC">
            <w:pPr>
              <w:rPr>
                <w:rFonts w:ascii="宋体"/>
              </w:rPr>
            </w:pPr>
          </w:p>
        </w:tc>
        <w:tc>
          <w:tcPr>
            <w:tcW w:w="0" w:type="auto"/>
            <w:shd w:val="clear" w:color="auto" w:fill="auto"/>
            <w:vAlign w:val="center"/>
          </w:tcPr>
          <w:p w14:paraId="3693E43D" w14:textId="77777777" w:rsidR="003734EC" w:rsidRDefault="003734EC">
            <w:pPr>
              <w:rPr>
                <w:rFonts w:ascii="宋体"/>
              </w:rPr>
            </w:pPr>
          </w:p>
        </w:tc>
        <w:tc>
          <w:tcPr>
            <w:tcW w:w="0" w:type="auto"/>
            <w:shd w:val="clear" w:color="auto" w:fill="auto"/>
            <w:vAlign w:val="center"/>
          </w:tcPr>
          <w:p w14:paraId="3693E43E" w14:textId="77777777" w:rsidR="003734EC" w:rsidRDefault="003734EC">
            <w:pPr>
              <w:rPr>
                <w:rFonts w:ascii="宋体"/>
              </w:rPr>
            </w:pPr>
          </w:p>
        </w:tc>
        <w:tc>
          <w:tcPr>
            <w:tcW w:w="0" w:type="auto"/>
            <w:shd w:val="clear" w:color="auto" w:fill="auto"/>
            <w:vAlign w:val="center"/>
          </w:tcPr>
          <w:p w14:paraId="3693E43F" w14:textId="77777777" w:rsidR="003734EC" w:rsidRDefault="003734EC">
            <w:pPr>
              <w:rPr>
                <w:rFonts w:ascii="宋体"/>
              </w:rPr>
            </w:pPr>
          </w:p>
        </w:tc>
      </w:tr>
      <w:tr w:rsidR="003734EC" w14:paraId="3693E44D" w14:textId="77777777">
        <w:trPr>
          <w:jc w:val="center"/>
        </w:trPr>
        <w:tc>
          <w:tcPr>
            <w:tcW w:w="0" w:type="auto"/>
            <w:gridSpan w:val="3"/>
            <w:shd w:val="clear" w:color="auto" w:fill="E2EFD9"/>
            <w:tcMar>
              <w:top w:w="40" w:type="dxa"/>
              <w:left w:w="135" w:type="dxa"/>
              <w:bottom w:w="40" w:type="dxa"/>
              <w:right w:w="20" w:type="dxa"/>
            </w:tcMar>
            <w:vAlign w:val="bottom"/>
          </w:tcPr>
          <w:p w14:paraId="3693E441" w14:textId="77777777" w:rsidR="003734EC" w:rsidRDefault="000E364E">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3693E442" w14:textId="77777777" w:rsidR="003734EC" w:rsidRDefault="000E364E">
            <w:pPr>
              <w:jc w:val="right"/>
              <w:textAlignment w:val="bottom"/>
            </w:pPr>
            <w:r>
              <w:rPr>
                <w:rFonts w:ascii="sans-serif" w:eastAsia="sans-serif" w:hAnsi="sans-serif" w:cs="sans-serif"/>
                <w:color w:val="000000"/>
                <w:sz w:val="18"/>
                <w:szCs w:val="18"/>
              </w:rPr>
              <w:t>(8)</w:t>
            </w:r>
          </w:p>
        </w:tc>
        <w:tc>
          <w:tcPr>
            <w:tcW w:w="0" w:type="auto"/>
            <w:shd w:val="clear" w:color="auto" w:fill="E2EFD9"/>
            <w:tcMar>
              <w:top w:w="40" w:type="dxa"/>
              <w:bottom w:w="40" w:type="dxa"/>
              <w:right w:w="20" w:type="dxa"/>
            </w:tcMar>
            <w:vAlign w:val="bottom"/>
          </w:tcPr>
          <w:p w14:paraId="3693E443"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44"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45" w14:textId="77777777" w:rsidR="003734EC" w:rsidRDefault="000E364E">
            <w:pPr>
              <w:jc w:val="right"/>
              <w:textAlignment w:val="bottom"/>
            </w:pPr>
            <w:r>
              <w:rPr>
                <w:rFonts w:ascii="sans-serif" w:eastAsia="sans-serif" w:hAnsi="sans-serif" w:cs="sans-serif"/>
                <w:color w:val="000000"/>
                <w:sz w:val="18"/>
                <w:szCs w:val="18"/>
              </w:rPr>
              <w:t>5 </w:t>
            </w:r>
          </w:p>
        </w:tc>
        <w:tc>
          <w:tcPr>
            <w:tcW w:w="0" w:type="auto"/>
            <w:shd w:val="clear" w:color="auto" w:fill="E2EFD9"/>
            <w:tcMar>
              <w:top w:w="40" w:type="dxa"/>
              <w:bottom w:w="40" w:type="dxa"/>
              <w:right w:w="20" w:type="dxa"/>
            </w:tcMar>
            <w:vAlign w:val="bottom"/>
          </w:tcPr>
          <w:p w14:paraId="3693E446"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47" w14:textId="77777777" w:rsidR="003734EC" w:rsidRDefault="003734EC">
            <w:pPr>
              <w:rPr>
                <w:rFonts w:ascii="宋体"/>
              </w:rPr>
            </w:pPr>
          </w:p>
        </w:tc>
        <w:tc>
          <w:tcPr>
            <w:tcW w:w="0" w:type="auto"/>
            <w:shd w:val="clear" w:color="auto" w:fill="auto"/>
            <w:vAlign w:val="center"/>
          </w:tcPr>
          <w:p w14:paraId="3693E448" w14:textId="77777777" w:rsidR="003734EC" w:rsidRDefault="003734EC">
            <w:pPr>
              <w:rPr>
                <w:rFonts w:ascii="宋体"/>
              </w:rPr>
            </w:pPr>
          </w:p>
        </w:tc>
        <w:tc>
          <w:tcPr>
            <w:tcW w:w="0" w:type="auto"/>
            <w:shd w:val="clear" w:color="auto" w:fill="auto"/>
            <w:vAlign w:val="center"/>
          </w:tcPr>
          <w:p w14:paraId="3693E449" w14:textId="77777777" w:rsidR="003734EC" w:rsidRDefault="003734EC">
            <w:pPr>
              <w:rPr>
                <w:rFonts w:ascii="宋体"/>
              </w:rPr>
            </w:pPr>
          </w:p>
        </w:tc>
        <w:tc>
          <w:tcPr>
            <w:tcW w:w="0" w:type="auto"/>
            <w:shd w:val="clear" w:color="auto" w:fill="auto"/>
            <w:vAlign w:val="center"/>
          </w:tcPr>
          <w:p w14:paraId="3693E44A" w14:textId="77777777" w:rsidR="003734EC" w:rsidRDefault="003734EC">
            <w:pPr>
              <w:rPr>
                <w:rFonts w:ascii="宋体"/>
              </w:rPr>
            </w:pPr>
          </w:p>
        </w:tc>
        <w:tc>
          <w:tcPr>
            <w:tcW w:w="0" w:type="auto"/>
            <w:shd w:val="clear" w:color="auto" w:fill="auto"/>
            <w:vAlign w:val="center"/>
          </w:tcPr>
          <w:p w14:paraId="3693E44B" w14:textId="77777777" w:rsidR="003734EC" w:rsidRDefault="003734EC">
            <w:pPr>
              <w:rPr>
                <w:rFonts w:ascii="宋体"/>
              </w:rPr>
            </w:pPr>
          </w:p>
        </w:tc>
        <w:tc>
          <w:tcPr>
            <w:tcW w:w="0" w:type="auto"/>
            <w:shd w:val="clear" w:color="auto" w:fill="auto"/>
            <w:vAlign w:val="center"/>
          </w:tcPr>
          <w:p w14:paraId="3693E44C" w14:textId="77777777" w:rsidR="003734EC" w:rsidRDefault="003734EC">
            <w:pPr>
              <w:rPr>
                <w:rFonts w:ascii="宋体"/>
              </w:rPr>
            </w:pPr>
          </w:p>
        </w:tc>
      </w:tr>
      <w:tr w:rsidR="003734EC" w14:paraId="3693E45A" w14:textId="77777777">
        <w:trPr>
          <w:jc w:val="center"/>
        </w:trPr>
        <w:tc>
          <w:tcPr>
            <w:tcW w:w="0" w:type="auto"/>
            <w:gridSpan w:val="3"/>
            <w:shd w:val="clear" w:color="auto" w:fill="FFFFFF"/>
            <w:tcMar>
              <w:top w:w="40" w:type="dxa"/>
              <w:left w:w="135" w:type="dxa"/>
              <w:bottom w:w="40" w:type="dxa"/>
              <w:right w:w="20" w:type="dxa"/>
            </w:tcMar>
            <w:vAlign w:val="bottom"/>
          </w:tcPr>
          <w:p w14:paraId="3693E44E" w14:textId="77777777" w:rsidR="003734EC" w:rsidRDefault="000E364E">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3693E44F" w14:textId="77777777" w:rsidR="003734EC" w:rsidRDefault="000E364E">
            <w:pPr>
              <w:jc w:val="right"/>
              <w:textAlignment w:val="bottom"/>
            </w:pPr>
            <w:r>
              <w:rPr>
                <w:rFonts w:ascii="sans-serif" w:eastAsia="sans-serif" w:hAnsi="sans-serif" w:cs="sans-serif"/>
                <w:color w:val="000000"/>
                <w:sz w:val="18"/>
                <w:szCs w:val="18"/>
              </w:rPr>
              <w:t>71 </w:t>
            </w:r>
          </w:p>
        </w:tc>
        <w:tc>
          <w:tcPr>
            <w:tcW w:w="0" w:type="auto"/>
            <w:shd w:val="clear" w:color="auto" w:fill="FFFFFF"/>
            <w:tcMar>
              <w:top w:w="40" w:type="dxa"/>
              <w:bottom w:w="40" w:type="dxa"/>
              <w:right w:w="20" w:type="dxa"/>
            </w:tcMar>
            <w:vAlign w:val="bottom"/>
          </w:tcPr>
          <w:p w14:paraId="3693E450"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5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52" w14:textId="77777777" w:rsidR="003734EC" w:rsidRDefault="000E364E">
            <w:pPr>
              <w:jc w:val="right"/>
              <w:textAlignment w:val="bottom"/>
            </w:pPr>
            <w:r>
              <w:rPr>
                <w:rFonts w:ascii="sans-serif" w:eastAsia="sans-serif" w:hAnsi="sans-serif" w:cs="sans-serif"/>
                <w:color w:val="000000"/>
                <w:sz w:val="18"/>
                <w:szCs w:val="18"/>
              </w:rPr>
              <w:t>(123)</w:t>
            </w:r>
          </w:p>
        </w:tc>
        <w:tc>
          <w:tcPr>
            <w:tcW w:w="0" w:type="auto"/>
            <w:shd w:val="clear" w:color="auto" w:fill="FFFFFF"/>
            <w:tcMar>
              <w:top w:w="40" w:type="dxa"/>
              <w:bottom w:w="40" w:type="dxa"/>
              <w:right w:w="20" w:type="dxa"/>
            </w:tcMar>
            <w:vAlign w:val="bottom"/>
          </w:tcPr>
          <w:p w14:paraId="3693E453"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54" w14:textId="77777777" w:rsidR="003734EC" w:rsidRDefault="003734EC">
            <w:pPr>
              <w:rPr>
                <w:rFonts w:ascii="宋体"/>
              </w:rPr>
            </w:pPr>
          </w:p>
        </w:tc>
        <w:tc>
          <w:tcPr>
            <w:tcW w:w="0" w:type="auto"/>
            <w:shd w:val="clear" w:color="auto" w:fill="auto"/>
            <w:vAlign w:val="center"/>
          </w:tcPr>
          <w:p w14:paraId="3693E455" w14:textId="77777777" w:rsidR="003734EC" w:rsidRDefault="003734EC">
            <w:pPr>
              <w:rPr>
                <w:rFonts w:ascii="宋体"/>
              </w:rPr>
            </w:pPr>
          </w:p>
        </w:tc>
        <w:tc>
          <w:tcPr>
            <w:tcW w:w="0" w:type="auto"/>
            <w:shd w:val="clear" w:color="auto" w:fill="auto"/>
            <w:vAlign w:val="center"/>
          </w:tcPr>
          <w:p w14:paraId="3693E456" w14:textId="77777777" w:rsidR="003734EC" w:rsidRDefault="003734EC">
            <w:pPr>
              <w:rPr>
                <w:rFonts w:ascii="宋体"/>
              </w:rPr>
            </w:pPr>
          </w:p>
        </w:tc>
        <w:tc>
          <w:tcPr>
            <w:tcW w:w="0" w:type="auto"/>
            <w:shd w:val="clear" w:color="auto" w:fill="auto"/>
            <w:vAlign w:val="center"/>
          </w:tcPr>
          <w:p w14:paraId="3693E457" w14:textId="77777777" w:rsidR="003734EC" w:rsidRDefault="003734EC">
            <w:pPr>
              <w:rPr>
                <w:rFonts w:ascii="宋体"/>
              </w:rPr>
            </w:pPr>
          </w:p>
        </w:tc>
        <w:tc>
          <w:tcPr>
            <w:tcW w:w="0" w:type="auto"/>
            <w:shd w:val="clear" w:color="auto" w:fill="auto"/>
            <w:vAlign w:val="center"/>
          </w:tcPr>
          <w:p w14:paraId="3693E458" w14:textId="77777777" w:rsidR="003734EC" w:rsidRDefault="003734EC">
            <w:pPr>
              <w:rPr>
                <w:rFonts w:ascii="宋体"/>
              </w:rPr>
            </w:pPr>
          </w:p>
        </w:tc>
        <w:tc>
          <w:tcPr>
            <w:tcW w:w="0" w:type="auto"/>
            <w:shd w:val="clear" w:color="auto" w:fill="auto"/>
            <w:vAlign w:val="center"/>
          </w:tcPr>
          <w:p w14:paraId="3693E459" w14:textId="77777777" w:rsidR="003734EC" w:rsidRDefault="003734EC">
            <w:pPr>
              <w:rPr>
                <w:rFonts w:ascii="宋体"/>
              </w:rPr>
            </w:pPr>
          </w:p>
        </w:tc>
      </w:tr>
      <w:tr w:rsidR="003734EC" w14:paraId="3693E467" w14:textId="77777777">
        <w:trPr>
          <w:jc w:val="center"/>
        </w:trPr>
        <w:tc>
          <w:tcPr>
            <w:tcW w:w="0" w:type="auto"/>
            <w:gridSpan w:val="3"/>
            <w:shd w:val="clear" w:color="auto" w:fill="E2EFD9"/>
            <w:tcMar>
              <w:top w:w="40" w:type="dxa"/>
              <w:left w:w="135" w:type="dxa"/>
              <w:bottom w:w="40" w:type="dxa"/>
              <w:right w:w="20" w:type="dxa"/>
            </w:tcMar>
            <w:vAlign w:val="bottom"/>
          </w:tcPr>
          <w:p w14:paraId="3693E45B" w14:textId="77777777" w:rsidR="003734EC" w:rsidRDefault="000E364E">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3693E45C" w14:textId="77777777" w:rsidR="003734EC" w:rsidRDefault="000E364E">
            <w:pPr>
              <w:jc w:val="right"/>
              <w:textAlignment w:val="bottom"/>
            </w:pPr>
            <w:r>
              <w:rPr>
                <w:rFonts w:ascii="sans-serif" w:eastAsia="sans-serif" w:hAnsi="sans-serif" w:cs="sans-serif"/>
                <w:color w:val="000000"/>
                <w:sz w:val="18"/>
                <w:szCs w:val="18"/>
              </w:rPr>
              <w:t>(32)</w:t>
            </w:r>
          </w:p>
        </w:tc>
        <w:tc>
          <w:tcPr>
            <w:tcW w:w="0" w:type="auto"/>
            <w:shd w:val="clear" w:color="auto" w:fill="E2EFD9"/>
            <w:tcMar>
              <w:top w:w="40" w:type="dxa"/>
              <w:bottom w:w="40" w:type="dxa"/>
              <w:right w:w="20" w:type="dxa"/>
            </w:tcMar>
            <w:vAlign w:val="bottom"/>
          </w:tcPr>
          <w:p w14:paraId="3693E45D"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5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5F" w14:textId="77777777" w:rsidR="003734EC" w:rsidRDefault="000E364E">
            <w:pPr>
              <w:jc w:val="right"/>
              <w:textAlignment w:val="bottom"/>
            </w:pPr>
            <w:r>
              <w:rPr>
                <w:rFonts w:ascii="sans-serif" w:eastAsia="sans-serif" w:hAnsi="sans-serif" w:cs="sans-serif"/>
                <w:color w:val="000000"/>
                <w:sz w:val="18"/>
                <w:szCs w:val="18"/>
              </w:rPr>
              <w:t>(129)</w:t>
            </w:r>
          </w:p>
        </w:tc>
        <w:tc>
          <w:tcPr>
            <w:tcW w:w="0" w:type="auto"/>
            <w:shd w:val="clear" w:color="auto" w:fill="E2EFD9"/>
            <w:tcMar>
              <w:top w:w="40" w:type="dxa"/>
              <w:bottom w:w="40" w:type="dxa"/>
              <w:right w:w="20" w:type="dxa"/>
            </w:tcMar>
            <w:vAlign w:val="bottom"/>
          </w:tcPr>
          <w:p w14:paraId="3693E460"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61" w14:textId="77777777" w:rsidR="003734EC" w:rsidRDefault="003734EC">
            <w:pPr>
              <w:rPr>
                <w:rFonts w:ascii="宋体"/>
              </w:rPr>
            </w:pPr>
          </w:p>
        </w:tc>
        <w:tc>
          <w:tcPr>
            <w:tcW w:w="0" w:type="auto"/>
            <w:shd w:val="clear" w:color="auto" w:fill="auto"/>
            <w:vAlign w:val="center"/>
          </w:tcPr>
          <w:p w14:paraId="3693E462" w14:textId="77777777" w:rsidR="003734EC" w:rsidRDefault="003734EC">
            <w:pPr>
              <w:rPr>
                <w:rFonts w:ascii="宋体"/>
              </w:rPr>
            </w:pPr>
          </w:p>
        </w:tc>
        <w:tc>
          <w:tcPr>
            <w:tcW w:w="0" w:type="auto"/>
            <w:shd w:val="clear" w:color="auto" w:fill="auto"/>
            <w:vAlign w:val="center"/>
          </w:tcPr>
          <w:p w14:paraId="3693E463" w14:textId="77777777" w:rsidR="003734EC" w:rsidRDefault="003734EC">
            <w:pPr>
              <w:rPr>
                <w:rFonts w:ascii="宋体"/>
              </w:rPr>
            </w:pPr>
          </w:p>
        </w:tc>
        <w:tc>
          <w:tcPr>
            <w:tcW w:w="0" w:type="auto"/>
            <w:shd w:val="clear" w:color="auto" w:fill="auto"/>
            <w:vAlign w:val="center"/>
          </w:tcPr>
          <w:p w14:paraId="3693E464" w14:textId="77777777" w:rsidR="003734EC" w:rsidRDefault="003734EC">
            <w:pPr>
              <w:rPr>
                <w:rFonts w:ascii="宋体"/>
              </w:rPr>
            </w:pPr>
          </w:p>
        </w:tc>
        <w:tc>
          <w:tcPr>
            <w:tcW w:w="0" w:type="auto"/>
            <w:shd w:val="clear" w:color="auto" w:fill="auto"/>
            <w:vAlign w:val="center"/>
          </w:tcPr>
          <w:p w14:paraId="3693E465" w14:textId="77777777" w:rsidR="003734EC" w:rsidRDefault="003734EC">
            <w:pPr>
              <w:rPr>
                <w:rFonts w:ascii="宋体"/>
              </w:rPr>
            </w:pPr>
          </w:p>
        </w:tc>
        <w:tc>
          <w:tcPr>
            <w:tcW w:w="0" w:type="auto"/>
            <w:shd w:val="clear" w:color="auto" w:fill="auto"/>
            <w:vAlign w:val="center"/>
          </w:tcPr>
          <w:p w14:paraId="3693E466" w14:textId="77777777" w:rsidR="003734EC" w:rsidRDefault="003734EC">
            <w:pPr>
              <w:rPr>
                <w:rFonts w:ascii="宋体"/>
              </w:rPr>
            </w:pPr>
          </w:p>
        </w:tc>
      </w:tr>
      <w:tr w:rsidR="003734EC" w14:paraId="3693E474" w14:textId="77777777">
        <w:trPr>
          <w:jc w:val="center"/>
        </w:trPr>
        <w:tc>
          <w:tcPr>
            <w:tcW w:w="0" w:type="auto"/>
            <w:gridSpan w:val="3"/>
            <w:shd w:val="clear" w:color="auto" w:fill="FFFFFF"/>
            <w:tcMar>
              <w:top w:w="40" w:type="dxa"/>
              <w:left w:w="135" w:type="dxa"/>
              <w:bottom w:w="40" w:type="dxa"/>
              <w:right w:w="20" w:type="dxa"/>
            </w:tcMar>
            <w:vAlign w:val="bottom"/>
          </w:tcPr>
          <w:p w14:paraId="3693E468" w14:textId="77777777" w:rsidR="003734EC" w:rsidRDefault="000E364E">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3693E469" w14:textId="77777777" w:rsidR="003734EC" w:rsidRDefault="000E364E">
            <w:pPr>
              <w:jc w:val="right"/>
              <w:textAlignment w:val="bottom"/>
            </w:pPr>
            <w:r>
              <w:rPr>
                <w:rFonts w:ascii="sans-serif" w:eastAsia="sans-serif" w:hAnsi="sans-serif" w:cs="sans-serif"/>
                <w:color w:val="000000"/>
                <w:sz w:val="18"/>
                <w:szCs w:val="18"/>
              </w:rPr>
              <w:t>10 </w:t>
            </w:r>
          </w:p>
        </w:tc>
        <w:tc>
          <w:tcPr>
            <w:tcW w:w="0" w:type="auto"/>
            <w:shd w:val="clear" w:color="auto" w:fill="FFFFFF"/>
            <w:tcMar>
              <w:top w:w="40" w:type="dxa"/>
              <w:bottom w:w="40" w:type="dxa"/>
              <w:right w:w="20" w:type="dxa"/>
            </w:tcMar>
            <w:vAlign w:val="bottom"/>
          </w:tcPr>
          <w:p w14:paraId="3693E46A"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6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6C" w14:textId="77777777" w:rsidR="003734EC" w:rsidRDefault="000E364E">
            <w:pPr>
              <w:jc w:val="right"/>
              <w:textAlignment w:val="bottom"/>
            </w:pPr>
            <w:r>
              <w:rPr>
                <w:rFonts w:ascii="sans-serif" w:eastAsia="sans-serif" w:hAnsi="sans-serif" w:cs="sans-serif"/>
                <w:color w:val="000000"/>
                <w:sz w:val="18"/>
                <w:szCs w:val="18"/>
              </w:rPr>
              <w:t>13 </w:t>
            </w:r>
          </w:p>
        </w:tc>
        <w:tc>
          <w:tcPr>
            <w:tcW w:w="0" w:type="auto"/>
            <w:shd w:val="clear" w:color="auto" w:fill="FFFFFF"/>
            <w:tcMar>
              <w:top w:w="40" w:type="dxa"/>
              <w:bottom w:w="40" w:type="dxa"/>
              <w:right w:w="20" w:type="dxa"/>
            </w:tcMar>
            <w:vAlign w:val="bottom"/>
          </w:tcPr>
          <w:p w14:paraId="3693E46D"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6E" w14:textId="77777777" w:rsidR="003734EC" w:rsidRDefault="003734EC">
            <w:pPr>
              <w:rPr>
                <w:rFonts w:ascii="宋体"/>
              </w:rPr>
            </w:pPr>
          </w:p>
        </w:tc>
        <w:tc>
          <w:tcPr>
            <w:tcW w:w="0" w:type="auto"/>
            <w:shd w:val="clear" w:color="auto" w:fill="auto"/>
            <w:vAlign w:val="center"/>
          </w:tcPr>
          <w:p w14:paraId="3693E46F" w14:textId="77777777" w:rsidR="003734EC" w:rsidRDefault="003734EC">
            <w:pPr>
              <w:rPr>
                <w:rFonts w:ascii="宋体"/>
              </w:rPr>
            </w:pPr>
          </w:p>
        </w:tc>
        <w:tc>
          <w:tcPr>
            <w:tcW w:w="0" w:type="auto"/>
            <w:shd w:val="clear" w:color="auto" w:fill="auto"/>
            <w:vAlign w:val="center"/>
          </w:tcPr>
          <w:p w14:paraId="3693E470" w14:textId="77777777" w:rsidR="003734EC" w:rsidRDefault="003734EC">
            <w:pPr>
              <w:rPr>
                <w:rFonts w:ascii="宋体"/>
              </w:rPr>
            </w:pPr>
          </w:p>
        </w:tc>
        <w:tc>
          <w:tcPr>
            <w:tcW w:w="0" w:type="auto"/>
            <w:shd w:val="clear" w:color="auto" w:fill="auto"/>
            <w:vAlign w:val="center"/>
          </w:tcPr>
          <w:p w14:paraId="3693E471" w14:textId="77777777" w:rsidR="003734EC" w:rsidRDefault="003734EC">
            <w:pPr>
              <w:rPr>
                <w:rFonts w:ascii="宋体"/>
              </w:rPr>
            </w:pPr>
          </w:p>
        </w:tc>
        <w:tc>
          <w:tcPr>
            <w:tcW w:w="0" w:type="auto"/>
            <w:shd w:val="clear" w:color="auto" w:fill="auto"/>
            <w:vAlign w:val="center"/>
          </w:tcPr>
          <w:p w14:paraId="3693E472" w14:textId="77777777" w:rsidR="003734EC" w:rsidRDefault="003734EC">
            <w:pPr>
              <w:rPr>
                <w:rFonts w:ascii="宋体"/>
              </w:rPr>
            </w:pPr>
          </w:p>
        </w:tc>
        <w:tc>
          <w:tcPr>
            <w:tcW w:w="0" w:type="auto"/>
            <w:shd w:val="clear" w:color="auto" w:fill="auto"/>
            <w:vAlign w:val="center"/>
          </w:tcPr>
          <w:p w14:paraId="3693E473" w14:textId="77777777" w:rsidR="003734EC" w:rsidRDefault="003734EC">
            <w:pPr>
              <w:rPr>
                <w:rFonts w:ascii="宋体"/>
              </w:rPr>
            </w:pPr>
          </w:p>
        </w:tc>
      </w:tr>
      <w:tr w:rsidR="003734EC" w14:paraId="3693E482" w14:textId="77777777">
        <w:trPr>
          <w:jc w:val="center"/>
        </w:trPr>
        <w:tc>
          <w:tcPr>
            <w:tcW w:w="0" w:type="auto"/>
            <w:gridSpan w:val="2"/>
            <w:shd w:val="clear" w:color="auto" w:fill="E2EFD9"/>
            <w:tcMar>
              <w:top w:w="40" w:type="dxa"/>
              <w:left w:w="20" w:type="dxa"/>
              <w:bottom w:w="40" w:type="dxa"/>
              <w:right w:w="0" w:type="dxa"/>
            </w:tcMar>
            <w:vAlign w:val="bottom"/>
          </w:tcPr>
          <w:p w14:paraId="3693E475" w14:textId="77777777" w:rsidR="003734EC" w:rsidRDefault="000E364E">
            <w:pPr>
              <w:textAlignment w:val="bottom"/>
            </w:pPr>
            <w:r>
              <w:rPr>
                <w:rFonts w:ascii="sans-serif" w:eastAsia="sans-serif" w:hAnsi="sans-serif" w:cs="sans-serif"/>
                <w:color w:val="000000"/>
                <w:sz w:val="18"/>
                <w:szCs w:val="18"/>
              </w:rPr>
              <w:t xml:space="preserve">Net cash provided by operating </w:t>
            </w:r>
            <w:r>
              <w:rPr>
                <w:rFonts w:ascii="sans-serif" w:eastAsia="sans-serif" w:hAnsi="sans-serif" w:cs="sans-serif"/>
                <w:color w:val="000000"/>
                <w:sz w:val="18"/>
                <w:szCs w:val="18"/>
              </w:rPr>
              <w:t>activities </w:t>
            </w:r>
          </w:p>
        </w:tc>
        <w:tc>
          <w:tcPr>
            <w:tcW w:w="0" w:type="auto"/>
            <w:shd w:val="clear" w:color="auto" w:fill="E2EFD9"/>
            <w:tcMar>
              <w:top w:w="40" w:type="dxa"/>
              <w:bottom w:w="40" w:type="dxa"/>
              <w:right w:w="20" w:type="dxa"/>
            </w:tcMar>
            <w:vAlign w:val="bottom"/>
          </w:tcPr>
          <w:p w14:paraId="3693E476"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477" w14:textId="77777777" w:rsidR="003734EC" w:rsidRDefault="000E364E">
            <w:pPr>
              <w:jc w:val="right"/>
              <w:textAlignment w:val="bottom"/>
            </w:pPr>
            <w:r>
              <w:rPr>
                <w:rFonts w:ascii="sans-serif" w:eastAsia="sans-serif" w:hAnsi="sans-serif" w:cs="sans-serif"/>
                <w:color w:val="000000"/>
                <w:sz w:val="18"/>
                <w:szCs w:val="18"/>
              </w:rPr>
              <w:t>909 </w:t>
            </w:r>
          </w:p>
        </w:tc>
        <w:tc>
          <w:tcPr>
            <w:tcW w:w="0" w:type="auto"/>
            <w:tcBorders>
              <w:top w:val="single" w:sz="8" w:space="0" w:color="000000"/>
            </w:tcBorders>
            <w:shd w:val="clear" w:color="auto" w:fill="E2EFD9"/>
            <w:tcMar>
              <w:top w:w="40" w:type="dxa"/>
              <w:bottom w:w="40" w:type="dxa"/>
              <w:right w:w="20" w:type="dxa"/>
            </w:tcMar>
            <w:vAlign w:val="bottom"/>
          </w:tcPr>
          <w:p w14:paraId="3693E478"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79"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47A" w14:textId="77777777" w:rsidR="003734EC" w:rsidRDefault="000E364E">
            <w:pPr>
              <w:jc w:val="right"/>
              <w:textAlignment w:val="bottom"/>
            </w:pPr>
            <w:r>
              <w:rPr>
                <w:rFonts w:ascii="sans-serif" w:eastAsia="sans-serif" w:hAnsi="sans-serif" w:cs="sans-serif"/>
                <w:color w:val="000000"/>
                <w:sz w:val="18"/>
                <w:szCs w:val="18"/>
              </w:rPr>
              <w:t>720 </w:t>
            </w:r>
          </w:p>
        </w:tc>
        <w:tc>
          <w:tcPr>
            <w:tcW w:w="0" w:type="auto"/>
            <w:tcBorders>
              <w:top w:val="single" w:sz="8" w:space="0" w:color="000000"/>
            </w:tcBorders>
            <w:shd w:val="clear" w:color="auto" w:fill="E2EFD9"/>
            <w:tcMar>
              <w:top w:w="40" w:type="dxa"/>
              <w:bottom w:w="40" w:type="dxa"/>
              <w:right w:w="20" w:type="dxa"/>
            </w:tcMar>
            <w:vAlign w:val="bottom"/>
          </w:tcPr>
          <w:p w14:paraId="3693E47B"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7C" w14:textId="77777777" w:rsidR="003734EC" w:rsidRDefault="003734EC">
            <w:pPr>
              <w:rPr>
                <w:rFonts w:ascii="宋体"/>
              </w:rPr>
            </w:pPr>
          </w:p>
        </w:tc>
        <w:tc>
          <w:tcPr>
            <w:tcW w:w="0" w:type="auto"/>
            <w:shd w:val="clear" w:color="auto" w:fill="auto"/>
            <w:vAlign w:val="center"/>
          </w:tcPr>
          <w:p w14:paraId="3693E47D" w14:textId="77777777" w:rsidR="003734EC" w:rsidRDefault="003734EC">
            <w:pPr>
              <w:rPr>
                <w:rFonts w:ascii="宋体"/>
              </w:rPr>
            </w:pPr>
          </w:p>
        </w:tc>
        <w:tc>
          <w:tcPr>
            <w:tcW w:w="0" w:type="auto"/>
            <w:shd w:val="clear" w:color="auto" w:fill="auto"/>
            <w:vAlign w:val="center"/>
          </w:tcPr>
          <w:p w14:paraId="3693E47E" w14:textId="77777777" w:rsidR="003734EC" w:rsidRDefault="003734EC">
            <w:pPr>
              <w:rPr>
                <w:rFonts w:ascii="宋体"/>
              </w:rPr>
            </w:pPr>
          </w:p>
        </w:tc>
        <w:tc>
          <w:tcPr>
            <w:tcW w:w="0" w:type="auto"/>
            <w:shd w:val="clear" w:color="auto" w:fill="auto"/>
            <w:vAlign w:val="center"/>
          </w:tcPr>
          <w:p w14:paraId="3693E47F" w14:textId="77777777" w:rsidR="003734EC" w:rsidRDefault="003734EC">
            <w:pPr>
              <w:rPr>
                <w:rFonts w:ascii="宋体"/>
              </w:rPr>
            </w:pPr>
          </w:p>
        </w:tc>
        <w:tc>
          <w:tcPr>
            <w:tcW w:w="0" w:type="auto"/>
            <w:shd w:val="clear" w:color="auto" w:fill="auto"/>
            <w:vAlign w:val="center"/>
          </w:tcPr>
          <w:p w14:paraId="3693E480" w14:textId="77777777" w:rsidR="003734EC" w:rsidRDefault="003734EC">
            <w:pPr>
              <w:rPr>
                <w:rFonts w:ascii="宋体"/>
              </w:rPr>
            </w:pPr>
          </w:p>
        </w:tc>
        <w:tc>
          <w:tcPr>
            <w:tcW w:w="0" w:type="auto"/>
            <w:shd w:val="clear" w:color="auto" w:fill="auto"/>
            <w:vAlign w:val="center"/>
          </w:tcPr>
          <w:p w14:paraId="3693E481" w14:textId="77777777" w:rsidR="003734EC" w:rsidRDefault="003734EC">
            <w:pPr>
              <w:rPr>
                <w:rFonts w:ascii="宋体"/>
              </w:rPr>
            </w:pPr>
          </w:p>
        </w:tc>
      </w:tr>
      <w:tr w:rsidR="003734EC" w14:paraId="3693E48D" w14:textId="77777777">
        <w:trPr>
          <w:jc w:val="center"/>
        </w:trPr>
        <w:tc>
          <w:tcPr>
            <w:tcW w:w="0" w:type="auto"/>
            <w:gridSpan w:val="3"/>
            <w:shd w:val="clear" w:color="auto" w:fill="FFFFFF"/>
            <w:tcMar>
              <w:top w:w="40" w:type="dxa"/>
              <w:left w:w="20" w:type="dxa"/>
              <w:bottom w:w="40" w:type="dxa"/>
              <w:right w:w="20" w:type="dxa"/>
            </w:tcMar>
            <w:vAlign w:val="bottom"/>
          </w:tcPr>
          <w:p w14:paraId="3693E483" w14:textId="77777777" w:rsidR="003734EC" w:rsidRDefault="000E364E">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93E484"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85" w14:textId="77777777" w:rsidR="003734EC" w:rsidRDefault="003734E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93E486" w14:textId="77777777" w:rsidR="003734EC" w:rsidRDefault="000E364E">
            <w:pPr>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87" w14:textId="77777777" w:rsidR="003734EC" w:rsidRDefault="003734EC">
            <w:pPr>
              <w:rPr>
                <w:rFonts w:ascii="宋体"/>
              </w:rPr>
            </w:pPr>
          </w:p>
        </w:tc>
        <w:tc>
          <w:tcPr>
            <w:tcW w:w="0" w:type="auto"/>
            <w:shd w:val="clear" w:color="auto" w:fill="auto"/>
            <w:vAlign w:val="center"/>
          </w:tcPr>
          <w:p w14:paraId="3693E488" w14:textId="77777777" w:rsidR="003734EC" w:rsidRDefault="003734EC">
            <w:pPr>
              <w:rPr>
                <w:rFonts w:ascii="宋体"/>
              </w:rPr>
            </w:pPr>
          </w:p>
        </w:tc>
        <w:tc>
          <w:tcPr>
            <w:tcW w:w="0" w:type="auto"/>
            <w:shd w:val="clear" w:color="auto" w:fill="auto"/>
            <w:vAlign w:val="center"/>
          </w:tcPr>
          <w:p w14:paraId="3693E489" w14:textId="77777777" w:rsidR="003734EC" w:rsidRDefault="003734EC">
            <w:pPr>
              <w:rPr>
                <w:rFonts w:ascii="宋体"/>
              </w:rPr>
            </w:pPr>
          </w:p>
        </w:tc>
        <w:tc>
          <w:tcPr>
            <w:tcW w:w="0" w:type="auto"/>
            <w:shd w:val="clear" w:color="auto" w:fill="auto"/>
            <w:vAlign w:val="center"/>
          </w:tcPr>
          <w:p w14:paraId="3693E48A" w14:textId="77777777" w:rsidR="003734EC" w:rsidRDefault="003734EC">
            <w:pPr>
              <w:rPr>
                <w:rFonts w:ascii="宋体"/>
              </w:rPr>
            </w:pPr>
          </w:p>
        </w:tc>
        <w:tc>
          <w:tcPr>
            <w:tcW w:w="0" w:type="auto"/>
            <w:shd w:val="clear" w:color="auto" w:fill="auto"/>
            <w:vAlign w:val="center"/>
          </w:tcPr>
          <w:p w14:paraId="3693E48B" w14:textId="77777777" w:rsidR="003734EC" w:rsidRDefault="003734EC">
            <w:pPr>
              <w:rPr>
                <w:rFonts w:ascii="宋体"/>
              </w:rPr>
            </w:pPr>
          </w:p>
        </w:tc>
        <w:tc>
          <w:tcPr>
            <w:tcW w:w="0" w:type="auto"/>
            <w:shd w:val="clear" w:color="auto" w:fill="auto"/>
            <w:vAlign w:val="center"/>
          </w:tcPr>
          <w:p w14:paraId="3693E48C" w14:textId="77777777" w:rsidR="003734EC" w:rsidRDefault="003734EC">
            <w:pPr>
              <w:rPr>
                <w:rFonts w:ascii="宋体"/>
              </w:rPr>
            </w:pPr>
          </w:p>
        </w:tc>
      </w:tr>
      <w:tr w:rsidR="003734EC" w14:paraId="3693E49A" w14:textId="77777777">
        <w:trPr>
          <w:jc w:val="center"/>
        </w:trPr>
        <w:tc>
          <w:tcPr>
            <w:tcW w:w="0" w:type="auto"/>
            <w:gridSpan w:val="3"/>
            <w:shd w:val="clear" w:color="auto" w:fill="E2EFD9"/>
            <w:tcMar>
              <w:top w:w="40" w:type="dxa"/>
              <w:left w:w="135" w:type="dxa"/>
              <w:bottom w:w="40" w:type="dxa"/>
              <w:right w:w="20" w:type="dxa"/>
            </w:tcMar>
            <w:vAlign w:val="bottom"/>
          </w:tcPr>
          <w:p w14:paraId="3693E48E" w14:textId="77777777" w:rsidR="003734EC" w:rsidRDefault="000E364E">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E2EFD9"/>
            <w:tcMar>
              <w:top w:w="40" w:type="dxa"/>
              <w:left w:w="20" w:type="dxa"/>
              <w:bottom w:w="40" w:type="dxa"/>
              <w:right w:w="0" w:type="dxa"/>
            </w:tcMar>
            <w:vAlign w:val="bottom"/>
          </w:tcPr>
          <w:p w14:paraId="3693E48F" w14:textId="77777777" w:rsidR="003734EC" w:rsidRDefault="000E364E">
            <w:pPr>
              <w:jc w:val="right"/>
              <w:textAlignment w:val="bottom"/>
            </w:pPr>
            <w:r>
              <w:rPr>
                <w:rFonts w:ascii="sans-serif" w:eastAsia="sans-serif" w:hAnsi="sans-serif" w:cs="sans-serif"/>
                <w:color w:val="000000"/>
                <w:sz w:val="18"/>
                <w:szCs w:val="18"/>
              </w:rPr>
              <w:t>1 </w:t>
            </w:r>
          </w:p>
        </w:tc>
        <w:tc>
          <w:tcPr>
            <w:tcW w:w="0" w:type="auto"/>
            <w:shd w:val="clear" w:color="auto" w:fill="E2EFD9"/>
            <w:tcMar>
              <w:top w:w="40" w:type="dxa"/>
              <w:bottom w:w="40" w:type="dxa"/>
              <w:right w:w="20" w:type="dxa"/>
            </w:tcMar>
            <w:vAlign w:val="bottom"/>
          </w:tcPr>
          <w:p w14:paraId="3693E490"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9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92" w14:textId="77777777" w:rsidR="003734EC" w:rsidRDefault="000E364E">
            <w:pPr>
              <w:jc w:val="right"/>
              <w:textAlignment w:val="bottom"/>
            </w:pPr>
            <w:r>
              <w:rPr>
                <w:rFonts w:ascii="sans-serif" w:eastAsia="sans-serif" w:hAnsi="sans-serif" w:cs="sans-serif"/>
                <w:color w:val="000000"/>
                <w:sz w:val="18"/>
                <w:szCs w:val="18"/>
              </w:rPr>
              <w:t>26 </w:t>
            </w:r>
          </w:p>
        </w:tc>
        <w:tc>
          <w:tcPr>
            <w:tcW w:w="0" w:type="auto"/>
            <w:shd w:val="clear" w:color="auto" w:fill="E2EFD9"/>
            <w:tcMar>
              <w:top w:w="40" w:type="dxa"/>
              <w:bottom w:w="40" w:type="dxa"/>
              <w:right w:w="20" w:type="dxa"/>
            </w:tcMar>
            <w:vAlign w:val="bottom"/>
          </w:tcPr>
          <w:p w14:paraId="3693E493"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94" w14:textId="77777777" w:rsidR="003734EC" w:rsidRDefault="003734EC">
            <w:pPr>
              <w:rPr>
                <w:rFonts w:ascii="宋体"/>
              </w:rPr>
            </w:pPr>
          </w:p>
        </w:tc>
        <w:tc>
          <w:tcPr>
            <w:tcW w:w="0" w:type="auto"/>
            <w:shd w:val="clear" w:color="auto" w:fill="auto"/>
            <w:vAlign w:val="center"/>
          </w:tcPr>
          <w:p w14:paraId="3693E495" w14:textId="77777777" w:rsidR="003734EC" w:rsidRDefault="003734EC">
            <w:pPr>
              <w:rPr>
                <w:rFonts w:ascii="宋体"/>
              </w:rPr>
            </w:pPr>
          </w:p>
        </w:tc>
        <w:tc>
          <w:tcPr>
            <w:tcW w:w="0" w:type="auto"/>
            <w:shd w:val="clear" w:color="auto" w:fill="auto"/>
            <w:vAlign w:val="center"/>
          </w:tcPr>
          <w:p w14:paraId="3693E496" w14:textId="77777777" w:rsidR="003734EC" w:rsidRDefault="003734EC">
            <w:pPr>
              <w:rPr>
                <w:rFonts w:ascii="宋体"/>
              </w:rPr>
            </w:pPr>
          </w:p>
        </w:tc>
        <w:tc>
          <w:tcPr>
            <w:tcW w:w="0" w:type="auto"/>
            <w:shd w:val="clear" w:color="auto" w:fill="auto"/>
            <w:vAlign w:val="center"/>
          </w:tcPr>
          <w:p w14:paraId="3693E497" w14:textId="77777777" w:rsidR="003734EC" w:rsidRDefault="003734EC">
            <w:pPr>
              <w:rPr>
                <w:rFonts w:ascii="宋体"/>
              </w:rPr>
            </w:pPr>
          </w:p>
        </w:tc>
        <w:tc>
          <w:tcPr>
            <w:tcW w:w="0" w:type="auto"/>
            <w:shd w:val="clear" w:color="auto" w:fill="auto"/>
            <w:vAlign w:val="center"/>
          </w:tcPr>
          <w:p w14:paraId="3693E498" w14:textId="77777777" w:rsidR="003734EC" w:rsidRDefault="003734EC">
            <w:pPr>
              <w:rPr>
                <w:rFonts w:ascii="宋体"/>
              </w:rPr>
            </w:pPr>
          </w:p>
        </w:tc>
        <w:tc>
          <w:tcPr>
            <w:tcW w:w="0" w:type="auto"/>
            <w:shd w:val="clear" w:color="auto" w:fill="auto"/>
            <w:vAlign w:val="center"/>
          </w:tcPr>
          <w:p w14:paraId="3693E499" w14:textId="77777777" w:rsidR="003734EC" w:rsidRDefault="003734EC">
            <w:pPr>
              <w:rPr>
                <w:rFonts w:ascii="宋体"/>
              </w:rPr>
            </w:pPr>
          </w:p>
        </w:tc>
      </w:tr>
      <w:tr w:rsidR="003734EC" w14:paraId="3693E4A7" w14:textId="77777777">
        <w:trPr>
          <w:jc w:val="center"/>
        </w:trPr>
        <w:tc>
          <w:tcPr>
            <w:tcW w:w="0" w:type="auto"/>
            <w:gridSpan w:val="3"/>
            <w:shd w:val="clear" w:color="auto" w:fill="FFFFFF"/>
            <w:tcMar>
              <w:top w:w="40" w:type="dxa"/>
              <w:left w:w="135" w:type="dxa"/>
              <w:bottom w:w="40" w:type="dxa"/>
              <w:right w:w="20" w:type="dxa"/>
            </w:tcMar>
            <w:vAlign w:val="bottom"/>
          </w:tcPr>
          <w:p w14:paraId="3693E49B" w14:textId="77777777" w:rsidR="003734EC" w:rsidRDefault="000E364E">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FFFFFF"/>
            <w:tcMar>
              <w:top w:w="40" w:type="dxa"/>
              <w:left w:w="20" w:type="dxa"/>
              <w:bottom w:w="40" w:type="dxa"/>
              <w:right w:w="0" w:type="dxa"/>
            </w:tcMar>
            <w:vAlign w:val="bottom"/>
          </w:tcPr>
          <w:p w14:paraId="3693E49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bottom w:w="40" w:type="dxa"/>
              <w:right w:w="20" w:type="dxa"/>
            </w:tcMar>
            <w:vAlign w:val="bottom"/>
          </w:tcPr>
          <w:p w14:paraId="3693E49D"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9E"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9F" w14:textId="77777777" w:rsidR="003734EC" w:rsidRDefault="000E364E">
            <w:pPr>
              <w:jc w:val="right"/>
              <w:textAlignment w:val="bottom"/>
            </w:pPr>
            <w:r>
              <w:rPr>
                <w:rFonts w:ascii="sans-serif" w:eastAsia="sans-serif" w:hAnsi="sans-serif" w:cs="sans-serif"/>
                <w:color w:val="000000"/>
                <w:sz w:val="18"/>
                <w:szCs w:val="18"/>
              </w:rPr>
              <w:t>2,219 </w:t>
            </w:r>
          </w:p>
        </w:tc>
        <w:tc>
          <w:tcPr>
            <w:tcW w:w="0" w:type="auto"/>
            <w:shd w:val="clear" w:color="auto" w:fill="FFFFFF"/>
            <w:tcMar>
              <w:top w:w="40" w:type="dxa"/>
              <w:bottom w:w="40" w:type="dxa"/>
              <w:right w:w="20" w:type="dxa"/>
            </w:tcMar>
            <w:vAlign w:val="bottom"/>
          </w:tcPr>
          <w:p w14:paraId="3693E4A0"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A1" w14:textId="77777777" w:rsidR="003734EC" w:rsidRDefault="003734EC">
            <w:pPr>
              <w:rPr>
                <w:rFonts w:ascii="宋体"/>
              </w:rPr>
            </w:pPr>
          </w:p>
        </w:tc>
        <w:tc>
          <w:tcPr>
            <w:tcW w:w="0" w:type="auto"/>
            <w:shd w:val="clear" w:color="auto" w:fill="auto"/>
            <w:vAlign w:val="center"/>
          </w:tcPr>
          <w:p w14:paraId="3693E4A2" w14:textId="77777777" w:rsidR="003734EC" w:rsidRDefault="003734EC">
            <w:pPr>
              <w:rPr>
                <w:rFonts w:ascii="宋体"/>
              </w:rPr>
            </w:pPr>
          </w:p>
        </w:tc>
        <w:tc>
          <w:tcPr>
            <w:tcW w:w="0" w:type="auto"/>
            <w:shd w:val="clear" w:color="auto" w:fill="auto"/>
            <w:vAlign w:val="center"/>
          </w:tcPr>
          <w:p w14:paraId="3693E4A3" w14:textId="77777777" w:rsidR="003734EC" w:rsidRDefault="003734EC">
            <w:pPr>
              <w:rPr>
                <w:rFonts w:ascii="宋体"/>
              </w:rPr>
            </w:pPr>
          </w:p>
        </w:tc>
        <w:tc>
          <w:tcPr>
            <w:tcW w:w="0" w:type="auto"/>
            <w:shd w:val="clear" w:color="auto" w:fill="auto"/>
            <w:vAlign w:val="center"/>
          </w:tcPr>
          <w:p w14:paraId="3693E4A4" w14:textId="77777777" w:rsidR="003734EC" w:rsidRDefault="003734EC">
            <w:pPr>
              <w:rPr>
                <w:rFonts w:ascii="宋体"/>
              </w:rPr>
            </w:pPr>
          </w:p>
        </w:tc>
        <w:tc>
          <w:tcPr>
            <w:tcW w:w="0" w:type="auto"/>
            <w:shd w:val="clear" w:color="auto" w:fill="auto"/>
            <w:vAlign w:val="center"/>
          </w:tcPr>
          <w:p w14:paraId="3693E4A5" w14:textId="77777777" w:rsidR="003734EC" w:rsidRDefault="003734EC">
            <w:pPr>
              <w:rPr>
                <w:rFonts w:ascii="宋体"/>
              </w:rPr>
            </w:pPr>
          </w:p>
        </w:tc>
        <w:tc>
          <w:tcPr>
            <w:tcW w:w="0" w:type="auto"/>
            <w:shd w:val="clear" w:color="auto" w:fill="auto"/>
            <w:vAlign w:val="center"/>
          </w:tcPr>
          <w:p w14:paraId="3693E4A6" w14:textId="77777777" w:rsidR="003734EC" w:rsidRDefault="003734EC">
            <w:pPr>
              <w:rPr>
                <w:rFonts w:ascii="宋体"/>
              </w:rPr>
            </w:pPr>
          </w:p>
        </w:tc>
      </w:tr>
      <w:tr w:rsidR="003734EC" w14:paraId="3693E4B2" w14:textId="77777777">
        <w:trPr>
          <w:jc w:val="center"/>
          <w:hidden/>
        </w:trPr>
        <w:tc>
          <w:tcPr>
            <w:tcW w:w="0" w:type="auto"/>
            <w:gridSpan w:val="3"/>
            <w:shd w:val="clear" w:color="auto" w:fill="auto"/>
            <w:vAlign w:val="center"/>
          </w:tcPr>
          <w:p w14:paraId="3693E4A8" w14:textId="77777777" w:rsidR="003734EC" w:rsidRDefault="003734EC">
            <w:pPr>
              <w:rPr>
                <w:rFonts w:ascii="宋体"/>
                <w:vanish/>
              </w:rPr>
            </w:pPr>
          </w:p>
        </w:tc>
        <w:tc>
          <w:tcPr>
            <w:tcW w:w="0" w:type="auto"/>
            <w:gridSpan w:val="3"/>
            <w:shd w:val="clear" w:color="auto" w:fill="auto"/>
            <w:vAlign w:val="center"/>
          </w:tcPr>
          <w:p w14:paraId="3693E4A9" w14:textId="77777777" w:rsidR="003734EC" w:rsidRDefault="003734EC">
            <w:pPr>
              <w:rPr>
                <w:rFonts w:ascii="宋体"/>
                <w:vanish/>
              </w:rPr>
            </w:pPr>
          </w:p>
        </w:tc>
        <w:tc>
          <w:tcPr>
            <w:tcW w:w="0" w:type="auto"/>
            <w:gridSpan w:val="3"/>
            <w:shd w:val="clear" w:color="auto" w:fill="auto"/>
            <w:vAlign w:val="center"/>
          </w:tcPr>
          <w:p w14:paraId="3693E4AA" w14:textId="77777777" w:rsidR="003734EC" w:rsidRDefault="003734EC">
            <w:pPr>
              <w:rPr>
                <w:rFonts w:ascii="宋体"/>
                <w:vanish/>
              </w:rPr>
            </w:pPr>
          </w:p>
        </w:tc>
        <w:tc>
          <w:tcPr>
            <w:tcW w:w="0" w:type="auto"/>
            <w:gridSpan w:val="3"/>
            <w:shd w:val="clear" w:color="auto" w:fill="auto"/>
            <w:vAlign w:val="center"/>
          </w:tcPr>
          <w:p w14:paraId="3693E4AB" w14:textId="77777777" w:rsidR="003734EC" w:rsidRDefault="003734EC">
            <w:pPr>
              <w:rPr>
                <w:rFonts w:ascii="宋体"/>
                <w:vanish/>
              </w:rPr>
            </w:pPr>
          </w:p>
        </w:tc>
        <w:tc>
          <w:tcPr>
            <w:tcW w:w="0" w:type="auto"/>
            <w:shd w:val="clear" w:color="auto" w:fill="auto"/>
            <w:vAlign w:val="center"/>
          </w:tcPr>
          <w:p w14:paraId="3693E4AC" w14:textId="77777777" w:rsidR="003734EC" w:rsidRDefault="003734EC">
            <w:pPr>
              <w:rPr>
                <w:rFonts w:ascii="宋体"/>
              </w:rPr>
            </w:pPr>
          </w:p>
        </w:tc>
        <w:tc>
          <w:tcPr>
            <w:tcW w:w="0" w:type="auto"/>
            <w:shd w:val="clear" w:color="auto" w:fill="auto"/>
            <w:vAlign w:val="center"/>
          </w:tcPr>
          <w:p w14:paraId="3693E4AD" w14:textId="77777777" w:rsidR="003734EC" w:rsidRDefault="003734EC">
            <w:pPr>
              <w:rPr>
                <w:rFonts w:ascii="宋体"/>
              </w:rPr>
            </w:pPr>
          </w:p>
        </w:tc>
        <w:tc>
          <w:tcPr>
            <w:tcW w:w="0" w:type="auto"/>
            <w:shd w:val="clear" w:color="auto" w:fill="auto"/>
            <w:vAlign w:val="center"/>
          </w:tcPr>
          <w:p w14:paraId="3693E4AE" w14:textId="77777777" w:rsidR="003734EC" w:rsidRDefault="003734EC">
            <w:pPr>
              <w:rPr>
                <w:rFonts w:ascii="宋体"/>
              </w:rPr>
            </w:pPr>
          </w:p>
        </w:tc>
        <w:tc>
          <w:tcPr>
            <w:tcW w:w="0" w:type="auto"/>
            <w:shd w:val="clear" w:color="auto" w:fill="auto"/>
            <w:vAlign w:val="center"/>
          </w:tcPr>
          <w:p w14:paraId="3693E4AF" w14:textId="77777777" w:rsidR="003734EC" w:rsidRDefault="003734EC">
            <w:pPr>
              <w:rPr>
                <w:rFonts w:ascii="宋体"/>
              </w:rPr>
            </w:pPr>
          </w:p>
        </w:tc>
        <w:tc>
          <w:tcPr>
            <w:tcW w:w="0" w:type="auto"/>
            <w:shd w:val="clear" w:color="auto" w:fill="auto"/>
            <w:vAlign w:val="center"/>
          </w:tcPr>
          <w:p w14:paraId="3693E4B0" w14:textId="77777777" w:rsidR="003734EC" w:rsidRDefault="003734EC">
            <w:pPr>
              <w:rPr>
                <w:rFonts w:ascii="宋体"/>
              </w:rPr>
            </w:pPr>
          </w:p>
        </w:tc>
        <w:tc>
          <w:tcPr>
            <w:tcW w:w="0" w:type="auto"/>
            <w:shd w:val="clear" w:color="auto" w:fill="auto"/>
            <w:vAlign w:val="center"/>
          </w:tcPr>
          <w:p w14:paraId="3693E4B1" w14:textId="77777777" w:rsidR="003734EC" w:rsidRDefault="003734EC">
            <w:pPr>
              <w:rPr>
                <w:rFonts w:ascii="宋体"/>
              </w:rPr>
            </w:pPr>
          </w:p>
        </w:tc>
      </w:tr>
      <w:tr w:rsidR="003734EC" w14:paraId="3693E4BF" w14:textId="77777777">
        <w:trPr>
          <w:jc w:val="center"/>
        </w:trPr>
        <w:tc>
          <w:tcPr>
            <w:tcW w:w="0" w:type="auto"/>
            <w:gridSpan w:val="3"/>
            <w:shd w:val="clear" w:color="auto" w:fill="E2EFD9"/>
            <w:tcMar>
              <w:top w:w="40" w:type="dxa"/>
              <w:left w:w="135" w:type="dxa"/>
              <w:bottom w:w="40" w:type="dxa"/>
              <w:right w:w="20" w:type="dxa"/>
            </w:tcMar>
            <w:vAlign w:val="bottom"/>
          </w:tcPr>
          <w:p w14:paraId="3693E4B3" w14:textId="77777777" w:rsidR="003734EC" w:rsidRDefault="000E364E">
            <w:pPr>
              <w:textAlignment w:val="bottom"/>
            </w:pPr>
            <w:r>
              <w:rPr>
                <w:rFonts w:ascii="sans-serif" w:eastAsia="sans-serif" w:hAnsi="sans-serif" w:cs="sans-serif"/>
                <w:color w:val="000000"/>
                <w:sz w:val="18"/>
                <w:szCs w:val="18"/>
              </w:rPr>
              <w:t xml:space="preserve">Purchases of </w:t>
            </w:r>
            <w:r>
              <w:rPr>
                <w:rFonts w:ascii="sans-serif" w:eastAsia="sans-serif" w:hAnsi="sans-serif" w:cs="sans-serif"/>
                <w:color w:val="000000"/>
                <w:sz w:val="18"/>
                <w:szCs w:val="18"/>
              </w:rPr>
              <w:t>marketable securities</w:t>
            </w:r>
          </w:p>
        </w:tc>
        <w:tc>
          <w:tcPr>
            <w:tcW w:w="0" w:type="auto"/>
            <w:gridSpan w:val="2"/>
            <w:shd w:val="clear" w:color="auto" w:fill="E2EFD9"/>
            <w:tcMar>
              <w:top w:w="40" w:type="dxa"/>
              <w:left w:w="20" w:type="dxa"/>
              <w:bottom w:w="40" w:type="dxa"/>
              <w:right w:w="0" w:type="dxa"/>
            </w:tcMar>
            <w:vAlign w:val="bottom"/>
          </w:tcPr>
          <w:p w14:paraId="3693E4B4" w14:textId="77777777" w:rsidR="003734EC" w:rsidRDefault="000E364E">
            <w:pPr>
              <w:jc w:val="right"/>
              <w:textAlignment w:val="bottom"/>
            </w:pPr>
            <w:r>
              <w:rPr>
                <w:rFonts w:ascii="sans-serif" w:eastAsia="sans-serif" w:hAnsi="sans-serif" w:cs="sans-serif"/>
                <w:color w:val="000000"/>
                <w:sz w:val="18"/>
                <w:szCs w:val="18"/>
              </w:rPr>
              <w:t>(861)</w:t>
            </w:r>
          </w:p>
        </w:tc>
        <w:tc>
          <w:tcPr>
            <w:tcW w:w="0" w:type="auto"/>
            <w:shd w:val="clear" w:color="auto" w:fill="E2EFD9"/>
            <w:tcMar>
              <w:top w:w="40" w:type="dxa"/>
              <w:bottom w:w="40" w:type="dxa"/>
              <w:right w:w="20" w:type="dxa"/>
            </w:tcMar>
            <w:vAlign w:val="bottom"/>
          </w:tcPr>
          <w:p w14:paraId="3693E4B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B6"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B7" w14:textId="77777777" w:rsidR="003734EC" w:rsidRDefault="000E364E">
            <w:pPr>
              <w:jc w:val="right"/>
              <w:textAlignment w:val="bottom"/>
            </w:pPr>
            <w:r>
              <w:rPr>
                <w:rFonts w:ascii="sans-serif" w:eastAsia="sans-serif" w:hAnsi="sans-serif" w:cs="sans-serif"/>
                <w:color w:val="000000"/>
                <w:sz w:val="18"/>
                <w:szCs w:val="18"/>
              </w:rPr>
              <w:t>(622)</w:t>
            </w:r>
          </w:p>
        </w:tc>
        <w:tc>
          <w:tcPr>
            <w:tcW w:w="0" w:type="auto"/>
            <w:shd w:val="clear" w:color="auto" w:fill="E2EFD9"/>
            <w:tcMar>
              <w:top w:w="40" w:type="dxa"/>
              <w:bottom w:w="40" w:type="dxa"/>
              <w:right w:w="20" w:type="dxa"/>
            </w:tcMar>
            <w:vAlign w:val="bottom"/>
          </w:tcPr>
          <w:p w14:paraId="3693E4B8"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B9" w14:textId="77777777" w:rsidR="003734EC" w:rsidRDefault="003734EC">
            <w:pPr>
              <w:rPr>
                <w:rFonts w:ascii="宋体"/>
              </w:rPr>
            </w:pPr>
          </w:p>
        </w:tc>
        <w:tc>
          <w:tcPr>
            <w:tcW w:w="0" w:type="auto"/>
            <w:shd w:val="clear" w:color="auto" w:fill="auto"/>
            <w:vAlign w:val="center"/>
          </w:tcPr>
          <w:p w14:paraId="3693E4BA" w14:textId="77777777" w:rsidR="003734EC" w:rsidRDefault="003734EC">
            <w:pPr>
              <w:rPr>
                <w:rFonts w:ascii="宋体"/>
              </w:rPr>
            </w:pPr>
          </w:p>
        </w:tc>
        <w:tc>
          <w:tcPr>
            <w:tcW w:w="0" w:type="auto"/>
            <w:shd w:val="clear" w:color="auto" w:fill="auto"/>
            <w:vAlign w:val="center"/>
          </w:tcPr>
          <w:p w14:paraId="3693E4BB" w14:textId="77777777" w:rsidR="003734EC" w:rsidRDefault="003734EC">
            <w:pPr>
              <w:rPr>
                <w:rFonts w:ascii="宋体"/>
              </w:rPr>
            </w:pPr>
          </w:p>
        </w:tc>
        <w:tc>
          <w:tcPr>
            <w:tcW w:w="0" w:type="auto"/>
            <w:shd w:val="clear" w:color="auto" w:fill="auto"/>
            <w:vAlign w:val="center"/>
          </w:tcPr>
          <w:p w14:paraId="3693E4BC" w14:textId="77777777" w:rsidR="003734EC" w:rsidRDefault="003734EC">
            <w:pPr>
              <w:rPr>
                <w:rFonts w:ascii="宋体"/>
              </w:rPr>
            </w:pPr>
          </w:p>
        </w:tc>
        <w:tc>
          <w:tcPr>
            <w:tcW w:w="0" w:type="auto"/>
            <w:shd w:val="clear" w:color="auto" w:fill="auto"/>
            <w:vAlign w:val="center"/>
          </w:tcPr>
          <w:p w14:paraId="3693E4BD" w14:textId="77777777" w:rsidR="003734EC" w:rsidRDefault="003734EC">
            <w:pPr>
              <w:rPr>
                <w:rFonts w:ascii="宋体"/>
              </w:rPr>
            </w:pPr>
          </w:p>
        </w:tc>
        <w:tc>
          <w:tcPr>
            <w:tcW w:w="0" w:type="auto"/>
            <w:shd w:val="clear" w:color="auto" w:fill="auto"/>
            <w:vAlign w:val="center"/>
          </w:tcPr>
          <w:p w14:paraId="3693E4BE" w14:textId="77777777" w:rsidR="003734EC" w:rsidRDefault="003734EC">
            <w:pPr>
              <w:rPr>
                <w:rFonts w:ascii="宋体"/>
              </w:rPr>
            </w:pPr>
          </w:p>
        </w:tc>
      </w:tr>
      <w:tr w:rsidR="003734EC" w14:paraId="3693E4CC" w14:textId="77777777">
        <w:trPr>
          <w:jc w:val="center"/>
        </w:trPr>
        <w:tc>
          <w:tcPr>
            <w:tcW w:w="0" w:type="auto"/>
            <w:gridSpan w:val="3"/>
            <w:shd w:val="clear" w:color="auto" w:fill="FFFFFF"/>
            <w:tcMar>
              <w:top w:w="40" w:type="dxa"/>
              <w:left w:w="135" w:type="dxa"/>
              <w:bottom w:w="40" w:type="dxa"/>
              <w:right w:w="20" w:type="dxa"/>
            </w:tcMar>
            <w:vAlign w:val="bottom"/>
          </w:tcPr>
          <w:p w14:paraId="3693E4C0" w14:textId="77777777" w:rsidR="003734EC" w:rsidRDefault="000E364E">
            <w:pPr>
              <w:textAlignment w:val="bottom"/>
            </w:pPr>
            <w:r>
              <w:rPr>
                <w:rFonts w:ascii="sans-serif" w:eastAsia="sans-serif" w:hAnsi="sans-serif" w:cs="sans-serif"/>
                <w:color w:val="000000"/>
                <w:sz w:val="18"/>
                <w:szCs w:val="18"/>
              </w:rPr>
              <w:t>Purchases of property and equipment and intangible assets</w:t>
            </w:r>
          </w:p>
        </w:tc>
        <w:tc>
          <w:tcPr>
            <w:tcW w:w="0" w:type="auto"/>
            <w:gridSpan w:val="2"/>
            <w:shd w:val="clear" w:color="auto" w:fill="FFFFFF"/>
            <w:tcMar>
              <w:top w:w="40" w:type="dxa"/>
              <w:left w:w="20" w:type="dxa"/>
              <w:bottom w:w="40" w:type="dxa"/>
              <w:right w:w="0" w:type="dxa"/>
            </w:tcMar>
            <w:vAlign w:val="bottom"/>
          </w:tcPr>
          <w:p w14:paraId="3693E4C1" w14:textId="77777777" w:rsidR="003734EC" w:rsidRDefault="000E364E">
            <w:pPr>
              <w:jc w:val="right"/>
              <w:textAlignment w:val="bottom"/>
            </w:pPr>
            <w:r>
              <w:rPr>
                <w:rFonts w:ascii="sans-serif" w:eastAsia="sans-serif" w:hAnsi="sans-serif" w:cs="sans-serif"/>
                <w:color w:val="000000"/>
                <w:sz w:val="18"/>
                <w:szCs w:val="18"/>
              </w:rPr>
              <w:t>(155)</w:t>
            </w:r>
          </w:p>
        </w:tc>
        <w:tc>
          <w:tcPr>
            <w:tcW w:w="0" w:type="auto"/>
            <w:shd w:val="clear" w:color="auto" w:fill="FFFFFF"/>
            <w:tcMar>
              <w:top w:w="40" w:type="dxa"/>
              <w:bottom w:w="40" w:type="dxa"/>
              <w:right w:w="20" w:type="dxa"/>
            </w:tcMar>
            <w:vAlign w:val="bottom"/>
          </w:tcPr>
          <w:p w14:paraId="3693E4C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C3"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C4" w14:textId="77777777" w:rsidR="003734EC" w:rsidRDefault="000E364E">
            <w:pPr>
              <w:jc w:val="right"/>
              <w:textAlignment w:val="bottom"/>
            </w:pPr>
            <w:r>
              <w:rPr>
                <w:rFonts w:ascii="sans-serif" w:eastAsia="sans-serif" w:hAnsi="sans-serif" w:cs="sans-serif"/>
                <w:color w:val="000000"/>
                <w:sz w:val="18"/>
                <w:szCs w:val="18"/>
              </w:rPr>
              <w:t>(128)</w:t>
            </w:r>
          </w:p>
        </w:tc>
        <w:tc>
          <w:tcPr>
            <w:tcW w:w="0" w:type="auto"/>
            <w:shd w:val="clear" w:color="auto" w:fill="FFFFFF"/>
            <w:tcMar>
              <w:top w:w="40" w:type="dxa"/>
              <w:bottom w:w="40" w:type="dxa"/>
              <w:right w:w="20" w:type="dxa"/>
            </w:tcMar>
            <w:vAlign w:val="bottom"/>
          </w:tcPr>
          <w:p w14:paraId="3693E4C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C6" w14:textId="77777777" w:rsidR="003734EC" w:rsidRDefault="003734EC">
            <w:pPr>
              <w:rPr>
                <w:rFonts w:ascii="宋体"/>
              </w:rPr>
            </w:pPr>
          </w:p>
        </w:tc>
        <w:tc>
          <w:tcPr>
            <w:tcW w:w="0" w:type="auto"/>
            <w:shd w:val="clear" w:color="auto" w:fill="auto"/>
            <w:vAlign w:val="center"/>
          </w:tcPr>
          <w:p w14:paraId="3693E4C7" w14:textId="77777777" w:rsidR="003734EC" w:rsidRDefault="003734EC">
            <w:pPr>
              <w:rPr>
                <w:rFonts w:ascii="宋体"/>
              </w:rPr>
            </w:pPr>
          </w:p>
        </w:tc>
        <w:tc>
          <w:tcPr>
            <w:tcW w:w="0" w:type="auto"/>
            <w:shd w:val="clear" w:color="auto" w:fill="auto"/>
            <w:vAlign w:val="center"/>
          </w:tcPr>
          <w:p w14:paraId="3693E4C8" w14:textId="77777777" w:rsidR="003734EC" w:rsidRDefault="003734EC">
            <w:pPr>
              <w:rPr>
                <w:rFonts w:ascii="宋体"/>
              </w:rPr>
            </w:pPr>
          </w:p>
        </w:tc>
        <w:tc>
          <w:tcPr>
            <w:tcW w:w="0" w:type="auto"/>
            <w:shd w:val="clear" w:color="auto" w:fill="auto"/>
            <w:vAlign w:val="center"/>
          </w:tcPr>
          <w:p w14:paraId="3693E4C9" w14:textId="77777777" w:rsidR="003734EC" w:rsidRDefault="003734EC">
            <w:pPr>
              <w:rPr>
                <w:rFonts w:ascii="宋体"/>
              </w:rPr>
            </w:pPr>
          </w:p>
        </w:tc>
        <w:tc>
          <w:tcPr>
            <w:tcW w:w="0" w:type="auto"/>
            <w:shd w:val="clear" w:color="auto" w:fill="auto"/>
            <w:vAlign w:val="center"/>
          </w:tcPr>
          <w:p w14:paraId="3693E4CA" w14:textId="77777777" w:rsidR="003734EC" w:rsidRDefault="003734EC">
            <w:pPr>
              <w:rPr>
                <w:rFonts w:ascii="宋体"/>
              </w:rPr>
            </w:pPr>
          </w:p>
        </w:tc>
        <w:tc>
          <w:tcPr>
            <w:tcW w:w="0" w:type="auto"/>
            <w:shd w:val="clear" w:color="auto" w:fill="auto"/>
            <w:vAlign w:val="center"/>
          </w:tcPr>
          <w:p w14:paraId="3693E4CB" w14:textId="77777777" w:rsidR="003734EC" w:rsidRDefault="003734EC">
            <w:pPr>
              <w:rPr>
                <w:rFonts w:ascii="宋体"/>
              </w:rPr>
            </w:pPr>
          </w:p>
        </w:tc>
      </w:tr>
      <w:tr w:rsidR="003734EC" w14:paraId="3693E4D9" w14:textId="77777777">
        <w:trPr>
          <w:jc w:val="center"/>
        </w:trPr>
        <w:tc>
          <w:tcPr>
            <w:tcW w:w="0" w:type="auto"/>
            <w:gridSpan w:val="3"/>
            <w:shd w:val="clear" w:color="auto" w:fill="E2EFD9"/>
            <w:tcMar>
              <w:top w:w="40" w:type="dxa"/>
              <w:left w:w="135" w:type="dxa"/>
              <w:bottom w:w="40" w:type="dxa"/>
              <w:right w:w="20" w:type="dxa"/>
            </w:tcMar>
            <w:vAlign w:val="bottom"/>
          </w:tcPr>
          <w:p w14:paraId="3693E4CD" w14:textId="77777777" w:rsidR="003734EC" w:rsidRDefault="000E364E">
            <w:pPr>
              <w:textAlignment w:val="bottom"/>
            </w:pPr>
            <w:r>
              <w:rPr>
                <w:rFonts w:ascii="sans-serif" w:eastAsia="sans-serif" w:hAnsi="sans-serif" w:cs="sans-serif"/>
                <w:color w:val="000000"/>
                <w:sz w:val="18"/>
                <w:szCs w:val="18"/>
              </w:rPr>
              <w:t>Acquisition of business, net of cash acquired</w:t>
            </w:r>
          </w:p>
        </w:tc>
        <w:tc>
          <w:tcPr>
            <w:tcW w:w="0" w:type="auto"/>
            <w:gridSpan w:val="2"/>
            <w:shd w:val="clear" w:color="auto" w:fill="E2EFD9"/>
            <w:tcMar>
              <w:top w:w="40" w:type="dxa"/>
              <w:left w:w="20" w:type="dxa"/>
              <w:bottom w:w="40" w:type="dxa"/>
              <w:right w:w="0" w:type="dxa"/>
            </w:tcMar>
            <w:vAlign w:val="bottom"/>
          </w:tcPr>
          <w:p w14:paraId="3693E4CE" w14:textId="77777777" w:rsidR="003734EC" w:rsidRDefault="000E364E">
            <w:pPr>
              <w:jc w:val="right"/>
              <w:textAlignment w:val="bottom"/>
            </w:pPr>
            <w:r>
              <w:rPr>
                <w:rFonts w:ascii="sans-serif" w:eastAsia="sans-serif" w:hAnsi="sans-serif" w:cs="sans-serif"/>
                <w:color w:val="000000"/>
                <w:sz w:val="20"/>
                <w:szCs w:val="20"/>
              </w:rPr>
              <w:t>(34)</w:t>
            </w:r>
          </w:p>
        </w:tc>
        <w:tc>
          <w:tcPr>
            <w:tcW w:w="0" w:type="auto"/>
            <w:shd w:val="clear" w:color="auto" w:fill="E2EFD9"/>
            <w:tcMar>
              <w:top w:w="40" w:type="dxa"/>
              <w:bottom w:w="40" w:type="dxa"/>
              <w:right w:w="20" w:type="dxa"/>
            </w:tcMar>
            <w:vAlign w:val="bottom"/>
          </w:tcPr>
          <w:p w14:paraId="3693E4C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4D0"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4D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4D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4D3" w14:textId="77777777" w:rsidR="003734EC" w:rsidRDefault="003734EC">
            <w:pPr>
              <w:rPr>
                <w:rFonts w:ascii="宋体"/>
              </w:rPr>
            </w:pPr>
          </w:p>
        </w:tc>
        <w:tc>
          <w:tcPr>
            <w:tcW w:w="0" w:type="auto"/>
            <w:shd w:val="clear" w:color="auto" w:fill="auto"/>
            <w:vAlign w:val="center"/>
          </w:tcPr>
          <w:p w14:paraId="3693E4D4" w14:textId="77777777" w:rsidR="003734EC" w:rsidRDefault="003734EC">
            <w:pPr>
              <w:rPr>
                <w:rFonts w:ascii="宋体"/>
              </w:rPr>
            </w:pPr>
          </w:p>
        </w:tc>
        <w:tc>
          <w:tcPr>
            <w:tcW w:w="0" w:type="auto"/>
            <w:shd w:val="clear" w:color="auto" w:fill="auto"/>
            <w:vAlign w:val="center"/>
          </w:tcPr>
          <w:p w14:paraId="3693E4D5" w14:textId="77777777" w:rsidR="003734EC" w:rsidRDefault="003734EC">
            <w:pPr>
              <w:rPr>
                <w:rFonts w:ascii="宋体"/>
              </w:rPr>
            </w:pPr>
          </w:p>
        </w:tc>
        <w:tc>
          <w:tcPr>
            <w:tcW w:w="0" w:type="auto"/>
            <w:shd w:val="clear" w:color="auto" w:fill="auto"/>
            <w:vAlign w:val="center"/>
          </w:tcPr>
          <w:p w14:paraId="3693E4D6" w14:textId="77777777" w:rsidR="003734EC" w:rsidRDefault="003734EC">
            <w:pPr>
              <w:rPr>
                <w:rFonts w:ascii="宋体"/>
              </w:rPr>
            </w:pPr>
          </w:p>
        </w:tc>
        <w:tc>
          <w:tcPr>
            <w:tcW w:w="0" w:type="auto"/>
            <w:shd w:val="clear" w:color="auto" w:fill="auto"/>
            <w:vAlign w:val="center"/>
          </w:tcPr>
          <w:p w14:paraId="3693E4D7" w14:textId="77777777" w:rsidR="003734EC" w:rsidRDefault="003734EC">
            <w:pPr>
              <w:rPr>
                <w:rFonts w:ascii="宋体"/>
              </w:rPr>
            </w:pPr>
          </w:p>
        </w:tc>
        <w:tc>
          <w:tcPr>
            <w:tcW w:w="0" w:type="auto"/>
            <w:shd w:val="clear" w:color="auto" w:fill="auto"/>
            <w:vAlign w:val="center"/>
          </w:tcPr>
          <w:p w14:paraId="3693E4D8" w14:textId="77777777" w:rsidR="003734EC" w:rsidRDefault="003734EC">
            <w:pPr>
              <w:rPr>
                <w:rFonts w:ascii="宋体"/>
              </w:rPr>
            </w:pPr>
          </w:p>
        </w:tc>
      </w:tr>
      <w:tr w:rsidR="003734EC" w14:paraId="3693E4E6" w14:textId="77777777">
        <w:trPr>
          <w:jc w:val="center"/>
        </w:trPr>
        <w:tc>
          <w:tcPr>
            <w:tcW w:w="0" w:type="auto"/>
            <w:gridSpan w:val="3"/>
            <w:shd w:val="clear" w:color="auto" w:fill="FFFFFF"/>
            <w:tcMar>
              <w:top w:w="40" w:type="dxa"/>
              <w:left w:w="135" w:type="dxa"/>
              <w:bottom w:w="40" w:type="dxa"/>
              <w:right w:w="20" w:type="dxa"/>
            </w:tcMar>
            <w:vAlign w:val="bottom"/>
          </w:tcPr>
          <w:p w14:paraId="3693E4DA" w14:textId="77777777" w:rsidR="003734EC" w:rsidRDefault="000E364E">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3693E4DB" w14:textId="77777777" w:rsidR="003734EC" w:rsidRDefault="000E364E">
            <w:pPr>
              <w:jc w:val="right"/>
              <w:textAlignment w:val="bottom"/>
            </w:pPr>
            <w:r>
              <w:rPr>
                <w:rFonts w:ascii="sans-serif" w:eastAsia="sans-serif" w:hAnsi="sans-serif" w:cs="sans-serif"/>
                <w:color w:val="000000"/>
                <w:sz w:val="18"/>
                <w:szCs w:val="18"/>
              </w:rPr>
              <w:t>(6)</w:t>
            </w:r>
          </w:p>
        </w:tc>
        <w:tc>
          <w:tcPr>
            <w:tcW w:w="0" w:type="auto"/>
            <w:shd w:val="clear" w:color="auto" w:fill="FFFFFF"/>
            <w:tcMar>
              <w:top w:w="40" w:type="dxa"/>
              <w:bottom w:w="40" w:type="dxa"/>
              <w:right w:w="20" w:type="dxa"/>
            </w:tcMar>
            <w:vAlign w:val="bottom"/>
          </w:tcPr>
          <w:p w14:paraId="3693E4D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D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4DE"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bottom w:w="40" w:type="dxa"/>
              <w:right w:w="20" w:type="dxa"/>
            </w:tcMar>
            <w:vAlign w:val="bottom"/>
          </w:tcPr>
          <w:p w14:paraId="3693E4D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E0" w14:textId="77777777" w:rsidR="003734EC" w:rsidRDefault="003734EC">
            <w:pPr>
              <w:rPr>
                <w:rFonts w:ascii="宋体"/>
              </w:rPr>
            </w:pPr>
          </w:p>
        </w:tc>
        <w:tc>
          <w:tcPr>
            <w:tcW w:w="0" w:type="auto"/>
            <w:shd w:val="clear" w:color="auto" w:fill="auto"/>
            <w:vAlign w:val="center"/>
          </w:tcPr>
          <w:p w14:paraId="3693E4E1" w14:textId="77777777" w:rsidR="003734EC" w:rsidRDefault="003734EC">
            <w:pPr>
              <w:rPr>
                <w:rFonts w:ascii="宋体"/>
              </w:rPr>
            </w:pPr>
          </w:p>
        </w:tc>
        <w:tc>
          <w:tcPr>
            <w:tcW w:w="0" w:type="auto"/>
            <w:shd w:val="clear" w:color="auto" w:fill="auto"/>
            <w:vAlign w:val="center"/>
          </w:tcPr>
          <w:p w14:paraId="3693E4E2" w14:textId="77777777" w:rsidR="003734EC" w:rsidRDefault="003734EC">
            <w:pPr>
              <w:rPr>
                <w:rFonts w:ascii="宋体"/>
              </w:rPr>
            </w:pPr>
          </w:p>
        </w:tc>
        <w:tc>
          <w:tcPr>
            <w:tcW w:w="0" w:type="auto"/>
            <w:shd w:val="clear" w:color="auto" w:fill="auto"/>
            <w:vAlign w:val="center"/>
          </w:tcPr>
          <w:p w14:paraId="3693E4E3" w14:textId="77777777" w:rsidR="003734EC" w:rsidRDefault="003734EC">
            <w:pPr>
              <w:rPr>
                <w:rFonts w:ascii="宋体"/>
              </w:rPr>
            </w:pPr>
          </w:p>
        </w:tc>
        <w:tc>
          <w:tcPr>
            <w:tcW w:w="0" w:type="auto"/>
            <w:shd w:val="clear" w:color="auto" w:fill="auto"/>
            <w:vAlign w:val="center"/>
          </w:tcPr>
          <w:p w14:paraId="3693E4E4" w14:textId="77777777" w:rsidR="003734EC" w:rsidRDefault="003734EC">
            <w:pPr>
              <w:rPr>
                <w:rFonts w:ascii="宋体"/>
              </w:rPr>
            </w:pPr>
          </w:p>
        </w:tc>
        <w:tc>
          <w:tcPr>
            <w:tcW w:w="0" w:type="auto"/>
            <w:shd w:val="clear" w:color="auto" w:fill="auto"/>
            <w:vAlign w:val="center"/>
          </w:tcPr>
          <w:p w14:paraId="3693E4E5" w14:textId="77777777" w:rsidR="003734EC" w:rsidRDefault="003734EC">
            <w:pPr>
              <w:rPr>
                <w:rFonts w:ascii="宋体"/>
              </w:rPr>
            </w:pPr>
          </w:p>
        </w:tc>
      </w:tr>
      <w:tr w:rsidR="003734EC" w14:paraId="3693E4F4" w14:textId="77777777">
        <w:trPr>
          <w:jc w:val="center"/>
        </w:trPr>
        <w:tc>
          <w:tcPr>
            <w:tcW w:w="0" w:type="auto"/>
            <w:gridSpan w:val="2"/>
            <w:shd w:val="clear" w:color="auto" w:fill="E2EFD9"/>
            <w:tcMar>
              <w:top w:w="40" w:type="dxa"/>
              <w:left w:w="20" w:type="dxa"/>
              <w:bottom w:w="40" w:type="dxa"/>
              <w:right w:w="0" w:type="dxa"/>
            </w:tcMar>
            <w:vAlign w:val="bottom"/>
          </w:tcPr>
          <w:p w14:paraId="3693E4E7" w14:textId="77777777" w:rsidR="003734EC" w:rsidRDefault="000E364E">
            <w:pPr>
              <w:textAlignment w:val="bottom"/>
            </w:pPr>
            <w:r>
              <w:rPr>
                <w:rFonts w:ascii="sans-serif" w:eastAsia="sans-serif" w:hAnsi="sans-serif" w:cs="sans-serif"/>
                <w:color w:val="000000"/>
                <w:sz w:val="18"/>
                <w:szCs w:val="18"/>
              </w:rPr>
              <w:t xml:space="preserve">Net cash </w:t>
            </w:r>
            <w:r>
              <w:rPr>
                <w:rFonts w:ascii="sans-serif" w:eastAsia="sans-serif" w:hAnsi="sans-serif" w:cs="sans-serif"/>
                <w:color w:val="000000"/>
                <w:sz w:val="18"/>
                <w:szCs w:val="18"/>
              </w:rPr>
              <w:t>provided by (used in) investing activities</w:t>
            </w:r>
          </w:p>
        </w:tc>
        <w:tc>
          <w:tcPr>
            <w:tcW w:w="0" w:type="auto"/>
            <w:shd w:val="clear" w:color="auto" w:fill="E2EFD9"/>
            <w:tcMar>
              <w:top w:w="40" w:type="dxa"/>
              <w:bottom w:w="40" w:type="dxa"/>
              <w:right w:w="20" w:type="dxa"/>
            </w:tcMar>
            <w:vAlign w:val="bottom"/>
          </w:tcPr>
          <w:p w14:paraId="3693E4E8"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4E9" w14:textId="77777777" w:rsidR="003734EC" w:rsidRDefault="000E364E">
            <w:pPr>
              <w:jc w:val="right"/>
              <w:textAlignment w:val="bottom"/>
            </w:pPr>
            <w:r>
              <w:rPr>
                <w:rFonts w:ascii="sans-serif" w:eastAsia="sans-serif" w:hAnsi="sans-serif" w:cs="sans-serif"/>
                <w:color w:val="000000"/>
                <w:sz w:val="18"/>
                <w:szCs w:val="18"/>
              </w:rPr>
              <w:t>(1,055)</w:t>
            </w:r>
          </w:p>
        </w:tc>
        <w:tc>
          <w:tcPr>
            <w:tcW w:w="0" w:type="auto"/>
            <w:tcBorders>
              <w:top w:val="single" w:sz="8" w:space="0" w:color="000000"/>
            </w:tcBorders>
            <w:shd w:val="clear" w:color="auto" w:fill="E2EFD9"/>
            <w:tcMar>
              <w:top w:w="40" w:type="dxa"/>
              <w:bottom w:w="40" w:type="dxa"/>
              <w:right w:w="20" w:type="dxa"/>
            </w:tcMar>
            <w:vAlign w:val="bottom"/>
          </w:tcPr>
          <w:p w14:paraId="3693E4EA"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4EB"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4EC" w14:textId="77777777" w:rsidR="003734EC" w:rsidRDefault="000E364E">
            <w:pPr>
              <w:jc w:val="right"/>
              <w:textAlignment w:val="bottom"/>
            </w:pPr>
            <w:r>
              <w:rPr>
                <w:rFonts w:ascii="sans-serif" w:eastAsia="sans-serif" w:hAnsi="sans-serif" w:cs="sans-serif"/>
                <w:color w:val="000000"/>
                <w:sz w:val="18"/>
                <w:szCs w:val="18"/>
              </w:rPr>
              <w:t>1,495 </w:t>
            </w:r>
          </w:p>
        </w:tc>
        <w:tc>
          <w:tcPr>
            <w:tcW w:w="0" w:type="auto"/>
            <w:tcBorders>
              <w:top w:val="single" w:sz="8" w:space="0" w:color="000000"/>
            </w:tcBorders>
            <w:shd w:val="clear" w:color="auto" w:fill="E2EFD9"/>
            <w:tcMar>
              <w:top w:w="40" w:type="dxa"/>
              <w:bottom w:w="40" w:type="dxa"/>
              <w:right w:w="20" w:type="dxa"/>
            </w:tcMar>
            <w:vAlign w:val="bottom"/>
          </w:tcPr>
          <w:p w14:paraId="3693E4ED"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EE" w14:textId="77777777" w:rsidR="003734EC" w:rsidRDefault="003734EC">
            <w:pPr>
              <w:rPr>
                <w:rFonts w:ascii="宋体"/>
              </w:rPr>
            </w:pPr>
          </w:p>
        </w:tc>
        <w:tc>
          <w:tcPr>
            <w:tcW w:w="0" w:type="auto"/>
            <w:shd w:val="clear" w:color="auto" w:fill="auto"/>
            <w:vAlign w:val="center"/>
          </w:tcPr>
          <w:p w14:paraId="3693E4EF" w14:textId="77777777" w:rsidR="003734EC" w:rsidRDefault="003734EC">
            <w:pPr>
              <w:rPr>
                <w:rFonts w:ascii="宋体"/>
              </w:rPr>
            </w:pPr>
          </w:p>
        </w:tc>
        <w:tc>
          <w:tcPr>
            <w:tcW w:w="0" w:type="auto"/>
            <w:shd w:val="clear" w:color="auto" w:fill="auto"/>
            <w:vAlign w:val="center"/>
          </w:tcPr>
          <w:p w14:paraId="3693E4F0" w14:textId="77777777" w:rsidR="003734EC" w:rsidRDefault="003734EC">
            <w:pPr>
              <w:rPr>
                <w:rFonts w:ascii="宋体"/>
              </w:rPr>
            </w:pPr>
          </w:p>
        </w:tc>
        <w:tc>
          <w:tcPr>
            <w:tcW w:w="0" w:type="auto"/>
            <w:shd w:val="clear" w:color="auto" w:fill="auto"/>
            <w:vAlign w:val="center"/>
          </w:tcPr>
          <w:p w14:paraId="3693E4F1" w14:textId="77777777" w:rsidR="003734EC" w:rsidRDefault="003734EC">
            <w:pPr>
              <w:rPr>
                <w:rFonts w:ascii="宋体"/>
              </w:rPr>
            </w:pPr>
          </w:p>
        </w:tc>
        <w:tc>
          <w:tcPr>
            <w:tcW w:w="0" w:type="auto"/>
            <w:shd w:val="clear" w:color="auto" w:fill="auto"/>
            <w:vAlign w:val="center"/>
          </w:tcPr>
          <w:p w14:paraId="3693E4F2" w14:textId="77777777" w:rsidR="003734EC" w:rsidRDefault="003734EC">
            <w:pPr>
              <w:rPr>
                <w:rFonts w:ascii="宋体"/>
              </w:rPr>
            </w:pPr>
          </w:p>
        </w:tc>
        <w:tc>
          <w:tcPr>
            <w:tcW w:w="0" w:type="auto"/>
            <w:shd w:val="clear" w:color="auto" w:fill="auto"/>
            <w:vAlign w:val="center"/>
          </w:tcPr>
          <w:p w14:paraId="3693E4F3" w14:textId="77777777" w:rsidR="003734EC" w:rsidRDefault="003734EC">
            <w:pPr>
              <w:rPr>
                <w:rFonts w:ascii="宋体"/>
              </w:rPr>
            </w:pPr>
          </w:p>
        </w:tc>
      </w:tr>
      <w:tr w:rsidR="003734EC" w14:paraId="3693E4FF" w14:textId="77777777">
        <w:trPr>
          <w:jc w:val="center"/>
        </w:trPr>
        <w:tc>
          <w:tcPr>
            <w:tcW w:w="0" w:type="auto"/>
            <w:gridSpan w:val="3"/>
            <w:shd w:val="clear" w:color="auto" w:fill="FFFFFF"/>
            <w:tcMar>
              <w:top w:w="40" w:type="dxa"/>
              <w:left w:w="20" w:type="dxa"/>
              <w:bottom w:w="40" w:type="dxa"/>
              <w:right w:w="20" w:type="dxa"/>
            </w:tcMar>
            <w:vAlign w:val="bottom"/>
          </w:tcPr>
          <w:p w14:paraId="3693E4F5" w14:textId="77777777" w:rsidR="003734EC" w:rsidRDefault="000E364E">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93E4F6"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4F7" w14:textId="77777777" w:rsidR="003734EC" w:rsidRDefault="003734E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93E4F8" w14:textId="77777777" w:rsidR="003734EC" w:rsidRDefault="000E364E">
            <w:pPr>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4F9" w14:textId="77777777" w:rsidR="003734EC" w:rsidRDefault="003734EC">
            <w:pPr>
              <w:rPr>
                <w:rFonts w:ascii="宋体"/>
              </w:rPr>
            </w:pPr>
          </w:p>
        </w:tc>
        <w:tc>
          <w:tcPr>
            <w:tcW w:w="0" w:type="auto"/>
            <w:shd w:val="clear" w:color="auto" w:fill="auto"/>
            <w:vAlign w:val="center"/>
          </w:tcPr>
          <w:p w14:paraId="3693E4FA" w14:textId="77777777" w:rsidR="003734EC" w:rsidRDefault="003734EC">
            <w:pPr>
              <w:rPr>
                <w:rFonts w:ascii="宋体"/>
              </w:rPr>
            </w:pPr>
          </w:p>
        </w:tc>
        <w:tc>
          <w:tcPr>
            <w:tcW w:w="0" w:type="auto"/>
            <w:shd w:val="clear" w:color="auto" w:fill="auto"/>
            <w:vAlign w:val="center"/>
          </w:tcPr>
          <w:p w14:paraId="3693E4FB" w14:textId="77777777" w:rsidR="003734EC" w:rsidRDefault="003734EC">
            <w:pPr>
              <w:rPr>
                <w:rFonts w:ascii="宋体"/>
              </w:rPr>
            </w:pPr>
          </w:p>
        </w:tc>
        <w:tc>
          <w:tcPr>
            <w:tcW w:w="0" w:type="auto"/>
            <w:shd w:val="clear" w:color="auto" w:fill="auto"/>
            <w:vAlign w:val="center"/>
          </w:tcPr>
          <w:p w14:paraId="3693E4FC" w14:textId="77777777" w:rsidR="003734EC" w:rsidRDefault="003734EC">
            <w:pPr>
              <w:rPr>
                <w:rFonts w:ascii="宋体"/>
              </w:rPr>
            </w:pPr>
          </w:p>
        </w:tc>
        <w:tc>
          <w:tcPr>
            <w:tcW w:w="0" w:type="auto"/>
            <w:shd w:val="clear" w:color="auto" w:fill="auto"/>
            <w:vAlign w:val="center"/>
          </w:tcPr>
          <w:p w14:paraId="3693E4FD" w14:textId="77777777" w:rsidR="003734EC" w:rsidRDefault="003734EC">
            <w:pPr>
              <w:rPr>
                <w:rFonts w:ascii="宋体"/>
              </w:rPr>
            </w:pPr>
          </w:p>
        </w:tc>
        <w:tc>
          <w:tcPr>
            <w:tcW w:w="0" w:type="auto"/>
            <w:shd w:val="clear" w:color="auto" w:fill="auto"/>
            <w:vAlign w:val="center"/>
          </w:tcPr>
          <w:p w14:paraId="3693E4FE" w14:textId="77777777" w:rsidR="003734EC" w:rsidRDefault="003734EC">
            <w:pPr>
              <w:rPr>
                <w:rFonts w:ascii="宋体"/>
              </w:rPr>
            </w:pPr>
          </w:p>
        </w:tc>
      </w:tr>
      <w:tr w:rsidR="003734EC" w14:paraId="3693E50C" w14:textId="77777777">
        <w:trPr>
          <w:jc w:val="center"/>
        </w:trPr>
        <w:tc>
          <w:tcPr>
            <w:tcW w:w="0" w:type="auto"/>
            <w:gridSpan w:val="3"/>
            <w:shd w:val="clear" w:color="auto" w:fill="E2EFD9"/>
            <w:tcMar>
              <w:top w:w="40" w:type="dxa"/>
              <w:left w:w="135" w:type="dxa"/>
              <w:bottom w:w="40" w:type="dxa"/>
              <w:right w:w="20" w:type="dxa"/>
            </w:tcMar>
            <w:vAlign w:val="bottom"/>
          </w:tcPr>
          <w:p w14:paraId="3693E500" w14:textId="77777777" w:rsidR="003734EC" w:rsidRDefault="000E364E">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3693E501" w14:textId="77777777" w:rsidR="003734EC" w:rsidRDefault="000E364E">
            <w:pPr>
              <w:jc w:val="right"/>
              <w:textAlignment w:val="bottom"/>
            </w:pPr>
            <w:r>
              <w:rPr>
                <w:rFonts w:ascii="sans-serif" w:eastAsia="sans-serif" w:hAnsi="sans-serif" w:cs="sans-serif"/>
                <w:color w:val="000000"/>
                <w:sz w:val="18"/>
                <w:szCs w:val="18"/>
              </w:rPr>
              <w:t>4,979 </w:t>
            </w:r>
          </w:p>
        </w:tc>
        <w:tc>
          <w:tcPr>
            <w:tcW w:w="0" w:type="auto"/>
            <w:shd w:val="clear" w:color="auto" w:fill="E2EFD9"/>
            <w:tcMar>
              <w:top w:w="40" w:type="dxa"/>
              <w:bottom w:w="40" w:type="dxa"/>
              <w:right w:w="20" w:type="dxa"/>
            </w:tcMar>
            <w:vAlign w:val="bottom"/>
          </w:tcPr>
          <w:p w14:paraId="3693E50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03"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504"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bottom w:w="40" w:type="dxa"/>
              <w:right w:w="20" w:type="dxa"/>
            </w:tcMar>
            <w:vAlign w:val="bottom"/>
          </w:tcPr>
          <w:p w14:paraId="3693E50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06" w14:textId="77777777" w:rsidR="003734EC" w:rsidRDefault="003734EC">
            <w:pPr>
              <w:rPr>
                <w:rFonts w:ascii="宋体"/>
              </w:rPr>
            </w:pPr>
          </w:p>
        </w:tc>
        <w:tc>
          <w:tcPr>
            <w:tcW w:w="0" w:type="auto"/>
            <w:shd w:val="clear" w:color="auto" w:fill="auto"/>
            <w:vAlign w:val="center"/>
          </w:tcPr>
          <w:p w14:paraId="3693E507" w14:textId="77777777" w:rsidR="003734EC" w:rsidRDefault="003734EC">
            <w:pPr>
              <w:rPr>
                <w:rFonts w:ascii="宋体"/>
              </w:rPr>
            </w:pPr>
          </w:p>
        </w:tc>
        <w:tc>
          <w:tcPr>
            <w:tcW w:w="0" w:type="auto"/>
            <w:shd w:val="clear" w:color="auto" w:fill="auto"/>
            <w:vAlign w:val="center"/>
          </w:tcPr>
          <w:p w14:paraId="3693E508" w14:textId="77777777" w:rsidR="003734EC" w:rsidRDefault="003734EC">
            <w:pPr>
              <w:rPr>
                <w:rFonts w:ascii="宋体"/>
              </w:rPr>
            </w:pPr>
          </w:p>
        </w:tc>
        <w:tc>
          <w:tcPr>
            <w:tcW w:w="0" w:type="auto"/>
            <w:shd w:val="clear" w:color="auto" w:fill="auto"/>
            <w:vAlign w:val="center"/>
          </w:tcPr>
          <w:p w14:paraId="3693E509" w14:textId="77777777" w:rsidR="003734EC" w:rsidRDefault="003734EC">
            <w:pPr>
              <w:rPr>
                <w:rFonts w:ascii="宋体"/>
              </w:rPr>
            </w:pPr>
          </w:p>
        </w:tc>
        <w:tc>
          <w:tcPr>
            <w:tcW w:w="0" w:type="auto"/>
            <w:shd w:val="clear" w:color="auto" w:fill="auto"/>
            <w:vAlign w:val="center"/>
          </w:tcPr>
          <w:p w14:paraId="3693E50A" w14:textId="77777777" w:rsidR="003734EC" w:rsidRDefault="003734EC">
            <w:pPr>
              <w:rPr>
                <w:rFonts w:ascii="宋体"/>
              </w:rPr>
            </w:pPr>
          </w:p>
        </w:tc>
        <w:tc>
          <w:tcPr>
            <w:tcW w:w="0" w:type="auto"/>
            <w:shd w:val="clear" w:color="auto" w:fill="auto"/>
            <w:vAlign w:val="center"/>
          </w:tcPr>
          <w:p w14:paraId="3693E50B" w14:textId="77777777" w:rsidR="003734EC" w:rsidRDefault="003734EC">
            <w:pPr>
              <w:rPr>
                <w:rFonts w:ascii="宋体"/>
              </w:rPr>
            </w:pPr>
          </w:p>
        </w:tc>
      </w:tr>
      <w:tr w:rsidR="003734EC" w14:paraId="3693E519" w14:textId="77777777">
        <w:trPr>
          <w:jc w:val="center"/>
        </w:trPr>
        <w:tc>
          <w:tcPr>
            <w:tcW w:w="0" w:type="auto"/>
            <w:gridSpan w:val="3"/>
            <w:shd w:val="clear" w:color="auto" w:fill="FFFFFF"/>
            <w:tcMar>
              <w:top w:w="40" w:type="dxa"/>
              <w:left w:w="135" w:type="dxa"/>
              <w:bottom w:w="40" w:type="dxa"/>
              <w:right w:w="20" w:type="dxa"/>
            </w:tcMar>
            <w:vAlign w:val="bottom"/>
          </w:tcPr>
          <w:p w14:paraId="3693E50D" w14:textId="77777777" w:rsidR="003734EC" w:rsidRDefault="000E364E">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FFFFFF"/>
            <w:tcMar>
              <w:top w:w="40" w:type="dxa"/>
              <w:left w:w="20" w:type="dxa"/>
              <w:bottom w:w="40" w:type="dxa"/>
              <w:right w:w="0" w:type="dxa"/>
            </w:tcMar>
            <w:vAlign w:val="bottom"/>
          </w:tcPr>
          <w:p w14:paraId="3693E50E" w14:textId="77777777" w:rsidR="003734EC" w:rsidRDefault="000E364E">
            <w:pPr>
              <w:jc w:val="right"/>
              <w:textAlignment w:val="bottom"/>
            </w:pPr>
            <w:r>
              <w:rPr>
                <w:rFonts w:ascii="sans-serif" w:eastAsia="sans-serif" w:hAnsi="sans-serif" w:cs="sans-serif"/>
                <w:color w:val="000000"/>
                <w:sz w:val="18"/>
                <w:szCs w:val="18"/>
              </w:rPr>
              <w:t>88 </w:t>
            </w:r>
          </w:p>
        </w:tc>
        <w:tc>
          <w:tcPr>
            <w:tcW w:w="0" w:type="auto"/>
            <w:shd w:val="clear" w:color="auto" w:fill="FFFFFF"/>
            <w:tcMar>
              <w:top w:w="40" w:type="dxa"/>
              <w:bottom w:w="40" w:type="dxa"/>
              <w:right w:w="20" w:type="dxa"/>
            </w:tcMar>
            <w:vAlign w:val="bottom"/>
          </w:tcPr>
          <w:p w14:paraId="3693E50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51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511" w14:textId="77777777" w:rsidR="003734EC" w:rsidRDefault="000E364E">
            <w:pPr>
              <w:jc w:val="right"/>
              <w:textAlignment w:val="bottom"/>
            </w:pPr>
            <w:r>
              <w:rPr>
                <w:rFonts w:ascii="sans-serif" w:eastAsia="sans-serif" w:hAnsi="sans-serif" w:cs="sans-serif"/>
                <w:color w:val="000000"/>
                <w:sz w:val="18"/>
                <w:szCs w:val="18"/>
              </w:rPr>
              <w:t>83 </w:t>
            </w:r>
          </w:p>
        </w:tc>
        <w:tc>
          <w:tcPr>
            <w:tcW w:w="0" w:type="auto"/>
            <w:shd w:val="clear" w:color="auto" w:fill="FFFFFF"/>
            <w:tcMar>
              <w:top w:w="40" w:type="dxa"/>
              <w:bottom w:w="40" w:type="dxa"/>
              <w:right w:w="20" w:type="dxa"/>
            </w:tcMar>
            <w:vAlign w:val="bottom"/>
          </w:tcPr>
          <w:p w14:paraId="3693E51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13" w14:textId="77777777" w:rsidR="003734EC" w:rsidRDefault="003734EC">
            <w:pPr>
              <w:rPr>
                <w:rFonts w:ascii="宋体"/>
              </w:rPr>
            </w:pPr>
          </w:p>
        </w:tc>
        <w:tc>
          <w:tcPr>
            <w:tcW w:w="0" w:type="auto"/>
            <w:shd w:val="clear" w:color="auto" w:fill="auto"/>
            <w:vAlign w:val="center"/>
          </w:tcPr>
          <w:p w14:paraId="3693E514" w14:textId="77777777" w:rsidR="003734EC" w:rsidRDefault="003734EC">
            <w:pPr>
              <w:rPr>
                <w:rFonts w:ascii="宋体"/>
              </w:rPr>
            </w:pPr>
          </w:p>
        </w:tc>
        <w:tc>
          <w:tcPr>
            <w:tcW w:w="0" w:type="auto"/>
            <w:shd w:val="clear" w:color="auto" w:fill="auto"/>
            <w:vAlign w:val="center"/>
          </w:tcPr>
          <w:p w14:paraId="3693E515" w14:textId="77777777" w:rsidR="003734EC" w:rsidRDefault="003734EC">
            <w:pPr>
              <w:rPr>
                <w:rFonts w:ascii="宋体"/>
              </w:rPr>
            </w:pPr>
          </w:p>
        </w:tc>
        <w:tc>
          <w:tcPr>
            <w:tcW w:w="0" w:type="auto"/>
            <w:shd w:val="clear" w:color="auto" w:fill="auto"/>
            <w:vAlign w:val="center"/>
          </w:tcPr>
          <w:p w14:paraId="3693E516" w14:textId="77777777" w:rsidR="003734EC" w:rsidRDefault="003734EC">
            <w:pPr>
              <w:rPr>
                <w:rFonts w:ascii="宋体"/>
              </w:rPr>
            </w:pPr>
          </w:p>
        </w:tc>
        <w:tc>
          <w:tcPr>
            <w:tcW w:w="0" w:type="auto"/>
            <w:shd w:val="clear" w:color="auto" w:fill="auto"/>
            <w:vAlign w:val="center"/>
          </w:tcPr>
          <w:p w14:paraId="3693E517" w14:textId="77777777" w:rsidR="003734EC" w:rsidRDefault="003734EC">
            <w:pPr>
              <w:rPr>
                <w:rFonts w:ascii="宋体"/>
              </w:rPr>
            </w:pPr>
          </w:p>
        </w:tc>
        <w:tc>
          <w:tcPr>
            <w:tcW w:w="0" w:type="auto"/>
            <w:shd w:val="clear" w:color="auto" w:fill="auto"/>
            <w:vAlign w:val="center"/>
          </w:tcPr>
          <w:p w14:paraId="3693E518" w14:textId="77777777" w:rsidR="003734EC" w:rsidRDefault="003734EC">
            <w:pPr>
              <w:rPr>
                <w:rFonts w:ascii="宋体"/>
              </w:rPr>
            </w:pPr>
          </w:p>
        </w:tc>
      </w:tr>
      <w:tr w:rsidR="003734EC" w14:paraId="3693E526" w14:textId="77777777">
        <w:trPr>
          <w:jc w:val="center"/>
        </w:trPr>
        <w:tc>
          <w:tcPr>
            <w:tcW w:w="0" w:type="auto"/>
            <w:gridSpan w:val="3"/>
            <w:shd w:val="clear" w:color="auto" w:fill="E2EFD9"/>
            <w:tcMar>
              <w:top w:w="40" w:type="dxa"/>
              <w:left w:w="135" w:type="dxa"/>
              <w:bottom w:w="40" w:type="dxa"/>
              <w:right w:w="20" w:type="dxa"/>
            </w:tcMar>
            <w:vAlign w:val="bottom"/>
          </w:tcPr>
          <w:p w14:paraId="3693E51A" w14:textId="77777777" w:rsidR="003734EC" w:rsidRDefault="000E364E">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3693E51B" w14:textId="77777777" w:rsidR="003734EC" w:rsidRDefault="000E364E">
            <w:pPr>
              <w:jc w:val="right"/>
              <w:textAlignment w:val="bottom"/>
            </w:pPr>
            <w:r>
              <w:rPr>
                <w:rFonts w:ascii="sans-serif" w:eastAsia="sans-serif" w:hAnsi="sans-serif" w:cs="sans-serif"/>
                <w:color w:val="000000"/>
                <w:sz w:val="18"/>
                <w:szCs w:val="18"/>
              </w:rPr>
              <w:t>(222)</w:t>
            </w:r>
          </w:p>
        </w:tc>
        <w:tc>
          <w:tcPr>
            <w:tcW w:w="0" w:type="auto"/>
            <w:shd w:val="clear" w:color="auto" w:fill="E2EFD9"/>
            <w:tcMar>
              <w:top w:w="40" w:type="dxa"/>
              <w:bottom w:w="40" w:type="dxa"/>
              <w:right w:w="20" w:type="dxa"/>
            </w:tcMar>
            <w:vAlign w:val="bottom"/>
          </w:tcPr>
          <w:p w14:paraId="3693E51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1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51E" w14:textId="77777777" w:rsidR="003734EC" w:rsidRDefault="000E364E">
            <w:pPr>
              <w:jc w:val="right"/>
              <w:textAlignment w:val="bottom"/>
            </w:pPr>
            <w:r>
              <w:rPr>
                <w:rFonts w:ascii="sans-serif" w:eastAsia="sans-serif" w:hAnsi="sans-serif" w:cs="sans-serif"/>
                <w:color w:val="000000"/>
                <w:sz w:val="18"/>
                <w:szCs w:val="18"/>
              </w:rPr>
              <w:t>(211)</w:t>
            </w:r>
          </w:p>
        </w:tc>
        <w:tc>
          <w:tcPr>
            <w:tcW w:w="0" w:type="auto"/>
            <w:shd w:val="clear" w:color="auto" w:fill="E2EFD9"/>
            <w:tcMar>
              <w:top w:w="40" w:type="dxa"/>
              <w:bottom w:w="40" w:type="dxa"/>
              <w:right w:w="20" w:type="dxa"/>
            </w:tcMar>
            <w:vAlign w:val="bottom"/>
          </w:tcPr>
          <w:p w14:paraId="3693E51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20" w14:textId="77777777" w:rsidR="003734EC" w:rsidRDefault="003734EC">
            <w:pPr>
              <w:rPr>
                <w:rFonts w:ascii="宋体"/>
              </w:rPr>
            </w:pPr>
          </w:p>
        </w:tc>
        <w:tc>
          <w:tcPr>
            <w:tcW w:w="0" w:type="auto"/>
            <w:shd w:val="clear" w:color="auto" w:fill="auto"/>
            <w:vAlign w:val="center"/>
          </w:tcPr>
          <w:p w14:paraId="3693E521" w14:textId="77777777" w:rsidR="003734EC" w:rsidRDefault="003734EC">
            <w:pPr>
              <w:rPr>
                <w:rFonts w:ascii="宋体"/>
              </w:rPr>
            </w:pPr>
          </w:p>
        </w:tc>
        <w:tc>
          <w:tcPr>
            <w:tcW w:w="0" w:type="auto"/>
            <w:shd w:val="clear" w:color="auto" w:fill="auto"/>
            <w:vAlign w:val="center"/>
          </w:tcPr>
          <w:p w14:paraId="3693E522" w14:textId="77777777" w:rsidR="003734EC" w:rsidRDefault="003734EC">
            <w:pPr>
              <w:rPr>
                <w:rFonts w:ascii="宋体"/>
              </w:rPr>
            </w:pPr>
          </w:p>
        </w:tc>
        <w:tc>
          <w:tcPr>
            <w:tcW w:w="0" w:type="auto"/>
            <w:shd w:val="clear" w:color="auto" w:fill="auto"/>
            <w:vAlign w:val="center"/>
          </w:tcPr>
          <w:p w14:paraId="3693E523" w14:textId="77777777" w:rsidR="003734EC" w:rsidRDefault="003734EC">
            <w:pPr>
              <w:rPr>
                <w:rFonts w:ascii="宋体"/>
              </w:rPr>
            </w:pPr>
          </w:p>
        </w:tc>
        <w:tc>
          <w:tcPr>
            <w:tcW w:w="0" w:type="auto"/>
            <w:shd w:val="clear" w:color="auto" w:fill="auto"/>
            <w:vAlign w:val="center"/>
          </w:tcPr>
          <w:p w14:paraId="3693E524" w14:textId="77777777" w:rsidR="003734EC" w:rsidRDefault="003734EC">
            <w:pPr>
              <w:rPr>
                <w:rFonts w:ascii="宋体"/>
              </w:rPr>
            </w:pPr>
          </w:p>
        </w:tc>
        <w:tc>
          <w:tcPr>
            <w:tcW w:w="0" w:type="auto"/>
            <w:shd w:val="clear" w:color="auto" w:fill="auto"/>
            <w:vAlign w:val="center"/>
          </w:tcPr>
          <w:p w14:paraId="3693E525" w14:textId="77777777" w:rsidR="003734EC" w:rsidRDefault="003734EC">
            <w:pPr>
              <w:rPr>
                <w:rFonts w:ascii="宋体"/>
              </w:rPr>
            </w:pPr>
          </w:p>
        </w:tc>
      </w:tr>
      <w:tr w:rsidR="003734EC" w14:paraId="3693E533" w14:textId="77777777">
        <w:trPr>
          <w:jc w:val="center"/>
        </w:trPr>
        <w:tc>
          <w:tcPr>
            <w:tcW w:w="0" w:type="auto"/>
            <w:gridSpan w:val="3"/>
            <w:shd w:val="clear" w:color="auto" w:fill="FFFFFF"/>
            <w:tcMar>
              <w:top w:w="40" w:type="dxa"/>
              <w:left w:w="135" w:type="dxa"/>
              <w:bottom w:w="40" w:type="dxa"/>
              <w:right w:w="20" w:type="dxa"/>
            </w:tcMar>
            <w:vAlign w:val="bottom"/>
          </w:tcPr>
          <w:p w14:paraId="3693E527" w14:textId="77777777" w:rsidR="003734EC" w:rsidRDefault="000E364E">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3693E528" w14:textId="77777777" w:rsidR="003734EC" w:rsidRDefault="000E364E">
            <w:pPr>
              <w:jc w:val="right"/>
              <w:textAlignment w:val="bottom"/>
            </w:pPr>
            <w:r>
              <w:rPr>
                <w:rFonts w:ascii="sans-serif" w:eastAsia="sans-serif" w:hAnsi="sans-serif" w:cs="sans-serif"/>
                <w:color w:val="000000"/>
                <w:sz w:val="18"/>
                <w:szCs w:val="18"/>
              </w:rPr>
              <w:t>(98)</w:t>
            </w:r>
          </w:p>
        </w:tc>
        <w:tc>
          <w:tcPr>
            <w:tcW w:w="0" w:type="auto"/>
            <w:shd w:val="clear" w:color="auto" w:fill="FFFFFF"/>
            <w:tcMar>
              <w:top w:w="40" w:type="dxa"/>
              <w:bottom w:w="40" w:type="dxa"/>
              <w:right w:w="20" w:type="dxa"/>
            </w:tcMar>
            <w:vAlign w:val="bottom"/>
          </w:tcPr>
          <w:p w14:paraId="3693E52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52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52B" w14:textId="77777777" w:rsidR="003734EC" w:rsidRDefault="000E364E">
            <w:pPr>
              <w:jc w:val="right"/>
              <w:textAlignment w:val="bottom"/>
            </w:pPr>
            <w:r>
              <w:rPr>
                <w:rFonts w:ascii="sans-serif" w:eastAsia="sans-serif" w:hAnsi="sans-serif" w:cs="sans-serif"/>
                <w:color w:val="000000"/>
                <w:sz w:val="18"/>
                <w:szCs w:val="18"/>
              </w:rPr>
              <w:t>(97)</w:t>
            </w:r>
          </w:p>
        </w:tc>
        <w:tc>
          <w:tcPr>
            <w:tcW w:w="0" w:type="auto"/>
            <w:shd w:val="clear" w:color="auto" w:fill="FFFFFF"/>
            <w:tcMar>
              <w:top w:w="40" w:type="dxa"/>
              <w:bottom w:w="40" w:type="dxa"/>
              <w:right w:w="20" w:type="dxa"/>
            </w:tcMar>
            <w:vAlign w:val="bottom"/>
          </w:tcPr>
          <w:p w14:paraId="3693E52C"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2D" w14:textId="77777777" w:rsidR="003734EC" w:rsidRDefault="003734EC">
            <w:pPr>
              <w:rPr>
                <w:rFonts w:ascii="宋体"/>
              </w:rPr>
            </w:pPr>
          </w:p>
        </w:tc>
        <w:tc>
          <w:tcPr>
            <w:tcW w:w="0" w:type="auto"/>
            <w:shd w:val="clear" w:color="auto" w:fill="auto"/>
            <w:vAlign w:val="center"/>
          </w:tcPr>
          <w:p w14:paraId="3693E52E" w14:textId="77777777" w:rsidR="003734EC" w:rsidRDefault="003734EC">
            <w:pPr>
              <w:rPr>
                <w:rFonts w:ascii="宋体"/>
              </w:rPr>
            </w:pPr>
          </w:p>
        </w:tc>
        <w:tc>
          <w:tcPr>
            <w:tcW w:w="0" w:type="auto"/>
            <w:shd w:val="clear" w:color="auto" w:fill="auto"/>
            <w:vAlign w:val="center"/>
          </w:tcPr>
          <w:p w14:paraId="3693E52F" w14:textId="77777777" w:rsidR="003734EC" w:rsidRDefault="003734EC">
            <w:pPr>
              <w:rPr>
                <w:rFonts w:ascii="宋体"/>
              </w:rPr>
            </w:pPr>
          </w:p>
        </w:tc>
        <w:tc>
          <w:tcPr>
            <w:tcW w:w="0" w:type="auto"/>
            <w:shd w:val="clear" w:color="auto" w:fill="auto"/>
            <w:vAlign w:val="center"/>
          </w:tcPr>
          <w:p w14:paraId="3693E530" w14:textId="77777777" w:rsidR="003734EC" w:rsidRDefault="003734EC">
            <w:pPr>
              <w:rPr>
                <w:rFonts w:ascii="宋体"/>
              </w:rPr>
            </w:pPr>
          </w:p>
        </w:tc>
        <w:tc>
          <w:tcPr>
            <w:tcW w:w="0" w:type="auto"/>
            <w:shd w:val="clear" w:color="auto" w:fill="auto"/>
            <w:vAlign w:val="center"/>
          </w:tcPr>
          <w:p w14:paraId="3693E531" w14:textId="77777777" w:rsidR="003734EC" w:rsidRDefault="003734EC">
            <w:pPr>
              <w:rPr>
                <w:rFonts w:ascii="宋体"/>
              </w:rPr>
            </w:pPr>
          </w:p>
        </w:tc>
        <w:tc>
          <w:tcPr>
            <w:tcW w:w="0" w:type="auto"/>
            <w:shd w:val="clear" w:color="auto" w:fill="auto"/>
            <w:vAlign w:val="center"/>
          </w:tcPr>
          <w:p w14:paraId="3693E532" w14:textId="77777777" w:rsidR="003734EC" w:rsidRDefault="003734EC">
            <w:pPr>
              <w:rPr>
                <w:rFonts w:ascii="宋体"/>
              </w:rPr>
            </w:pPr>
          </w:p>
        </w:tc>
      </w:tr>
      <w:tr w:rsidR="003734EC" w14:paraId="3693E53E" w14:textId="77777777">
        <w:trPr>
          <w:jc w:val="center"/>
          <w:hidden/>
        </w:trPr>
        <w:tc>
          <w:tcPr>
            <w:tcW w:w="0" w:type="auto"/>
            <w:gridSpan w:val="3"/>
            <w:shd w:val="clear" w:color="auto" w:fill="auto"/>
            <w:vAlign w:val="center"/>
          </w:tcPr>
          <w:p w14:paraId="3693E534" w14:textId="77777777" w:rsidR="003734EC" w:rsidRDefault="003734EC">
            <w:pPr>
              <w:rPr>
                <w:rFonts w:ascii="宋体"/>
                <w:vanish/>
              </w:rPr>
            </w:pPr>
          </w:p>
        </w:tc>
        <w:tc>
          <w:tcPr>
            <w:tcW w:w="0" w:type="auto"/>
            <w:gridSpan w:val="3"/>
            <w:shd w:val="clear" w:color="auto" w:fill="auto"/>
            <w:vAlign w:val="center"/>
          </w:tcPr>
          <w:p w14:paraId="3693E535" w14:textId="77777777" w:rsidR="003734EC" w:rsidRDefault="003734EC">
            <w:pPr>
              <w:rPr>
                <w:rFonts w:ascii="宋体"/>
                <w:vanish/>
              </w:rPr>
            </w:pPr>
          </w:p>
        </w:tc>
        <w:tc>
          <w:tcPr>
            <w:tcW w:w="0" w:type="auto"/>
            <w:gridSpan w:val="3"/>
            <w:shd w:val="clear" w:color="auto" w:fill="auto"/>
            <w:vAlign w:val="center"/>
          </w:tcPr>
          <w:p w14:paraId="3693E536" w14:textId="77777777" w:rsidR="003734EC" w:rsidRDefault="003734EC">
            <w:pPr>
              <w:rPr>
                <w:rFonts w:ascii="宋体"/>
                <w:vanish/>
              </w:rPr>
            </w:pPr>
          </w:p>
        </w:tc>
        <w:tc>
          <w:tcPr>
            <w:tcW w:w="0" w:type="auto"/>
            <w:gridSpan w:val="3"/>
            <w:shd w:val="clear" w:color="auto" w:fill="auto"/>
            <w:vAlign w:val="center"/>
          </w:tcPr>
          <w:p w14:paraId="3693E537" w14:textId="77777777" w:rsidR="003734EC" w:rsidRDefault="003734EC">
            <w:pPr>
              <w:rPr>
                <w:rFonts w:ascii="宋体"/>
                <w:vanish/>
              </w:rPr>
            </w:pPr>
          </w:p>
        </w:tc>
        <w:tc>
          <w:tcPr>
            <w:tcW w:w="0" w:type="auto"/>
            <w:shd w:val="clear" w:color="auto" w:fill="auto"/>
            <w:vAlign w:val="center"/>
          </w:tcPr>
          <w:p w14:paraId="3693E538" w14:textId="77777777" w:rsidR="003734EC" w:rsidRDefault="003734EC">
            <w:pPr>
              <w:rPr>
                <w:rFonts w:ascii="宋体"/>
              </w:rPr>
            </w:pPr>
          </w:p>
        </w:tc>
        <w:tc>
          <w:tcPr>
            <w:tcW w:w="0" w:type="auto"/>
            <w:shd w:val="clear" w:color="auto" w:fill="auto"/>
            <w:vAlign w:val="center"/>
          </w:tcPr>
          <w:p w14:paraId="3693E539" w14:textId="77777777" w:rsidR="003734EC" w:rsidRDefault="003734EC">
            <w:pPr>
              <w:rPr>
                <w:rFonts w:ascii="宋体"/>
              </w:rPr>
            </w:pPr>
          </w:p>
        </w:tc>
        <w:tc>
          <w:tcPr>
            <w:tcW w:w="0" w:type="auto"/>
            <w:shd w:val="clear" w:color="auto" w:fill="auto"/>
            <w:vAlign w:val="center"/>
          </w:tcPr>
          <w:p w14:paraId="3693E53A" w14:textId="77777777" w:rsidR="003734EC" w:rsidRDefault="003734EC">
            <w:pPr>
              <w:rPr>
                <w:rFonts w:ascii="宋体"/>
              </w:rPr>
            </w:pPr>
          </w:p>
        </w:tc>
        <w:tc>
          <w:tcPr>
            <w:tcW w:w="0" w:type="auto"/>
            <w:shd w:val="clear" w:color="auto" w:fill="auto"/>
            <w:vAlign w:val="center"/>
          </w:tcPr>
          <w:p w14:paraId="3693E53B" w14:textId="77777777" w:rsidR="003734EC" w:rsidRDefault="003734EC">
            <w:pPr>
              <w:rPr>
                <w:rFonts w:ascii="宋体"/>
              </w:rPr>
            </w:pPr>
          </w:p>
        </w:tc>
        <w:tc>
          <w:tcPr>
            <w:tcW w:w="0" w:type="auto"/>
            <w:shd w:val="clear" w:color="auto" w:fill="auto"/>
            <w:vAlign w:val="center"/>
          </w:tcPr>
          <w:p w14:paraId="3693E53C" w14:textId="77777777" w:rsidR="003734EC" w:rsidRDefault="003734EC">
            <w:pPr>
              <w:rPr>
                <w:rFonts w:ascii="宋体"/>
              </w:rPr>
            </w:pPr>
          </w:p>
        </w:tc>
        <w:tc>
          <w:tcPr>
            <w:tcW w:w="0" w:type="auto"/>
            <w:shd w:val="clear" w:color="auto" w:fill="auto"/>
            <w:vAlign w:val="center"/>
          </w:tcPr>
          <w:p w14:paraId="3693E53D" w14:textId="77777777" w:rsidR="003734EC" w:rsidRDefault="003734EC">
            <w:pPr>
              <w:rPr>
                <w:rFonts w:ascii="宋体"/>
              </w:rPr>
            </w:pPr>
          </w:p>
        </w:tc>
      </w:tr>
      <w:tr w:rsidR="003734EC" w14:paraId="3693E549" w14:textId="77777777">
        <w:trPr>
          <w:jc w:val="center"/>
          <w:hidden/>
        </w:trPr>
        <w:tc>
          <w:tcPr>
            <w:tcW w:w="0" w:type="auto"/>
            <w:gridSpan w:val="3"/>
            <w:shd w:val="clear" w:color="auto" w:fill="auto"/>
            <w:vAlign w:val="center"/>
          </w:tcPr>
          <w:p w14:paraId="3693E53F" w14:textId="77777777" w:rsidR="003734EC" w:rsidRDefault="003734EC">
            <w:pPr>
              <w:rPr>
                <w:rFonts w:ascii="宋体"/>
                <w:vanish/>
              </w:rPr>
            </w:pPr>
          </w:p>
        </w:tc>
        <w:tc>
          <w:tcPr>
            <w:tcW w:w="0" w:type="auto"/>
            <w:gridSpan w:val="3"/>
            <w:shd w:val="clear" w:color="auto" w:fill="auto"/>
            <w:vAlign w:val="center"/>
          </w:tcPr>
          <w:p w14:paraId="3693E540" w14:textId="77777777" w:rsidR="003734EC" w:rsidRDefault="003734EC">
            <w:pPr>
              <w:rPr>
                <w:rFonts w:ascii="宋体"/>
                <w:vanish/>
              </w:rPr>
            </w:pPr>
          </w:p>
        </w:tc>
        <w:tc>
          <w:tcPr>
            <w:tcW w:w="0" w:type="auto"/>
            <w:gridSpan w:val="3"/>
            <w:shd w:val="clear" w:color="auto" w:fill="auto"/>
            <w:vAlign w:val="center"/>
          </w:tcPr>
          <w:p w14:paraId="3693E541" w14:textId="77777777" w:rsidR="003734EC" w:rsidRDefault="003734EC">
            <w:pPr>
              <w:rPr>
                <w:rFonts w:ascii="宋体"/>
                <w:vanish/>
              </w:rPr>
            </w:pPr>
          </w:p>
        </w:tc>
        <w:tc>
          <w:tcPr>
            <w:tcW w:w="0" w:type="auto"/>
            <w:gridSpan w:val="3"/>
            <w:shd w:val="clear" w:color="auto" w:fill="auto"/>
            <w:vAlign w:val="center"/>
          </w:tcPr>
          <w:p w14:paraId="3693E542" w14:textId="77777777" w:rsidR="003734EC" w:rsidRDefault="003734EC">
            <w:pPr>
              <w:rPr>
                <w:rFonts w:ascii="宋体"/>
                <w:vanish/>
              </w:rPr>
            </w:pPr>
          </w:p>
        </w:tc>
        <w:tc>
          <w:tcPr>
            <w:tcW w:w="0" w:type="auto"/>
            <w:shd w:val="clear" w:color="auto" w:fill="auto"/>
            <w:vAlign w:val="center"/>
          </w:tcPr>
          <w:p w14:paraId="3693E543" w14:textId="77777777" w:rsidR="003734EC" w:rsidRDefault="003734EC">
            <w:pPr>
              <w:rPr>
                <w:rFonts w:ascii="宋体"/>
              </w:rPr>
            </w:pPr>
          </w:p>
        </w:tc>
        <w:tc>
          <w:tcPr>
            <w:tcW w:w="0" w:type="auto"/>
            <w:shd w:val="clear" w:color="auto" w:fill="auto"/>
            <w:vAlign w:val="center"/>
          </w:tcPr>
          <w:p w14:paraId="3693E544" w14:textId="77777777" w:rsidR="003734EC" w:rsidRDefault="003734EC">
            <w:pPr>
              <w:rPr>
                <w:rFonts w:ascii="宋体"/>
              </w:rPr>
            </w:pPr>
          </w:p>
        </w:tc>
        <w:tc>
          <w:tcPr>
            <w:tcW w:w="0" w:type="auto"/>
            <w:shd w:val="clear" w:color="auto" w:fill="auto"/>
            <w:vAlign w:val="center"/>
          </w:tcPr>
          <w:p w14:paraId="3693E545" w14:textId="77777777" w:rsidR="003734EC" w:rsidRDefault="003734EC">
            <w:pPr>
              <w:rPr>
                <w:rFonts w:ascii="宋体"/>
              </w:rPr>
            </w:pPr>
          </w:p>
        </w:tc>
        <w:tc>
          <w:tcPr>
            <w:tcW w:w="0" w:type="auto"/>
            <w:shd w:val="clear" w:color="auto" w:fill="auto"/>
            <w:vAlign w:val="center"/>
          </w:tcPr>
          <w:p w14:paraId="3693E546" w14:textId="77777777" w:rsidR="003734EC" w:rsidRDefault="003734EC">
            <w:pPr>
              <w:rPr>
                <w:rFonts w:ascii="宋体"/>
              </w:rPr>
            </w:pPr>
          </w:p>
        </w:tc>
        <w:tc>
          <w:tcPr>
            <w:tcW w:w="0" w:type="auto"/>
            <w:shd w:val="clear" w:color="auto" w:fill="auto"/>
            <w:vAlign w:val="center"/>
          </w:tcPr>
          <w:p w14:paraId="3693E547" w14:textId="77777777" w:rsidR="003734EC" w:rsidRDefault="003734EC">
            <w:pPr>
              <w:rPr>
                <w:rFonts w:ascii="宋体"/>
              </w:rPr>
            </w:pPr>
          </w:p>
        </w:tc>
        <w:tc>
          <w:tcPr>
            <w:tcW w:w="0" w:type="auto"/>
            <w:shd w:val="clear" w:color="auto" w:fill="auto"/>
            <w:vAlign w:val="center"/>
          </w:tcPr>
          <w:p w14:paraId="3693E548" w14:textId="77777777" w:rsidR="003734EC" w:rsidRDefault="003734EC">
            <w:pPr>
              <w:rPr>
                <w:rFonts w:ascii="宋体"/>
              </w:rPr>
            </w:pPr>
          </w:p>
        </w:tc>
      </w:tr>
      <w:tr w:rsidR="003734EC" w14:paraId="3693E554" w14:textId="77777777">
        <w:trPr>
          <w:jc w:val="center"/>
          <w:hidden/>
        </w:trPr>
        <w:tc>
          <w:tcPr>
            <w:tcW w:w="0" w:type="auto"/>
            <w:gridSpan w:val="3"/>
            <w:shd w:val="clear" w:color="auto" w:fill="auto"/>
            <w:vAlign w:val="center"/>
          </w:tcPr>
          <w:p w14:paraId="3693E54A" w14:textId="77777777" w:rsidR="003734EC" w:rsidRDefault="003734EC">
            <w:pPr>
              <w:rPr>
                <w:rFonts w:ascii="宋体"/>
                <w:vanish/>
              </w:rPr>
            </w:pPr>
          </w:p>
        </w:tc>
        <w:tc>
          <w:tcPr>
            <w:tcW w:w="0" w:type="auto"/>
            <w:gridSpan w:val="3"/>
            <w:shd w:val="clear" w:color="auto" w:fill="auto"/>
            <w:vAlign w:val="center"/>
          </w:tcPr>
          <w:p w14:paraId="3693E54B" w14:textId="77777777" w:rsidR="003734EC" w:rsidRDefault="003734EC">
            <w:pPr>
              <w:rPr>
                <w:rFonts w:ascii="宋体"/>
                <w:vanish/>
              </w:rPr>
            </w:pPr>
          </w:p>
        </w:tc>
        <w:tc>
          <w:tcPr>
            <w:tcW w:w="0" w:type="auto"/>
            <w:gridSpan w:val="3"/>
            <w:shd w:val="clear" w:color="auto" w:fill="auto"/>
            <w:vAlign w:val="center"/>
          </w:tcPr>
          <w:p w14:paraId="3693E54C" w14:textId="77777777" w:rsidR="003734EC" w:rsidRDefault="003734EC">
            <w:pPr>
              <w:rPr>
                <w:rFonts w:ascii="宋体"/>
                <w:vanish/>
              </w:rPr>
            </w:pPr>
          </w:p>
        </w:tc>
        <w:tc>
          <w:tcPr>
            <w:tcW w:w="0" w:type="auto"/>
            <w:gridSpan w:val="3"/>
            <w:shd w:val="clear" w:color="auto" w:fill="auto"/>
            <w:vAlign w:val="center"/>
          </w:tcPr>
          <w:p w14:paraId="3693E54D" w14:textId="77777777" w:rsidR="003734EC" w:rsidRDefault="003734EC">
            <w:pPr>
              <w:rPr>
                <w:rFonts w:ascii="宋体"/>
                <w:vanish/>
              </w:rPr>
            </w:pPr>
          </w:p>
        </w:tc>
        <w:tc>
          <w:tcPr>
            <w:tcW w:w="0" w:type="auto"/>
            <w:shd w:val="clear" w:color="auto" w:fill="auto"/>
            <w:vAlign w:val="center"/>
          </w:tcPr>
          <w:p w14:paraId="3693E54E" w14:textId="77777777" w:rsidR="003734EC" w:rsidRDefault="003734EC">
            <w:pPr>
              <w:rPr>
                <w:rFonts w:ascii="宋体"/>
              </w:rPr>
            </w:pPr>
          </w:p>
        </w:tc>
        <w:tc>
          <w:tcPr>
            <w:tcW w:w="0" w:type="auto"/>
            <w:shd w:val="clear" w:color="auto" w:fill="auto"/>
            <w:vAlign w:val="center"/>
          </w:tcPr>
          <w:p w14:paraId="3693E54F" w14:textId="77777777" w:rsidR="003734EC" w:rsidRDefault="003734EC">
            <w:pPr>
              <w:rPr>
                <w:rFonts w:ascii="宋体"/>
              </w:rPr>
            </w:pPr>
          </w:p>
        </w:tc>
        <w:tc>
          <w:tcPr>
            <w:tcW w:w="0" w:type="auto"/>
            <w:shd w:val="clear" w:color="auto" w:fill="auto"/>
            <w:vAlign w:val="center"/>
          </w:tcPr>
          <w:p w14:paraId="3693E550" w14:textId="77777777" w:rsidR="003734EC" w:rsidRDefault="003734EC">
            <w:pPr>
              <w:rPr>
                <w:rFonts w:ascii="宋体"/>
              </w:rPr>
            </w:pPr>
          </w:p>
        </w:tc>
        <w:tc>
          <w:tcPr>
            <w:tcW w:w="0" w:type="auto"/>
            <w:shd w:val="clear" w:color="auto" w:fill="auto"/>
            <w:vAlign w:val="center"/>
          </w:tcPr>
          <w:p w14:paraId="3693E551" w14:textId="77777777" w:rsidR="003734EC" w:rsidRDefault="003734EC">
            <w:pPr>
              <w:rPr>
                <w:rFonts w:ascii="宋体"/>
              </w:rPr>
            </w:pPr>
          </w:p>
        </w:tc>
        <w:tc>
          <w:tcPr>
            <w:tcW w:w="0" w:type="auto"/>
            <w:shd w:val="clear" w:color="auto" w:fill="auto"/>
            <w:vAlign w:val="center"/>
          </w:tcPr>
          <w:p w14:paraId="3693E552" w14:textId="77777777" w:rsidR="003734EC" w:rsidRDefault="003734EC">
            <w:pPr>
              <w:rPr>
                <w:rFonts w:ascii="宋体"/>
              </w:rPr>
            </w:pPr>
          </w:p>
        </w:tc>
        <w:tc>
          <w:tcPr>
            <w:tcW w:w="0" w:type="auto"/>
            <w:shd w:val="clear" w:color="auto" w:fill="auto"/>
            <w:vAlign w:val="center"/>
          </w:tcPr>
          <w:p w14:paraId="3693E553" w14:textId="77777777" w:rsidR="003734EC" w:rsidRDefault="003734EC">
            <w:pPr>
              <w:rPr>
                <w:rFonts w:ascii="宋体"/>
              </w:rPr>
            </w:pPr>
          </w:p>
        </w:tc>
      </w:tr>
      <w:tr w:rsidR="003734EC" w14:paraId="3693E561" w14:textId="77777777">
        <w:trPr>
          <w:jc w:val="center"/>
        </w:trPr>
        <w:tc>
          <w:tcPr>
            <w:tcW w:w="0" w:type="auto"/>
            <w:gridSpan w:val="3"/>
            <w:shd w:val="clear" w:color="auto" w:fill="E2EFD9"/>
            <w:tcMar>
              <w:top w:w="40" w:type="dxa"/>
              <w:left w:w="135" w:type="dxa"/>
              <w:bottom w:w="40" w:type="dxa"/>
              <w:right w:w="20" w:type="dxa"/>
            </w:tcMar>
            <w:vAlign w:val="bottom"/>
          </w:tcPr>
          <w:p w14:paraId="3693E555" w14:textId="77777777" w:rsidR="003734EC" w:rsidRDefault="000E364E">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3693E556" w14:textId="77777777" w:rsidR="003734EC" w:rsidRDefault="000E364E">
            <w:pPr>
              <w:jc w:val="right"/>
              <w:textAlignment w:val="bottom"/>
            </w:pPr>
            <w:r>
              <w:rPr>
                <w:rFonts w:ascii="sans-serif" w:eastAsia="sans-serif" w:hAnsi="sans-serif" w:cs="sans-serif"/>
                <w:color w:val="000000"/>
                <w:sz w:val="18"/>
                <w:szCs w:val="18"/>
              </w:rPr>
              <w:t>(3)</w:t>
            </w:r>
          </w:p>
        </w:tc>
        <w:tc>
          <w:tcPr>
            <w:tcW w:w="0" w:type="auto"/>
            <w:shd w:val="clear" w:color="auto" w:fill="E2EFD9"/>
            <w:tcMar>
              <w:top w:w="40" w:type="dxa"/>
              <w:bottom w:w="40" w:type="dxa"/>
              <w:right w:w="20" w:type="dxa"/>
            </w:tcMar>
            <w:vAlign w:val="bottom"/>
          </w:tcPr>
          <w:p w14:paraId="3693E557"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58"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559"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bottom w:w="40" w:type="dxa"/>
              <w:right w:w="20" w:type="dxa"/>
            </w:tcMar>
            <w:vAlign w:val="bottom"/>
          </w:tcPr>
          <w:p w14:paraId="3693E55A"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5B" w14:textId="77777777" w:rsidR="003734EC" w:rsidRDefault="003734EC">
            <w:pPr>
              <w:rPr>
                <w:rFonts w:ascii="宋体"/>
              </w:rPr>
            </w:pPr>
          </w:p>
        </w:tc>
        <w:tc>
          <w:tcPr>
            <w:tcW w:w="0" w:type="auto"/>
            <w:shd w:val="clear" w:color="auto" w:fill="auto"/>
            <w:vAlign w:val="center"/>
          </w:tcPr>
          <w:p w14:paraId="3693E55C" w14:textId="77777777" w:rsidR="003734EC" w:rsidRDefault="003734EC">
            <w:pPr>
              <w:rPr>
                <w:rFonts w:ascii="宋体"/>
              </w:rPr>
            </w:pPr>
          </w:p>
        </w:tc>
        <w:tc>
          <w:tcPr>
            <w:tcW w:w="0" w:type="auto"/>
            <w:shd w:val="clear" w:color="auto" w:fill="auto"/>
            <w:vAlign w:val="center"/>
          </w:tcPr>
          <w:p w14:paraId="3693E55D" w14:textId="77777777" w:rsidR="003734EC" w:rsidRDefault="003734EC">
            <w:pPr>
              <w:rPr>
                <w:rFonts w:ascii="宋体"/>
              </w:rPr>
            </w:pPr>
          </w:p>
        </w:tc>
        <w:tc>
          <w:tcPr>
            <w:tcW w:w="0" w:type="auto"/>
            <w:shd w:val="clear" w:color="auto" w:fill="auto"/>
            <w:vAlign w:val="center"/>
          </w:tcPr>
          <w:p w14:paraId="3693E55E" w14:textId="77777777" w:rsidR="003734EC" w:rsidRDefault="003734EC">
            <w:pPr>
              <w:rPr>
                <w:rFonts w:ascii="宋体"/>
              </w:rPr>
            </w:pPr>
          </w:p>
        </w:tc>
        <w:tc>
          <w:tcPr>
            <w:tcW w:w="0" w:type="auto"/>
            <w:shd w:val="clear" w:color="auto" w:fill="auto"/>
            <w:vAlign w:val="center"/>
          </w:tcPr>
          <w:p w14:paraId="3693E55F" w14:textId="77777777" w:rsidR="003734EC" w:rsidRDefault="003734EC">
            <w:pPr>
              <w:rPr>
                <w:rFonts w:ascii="宋体"/>
              </w:rPr>
            </w:pPr>
          </w:p>
        </w:tc>
        <w:tc>
          <w:tcPr>
            <w:tcW w:w="0" w:type="auto"/>
            <w:shd w:val="clear" w:color="auto" w:fill="auto"/>
            <w:vAlign w:val="center"/>
          </w:tcPr>
          <w:p w14:paraId="3693E560" w14:textId="77777777" w:rsidR="003734EC" w:rsidRDefault="003734EC">
            <w:pPr>
              <w:rPr>
                <w:rFonts w:ascii="宋体"/>
              </w:rPr>
            </w:pPr>
          </w:p>
        </w:tc>
      </w:tr>
      <w:tr w:rsidR="003734EC" w14:paraId="3693E56F" w14:textId="77777777">
        <w:trPr>
          <w:jc w:val="center"/>
        </w:trPr>
        <w:tc>
          <w:tcPr>
            <w:tcW w:w="0" w:type="auto"/>
            <w:gridSpan w:val="2"/>
            <w:shd w:val="clear" w:color="auto" w:fill="FFFFFF"/>
            <w:tcMar>
              <w:top w:w="40" w:type="dxa"/>
              <w:left w:w="20" w:type="dxa"/>
              <w:bottom w:w="40" w:type="dxa"/>
              <w:right w:w="0" w:type="dxa"/>
            </w:tcMar>
            <w:vAlign w:val="bottom"/>
          </w:tcPr>
          <w:p w14:paraId="3693E562" w14:textId="77777777" w:rsidR="003734EC" w:rsidRDefault="000E364E">
            <w:pPr>
              <w:textAlignment w:val="bottom"/>
            </w:pPr>
            <w:r>
              <w:rPr>
                <w:rFonts w:ascii="sans-serif" w:eastAsia="sans-serif" w:hAnsi="sans-serif" w:cs="sans-serif"/>
                <w:color w:val="000000"/>
                <w:sz w:val="18"/>
                <w:szCs w:val="18"/>
              </w:rPr>
              <w:t>Net cash provided by (used in) financing activities</w:t>
            </w:r>
          </w:p>
        </w:tc>
        <w:tc>
          <w:tcPr>
            <w:tcW w:w="0" w:type="auto"/>
            <w:shd w:val="clear" w:color="auto" w:fill="FFFFFF"/>
            <w:tcMar>
              <w:top w:w="40" w:type="dxa"/>
              <w:bottom w:w="40" w:type="dxa"/>
              <w:right w:w="20" w:type="dxa"/>
            </w:tcMar>
            <w:vAlign w:val="bottom"/>
          </w:tcPr>
          <w:p w14:paraId="3693E563"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564" w14:textId="77777777" w:rsidR="003734EC" w:rsidRDefault="000E364E">
            <w:pPr>
              <w:jc w:val="right"/>
              <w:textAlignment w:val="bottom"/>
            </w:pPr>
            <w:r>
              <w:rPr>
                <w:rFonts w:ascii="sans-serif" w:eastAsia="sans-serif" w:hAnsi="sans-serif" w:cs="sans-serif"/>
                <w:color w:val="000000"/>
                <w:sz w:val="18"/>
                <w:szCs w:val="18"/>
              </w:rPr>
              <w:t>4,744 </w:t>
            </w:r>
          </w:p>
        </w:tc>
        <w:tc>
          <w:tcPr>
            <w:tcW w:w="0" w:type="auto"/>
            <w:tcBorders>
              <w:top w:val="single" w:sz="8" w:space="0" w:color="000000"/>
            </w:tcBorders>
            <w:shd w:val="clear" w:color="auto" w:fill="FFFFFF"/>
            <w:tcMar>
              <w:top w:w="40" w:type="dxa"/>
              <w:bottom w:w="40" w:type="dxa"/>
              <w:right w:w="20" w:type="dxa"/>
            </w:tcMar>
            <w:vAlign w:val="bottom"/>
          </w:tcPr>
          <w:p w14:paraId="3693E56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566"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567" w14:textId="77777777" w:rsidR="003734EC" w:rsidRDefault="000E364E">
            <w:pPr>
              <w:jc w:val="right"/>
              <w:textAlignment w:val="bottom"/>
            </w:pPr>
            <w:r>
              <w:rPr>
                <w:rFonts w:ascii="sans-serif" w:eastAsia="sans-serif" w:hAnsi="sans-serif" w:cs="sans-serif"/>
                <w:color w:val="000000"/>
                <w:sz w:val="18"/>
                <w:szCs w:val="18"/>
              </w:rPr>
              <w:t>(225)</w:t>
            </w:r>
          </w:p>
        </w:tc>
        <w:tc>
          <w:tcPr>
            <w:tcW w:w="0" w:type="auto"/>
            <w:tcBorders>
              <w:top w:val="single" w:sz="8" w:space="0" w:color="000000"/>
            </w:tcBorders>
            <w:shd w:val="clear" w:color="auto" w:fill="FFFFFF"/>
            <w:tcMar>
              <w:top w:w="40" w:type="dxa"/>
              <w:bottom w:w="40" w:type="dxa"/>
              <w:right w:w="20" w:type="dxa"/>
            </w:tcMar>
            <w:vAlign w:val="bottom"/>
          </w:tcPr>
          <w:p w14:paraId="3693E568"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69" w14:textId="77777777" w:rsidR="003734EC" w:rsidRDefault="003734EC">
            <w:pPr>
              <w:rPr>
                <w:rFonts w:ascii="宋体"/>
              </w:rPr>
            </w:pPr>
          </w:p>
        </w:tc>
        <w:tc>
          <w:tcPr>
            <w:tcW w:w="0" w:type="auto"/>
            <w:shd w:val="clear" w:color="auto" w:fill="auto"/>
            <w:vAlign w:val="center"/>
          </w:tcPr>
          <w:p w14:paraId="3693E56A" w14:textId="77777777" w:rsidR="003734EC" w:rsidRDefault="003734EC">
            <w:pPr>
              <w:rPr>
                <w:rFonts w:ascii="宋体"/>
              </w:rPr>
            </w:pPr>
          </w:p>
        </w:tc>
        <w:tc>
          <w:tcPr>
            <w:tcW w:w="0" w:type="auto"/>
            <w:shd w:val="clear" w:color="auto" w:fill="auto"/>
            <w:vAlign w:val="center"/>
          </w:tcPr>
          <w:p w14:paraId="3693E56B" w14:textId="77777777" w:rsidR="003734EC" w:rsidRDefault="003734EC">
            <w:pPr>
              <w:rPr>
                <w:rFonts w:ascii="宋体"/>
              </w:rPr>
            </w:pPr>
          </w:p>
        </w:tc>
        <w:tc>
          <w:tcPr>
            <w:tcW w:w="0" w:type="auto"/>
            <w:shd w:val="clear" w:color="auto" w:fill="auto"/>
            <w:vAlign w:val="center"/>
          </w:tcPr>
          <w:p w14:paraId="3693E56C" w14:textId="77777777" w:rsidR="003734EC" w:rsidRDefault="003734EC">
            <w:pPr>
              <w:rPr>
                <w:rFonts w:ascii="宋体"/>
              </w:rPr>
            </w:pPr>
          </w:p>
        </w:tc>
        <w:tc>
          <w:tcPr>
            <w:tcW w:w="0" w:type="auto"/>
            <w:shd w:val="clear" w:color="auto" w:fill="auto"/>
            <w:vAlign w:val="center"/>
          </w:tcPr>
          <w:p w14:paraId="3693E56D" w14:textId="77777777" w:rsidR="003734EC" w:rsidRDefault="003734EC">
            <w:pPr>
              <w:rPr>
                <w:rFonts w:ascii="宋体"/>
              </w:rPr>
            </w:pPr>
          </w:p>
        </w:tc>
        <w:tc>
          <w:tcPr>
            <w:tcW w:w="0" w:type="auto"/>
            <w:shd w:val="clear" w:color="auto" w:fill="auto"/>
            <w:vAlign w:val="center"/>
          </w:tcPr>
          <w:p w14:paraId="3693E56E" w14:textId="77777777" w:rsidR="003734EC" w:rsidRDefault="003734EC">
            <w:pPr>
              <w:rPr>
                <w:rFonts w:ascii="宋体"/>
              </w:rPr>
            </w:pPr>
          </w:p>
        </w:tc>
      </w:tr>
      <w:tr w:rsidR="003734EC" w14:paraId="3693E57C" w14:textId="77777777">
        <w:trPr>
          <w:jc w:val="center"/>
        </w:trPr>
        <w:tc>
          <w:tcPr>
            <w:tcW w:w="0" w:type="auto"/>
            <w:gridSpan w:val="3"/>
            <w:shd w:val="clear" w:color="auto" w:fill="E2EFD9"/>
            <w:tcMar>
              <w:top w:w="40" w:type="dxa"/>
              <w:left w:w="20" w:type="dxa"/>
              <w:bottom w:w="40" w:type="dxa"/>
              <w:right w:w="20" w:type="dxa"/>
            </w:tcMar>
            <w:vAlign w:val="bottom"/>
          </w:tcPr>
          <w:p w14:paraId="3693E570" w14:textId="77777777" w:rsidR="003734EC" w:rsidRDefault="000E364E">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571" w14:textId="77777777" w:rsidR="003734EC" w:rsidRDefault="000E364E">
            <w:pPr>
              <w:jc w:val="right"/>
              <w:textAlignment w:val="bottom"/>
            </w:pPr>
            <w:r>
              <w:rPr>
                <w:rFonts w:ascii="sans-serif" w:eastAsia="sans-serif" w:hAnsi="sans-serif" w:cs="sans-serif"/>
                <w:color w:val="000000"/>
                <w:sz w:val="18"/>
                <w:szCs w:val="18"/>
              </w:rPr>
              <w:t>4,598 </w:t>
            </w:r>
          </w:p>
        </w:tc>
        <w:tc>
          <w:tcPr>
            <w:tcW w:w="0" w:type="auto"/>
            <w:tcBorders>
              <w:top w:val="single" w:sz="8" w:space="0" w:color="000000"/>
            </w:tcBorders>
            <w:shd w:val="clear" w:color="auto" w:fill="E2EFD9"/>
            <w:tcMar>
              <w:top w:w="40" w:type="dxa"/>
              <w:bottom w:w="40" w:type="dxa"/>
              <w:right w:w="20" w:type="dxa"/>
            </w:tcMar>
            <w:vAlign w:val="bottom"/>
          </w:tcPr>
          <w:p w14:paraId="3693E57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73"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E574" w14:textId="77777777" w:rsidR="003734EC" w:rsidRDefault="000E364E">
            <w:pPr>
              <w:jc w:val="right"/>
              <w:textAlignment w:val="bottom"/>
            </w:pPr>
            <w:r>
              <w:rPr>
                <w:rFonts w:ascii="sans-serif" w:eastAsia="sans-serif" w:hAnsi="sans-serif" w:cs="sans-serif"/>
                <w:color w:val="000000"/>
                <w:sz w:val="18"/>
                <w:szCs w:val="18"/>
              </w:rPr>
              <w:t>1,990 </w:t>
            </w:r>
          </w:p>
        </w:tc>
        <w:tc>
          <w:tcPr>
            <w:tcW w:w="0" w:type="auto"/>
            <w:tcBorders>
              <w:top w:val="single" w:sz="8" w:space="0" w:color="000000"/>
            </w:tcBorders>
            <w:shd w:val="clear" w:color="auto" w:fill="E2EFD9"/>
            <w:tcMar>
              <w:top w:w="40" w:type="dxa"/>
              <w:bottom w:w="40" w:type="dxa"/>
              <w:right w:w="20" w:type="dxa"/>
            </w:tcMar>
            <w:vAlign w:val="bottom"/>
          </w:tcPr>
          <w:p w14:paraId="3693E575"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76" w14:textId="77777777" w:rsidR="003734EC" w:rsidRDefault="003734EC">
            <w:pPr>
              <w:rPr>
                <w:rFonts w:ascii="宋体"/>
              </w:rPr>
            </w:pPr>
          </w:p>
        </w:tc>
        <w:tc>
          <w:tcPr>
            <w:tcW w:w="0" w:type="auto"/>
            <w:shd w:val="clear" w:color="auto" w:fill="auto"/>
            <w:vAlign w:val="center"/>
          </w:tcPr>
          <w:p w14:paraId="3693E577" w14:textId="77777777" w:rsidR="003734EC" w:rsidRDefault="003734EC">
            <w:pPr>
              <w:rPr>
                <w:rFonts w:ascii="宋体"/>
              </w:rPr>
            </w:pPr>
          </w:p>
        </w:tc>
        <w:tc>
          <w:tcPr>
            <w:tcW w:w="0" w:type="auto"/>
            <w:shd w:val="clear" w:color="auto" w:fill="auto"/>
            <w:vAlign w:val="center"/>
          </w:tcPr>
          <w:p w14:paraId="3693E578" w14:textId="77777777" w:rsidR="003734EC" w:rsidRDefault="003734EC">
            <w:pPr>
              <w:rPr>
                <w:rFonts w:ascii="宋体"/>
              </w:rPr>
            </w:pPr>
          </w:p>
        </w:tc>
        <w:tc>
          <w:tcPr>
            <w:tcW w:w="0" w:type="auto"/>
            <w:shd w:val="clear" w:color="auto" w:fill="auto"/>
            <w:vAlign w:val="center"/>
          </w:tcPr>
          <w:p w14:paraId="3693E579" w14:textId="77777777" w:rsidR="003734EC" w:rsidRDefault="003734EC">
            <w:pPr>
              <w:rPr>
                <w:rFonts w:ascii="宋体"/>
              </w:rPr>
            </w:pPr>
          </w:p>
        </w:tc>
        <w:tc>
          <w:tcPr>
            <w:tcW w:w="0" w:type="auto"/>
            <w:shd w:val="clear" w:color="auto" w:fill="auto"/>
            <w:vAlign w:val="center"/>
          </w:tcPr>
          <w:p w14:paraId="3693E57A" w14:textId="77777777" w:rsidR="003734EC" w:rsidRDefault="003734EC">
            <w:pPr>
              <w:rPr>
                <w:rFonts w:ascii="宋体"/>
              </w:rPr>
            </w:pPr>
          </w:p>
        </w:tc>
        <w:tc>
          <w:tcPr>
            <w:tcW w:w="0" w:type="auto"/>
            <w:shd w:val="clear" w:color="auto" w:fill="auto"/>
            <w:vAlign w:val="center"/>
          </w:tcPr>
          <w:p w14:paraId="3693E57B" w14:textId="77777777" w:rsidR="003734EC" w:rsidRDefault="003734EC">
            <w:pPr>
              <w:rPr>
                <w:rFonts w:ascii="宋体"/>
              </w:rPr>
            </w:pPr>
          </w:p>
        </w:tc>
      </w:tr>
      <w:tr w:rsidR="003734EC" w14:paraId="3693E589" w14:textId="77777777">
        <w:trPr>
          <w:jc w:val="center"/>
        </w:trPr>
        <w:tc>
          <w:tcPr>
            <w:tcW w:w="0" w:type="auto"/>
            <w:gridSpan w:val="3"/>
            <w:shd w:val="clear" w:color="auto" w:fill="FFFFFF"/>
            <w:tcMar>
              <w:top w:w="40" w:type="dxa"/>
              <w:left w:w="20" w:type="dxa"/>
              <w:bottom w:w="40" w:type="dxa"/>
              <w:right w:w="20" w:type="dxa"/>
            </w:tcMar>
            <w:vAlign w:val="bottom"/>
          </w:tcPr>
          <w:p w14:paraId="3693E57D" w14:textId="77777777" w:rsidR="003734EC" w:rsidRDefault="000E364E">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FFFFFF"/>
            <w:tcMar>
              <w:top w:w="40" w:type="dxa"/>
              <w:left w:w="20" w:type="dxa"/>
              <w:bottom w:w="40" w:type="dxa"/>
              <w:right w:w="0" w:type="dxa"/>
            </w:tcMar>
            <w:vAlign w:val="bottom"/>
          </w:tcPr>
          <w:p w14:paraId="3693E57E" w14:textId="77777777" w:rsidR="003734EC" w:rsidRDefault="000E364E">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bottom w:w="40" w:type="dxa"/>
              <w:right w:w="20" w:type="dxa"/>
            </w:tcMar>
            <w:vAlign w:val="bottom"/>
          </w:tcPr>
          <w:p w14:paraId="3693E57F"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58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581" w14:textId="77777777" w:rsidR="003734EC" w:rsidRDefault="000E364E">
            <w:pPr>
              <w:jc w:val="right"/>
              <w:textAlignment w:val="bottom"/>
            </w:pPr>
            <w:r>
              <w:rPr>
                <w:rFonts w:ascii="sans-serif" w:eastAsia="sans-serif" w:hAnsi="sans-serif" w:cs="sans-serif"/>
                <w:color w:val="000000"/>
                <w:sz w:val="18"/>
                <w:szCs w:val="18"/>
              </w:rPr>
              <w:t>782 </w:t>
            </w:r>
          </w:p>
        </w:tc>
        <w:tc>
          <w:tcPr>
            <w:tcW w:w="0" w:type="auto"/>
            <w:shd w:val="clear" w:color="auto" w:fill="FFFFFF"/>
            <w:tcMar>
              <w:top w:w="40" w:type="dxa"/>
              <w:bottom w:w="40" w:type="dxa"/>
              <w:right w:w="20" w:type="dxa"/>
            </w:tcMar>
            <w:vAlign w:val="bottom"/>
          </w:tcPr>
          <w:p w14:paraId="3693E58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83" w14:textId="77777777" w:rsidR="003734EC" w:rsidRDefault="003734EC">
            <w:pPr>
              <w:rPr>
                <w:rFonts w:ascii="宋体"/>
              </w:rPr>
            </w:pPr>
          </w:p>
        </w:tc>
        <w:tc>
          <w:tcPr>
            <w:tcW w:w="0" w:type="auto"/>
            <w:shd w:val="clear" w:color="auto" w:fill="auto"/>
            <w:vAlign w:val="center"/>
          </w:tcPr>
          <w:p w14:paraId="3693E584" w14:textId="77777777" w:rsidR="003734EC" w:rsidRDefault="003734EC">
            <w:pPr>
              <w:rPr>
                <w:rFonts w:ascii="宋体"/>
              </w:rPr>
            </w:pPr>
          </w:p>
        </w:tc>
        <w:tc>
          <w:tcPr>
            <w:tcW w:w="0" w:type="auto"/>
            <w:shd w:val="clear" w:color="auto" w:fill="auto"/>
            <w:vAlign w:val="center"/>
          </w:tcPr>
          <w:p w14:paraId="3693E585" w14:textId="77777777" w:rsidR="003734EC" w:rsidRDefault="003734EC">
            <w:pPr>
              <w:rPr>
                <w:rFonts w:ascii="宋体"/>
              </w:rPr>
            </w:pPr>
          </w:p>
        </w:tc>
        <w:tc>
          <w:tcPr>
            <w:tcW w:w="0" w:type="auto"/>
            <w:shd w:val="clear" w:color="auto" w:fill="auto"/>
            <w:vAlign w:val="center"/>
          </w:tcPr>
          <w:p w14:paraId="3693E586" w14:textId="77777777" w:rsidR="003734EC" w:rsidRDefault="003734EC">
            <w:pPr>
              <w:rPr>
                <w:rFonts w:ascii="宋体"/>
              </w:rPr>
            </w:pPr>
          </w:p>
        </w:tc>
        <w:tc>
          <w:tcPr>
            <w:tcW w:w="0" w:type="auto"/>
            <w:shd w:val="clear" w:color="auto" w:fill="auto"/>
            <w:vAlign w:val="center"/>
          </w:tcPr>
          <w:p w14:paraId="3693E587" w14:textId="77777777" w:rsidR="003734EC" w:rsidRDefault="003734EC">
            <w:pPr>
              <w:rPr>
                <w:rFonts w:ascii="宋体"/>
              </w:rPr>
            </w:pPr>
          </w:p>
        </w:tc>
        <w:tc>
          <w:tcPr>
            <w:tcW w:w="0" w:type="auto"/>
            <w:shd w:val="clear" w:color="auto" w:fill="auto"/>
            <w:vAlign w:val="center"/>
          </w:tcPr>
          <w:p w14:paraId="3693E588" w14:textId="77777777" w:rsidR="003734EC" w:rsidRDefault="003734EC">
            <w:pPr>
              <w:rPr>
                <w:rFonts w:ascii="宋体"/>
              </w:rPr>
            </w:pPr>
          </w:p>
        </w:tc>
      </w:tr>
      <w:tr w:rsidR="003734EC" w14:paraId="3693E598" w14:textId="77777777">
        <w:trPr>
          <w:jc w:val="center"/>
        </w:trPr>
        <w:tc>
          <w:tcPr>
            <w:tcW w:w="0" w:type="auto"/>
            <w:gridSpan w:val="3"/>
            <w:shd w:val="clear" w:color="auto" w:fill="E2EFD9"/>
            <w:tcMar>
              <w:top w:w="40" w:type="dxa"/>
              <w:left w:w="20" w:type="dxa"/>
              <w:bottom w:w="40" w:type="dxa"/>
              <w:right w:w="20" w:type="dxa"/>
            </w:tcMar>
            <w:vAlign w:val="bottom"/>
          </w:tcPr>
          <w:p w14:paraId="3693E58A" w14:textId="77777777" w:rsidR="003734EC" w:rsidRDefault="000E364E">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E2EFD9"/>
            <w:tcMar>
              <w:top w:w="40" w:type="dxa"/>
              <w:left w:w="20" w:type="dxa"/>
              <w:bottom w:w="40" w:type="dxa"/>
            </w:tcMar>
            <w:vAlign w:val="bottom"/>
          </w:tcPr>
          <w:p w14:paraId="3693E58B" w14:textId="77777777" w:rsidR="003734EC" w:rsidRDefault="000E364E">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bottom w:w="40" w:type="dxa"/>
              <w:right w:w="0" w:type="dxa"/>
            </w:tcMar>
            <w:vAlign w:val="bottom"/>
          </w:tcPr>
          <w:p w14:paraId="3693E58C" w14:textId="77777777" w:rsidR="003734EC" w:rsidRDefault="000E364E">
            <w:pPr>
              <w:jc w:val="right"/>
              <w:textAlignment w:val="bottom"/>
            </w:pPr>
            <w:r>
              <w:rPr>
                <w:rFonts w:ascii="sans-serif" w:eastAsia="sans-serif" w:hAnsi="sans-serif" w:cs="sans-serif"/>
                <w:color w:val="000000"/>
                <w:sz w:val="18"/>
                <w:szCs w:val="18"/>
              </w:rPr>
              <w:t>15,494 </w:t>
            </w:r>
          </w:p>
        </w:tc>
        <w:tc>
          <w:tcPr>
            <w:tcW w:w="0" w:type="auto"/>
            <w:tcBorders>
              <w:top w:val="single" w:sz="8" w:space="0" w:color="000000"/>
            </w:tcBorders>
            <w:shd w:val="clear" w:color="auto" w:fill="E2EFD9"/>
            <w:tcMar>
              <w:top w:w="40" w:type="dxa"/>
              <w:bottom w:w="40" w:type="dxa"/>
              <w:right w:w="20" w:type="dxa"/>
            </w:tcMar>
            <w:vAlign w:val="bottom"/>
          </w:tcPr>
          <w:p w14:paraId="3693E58D"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8E" w14:textId="77777777" w:rsidR="003734EC" w:rsidRDefault="003734EC">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3693E58F" w14:textId="77777777" w:rsidR="003734EC" w:rsidRDefault="000E364E">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bottom w:w="40" w:type="dxa"/>
              <w:right w:w="0" w:type="dxa"/>
            </w:tcMar>
            <w:vAlign w:val="bottom"/>
          </w:tcPr>
          <w:p w14:paraId="3693E590" w14:textId="77777777" w:rsidR="003734EC" w:rsidRDefault="000E364E">
            <w:pPr>
              <w:jc w:val="right"/>
              <w:textAlignment w:val="bottom"/>
            </w:pPr>
            <w:r>
              <w:rPr>
                <w:rFonts w:ascii="sans-serif" w:eastAsia="sans-serif" w:hAnsi="sans-serif" w:cs="sans-serif"/>
                <w:color w:val="000000"/>
                <w:sz w:val="18"/>
                <w:szCs w:val="18"/>
              </w:rPr>
              <w:t>2,772 </w:t>
            </w:r>
          </w:p>
        </w:tc>
        <w:tc>
          <w:tcPr>
            <w:tcW w:w="0" w:type="auto"/>
            <w:tcBorders>
              <w:top w:val="single" w:sz="8" w:space="0" w:color="000000"/>
            </w:tcBorders>
            <w:shd w:val="clear" w:color="auto" w:fill="E2EFD9"/>
            <w:tcMar>
              <w:top w:w="40" w:type="dxa"/>
              <w:bottom w:w="40" w:type="dxa"/>
              <w:right w:w="20" w:type="dxa"/>
            </w:tcMar>
            <w:vAlign w:val="bottom"/>
          </w:tcPr>
          <w:p w14:paraId="3693E591"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92" w14:textId="77777777" w:rsidR="003734EC" w:rsidRDefault="003734EC">
            <w:pPr>
              <w:rPr>
                <w:rFonts w:ascii="宋体"/>
              </w:rPr>
            </w:pPr>
          </w:p>
        </w:tc>
        <w:tc>
          <w:tcPr>
            <w:tcW w:w="0" w:type="auto"/>
            <w:shd w:val="clear" w:color="auto" w:fill="auto"/>
            <w:vAlign w:val="center"/>
          </w:tcPr>
          <w:p w14:paraId="3693E593" w14:textId="77777777" w:rsidR="003734EC" w:rsidRDefault="003734EC">
            <w:pPr>
              <w:rPr>
                <w:rFonts w:ascii="宋体"/>
              </w:rPr>
            </w:pPr>
          </w:p>
        </w:tc>
        <w:tc>
          <w:tcPr>
            <w:tcW w:w="0" w:type="auto"/>
            <w:shd w:val="clear" w:color="auto" w:fill="auto"/>
            <w:vAlign w:val="center"/>
          </w:tcPr>
          <w:p w14:paraId="3693E594" w14:textId="77777777" w:rsidR="003734EC" w:rsidRDefault="003734EC">
            <w:pPr>
              <w:rPr>
                <w:rFonts w:ascii="宋体"/>
              </w:rPr>
            </w:pPr>
          </w:p>
        </w:tc>
        <w:tc>
          <w:tcPr>
            <w:tcW w:w="0" w:type="auto"/>
            <w:shd w:val="clear" w:color="auto" w:fill="auto"/>
            <w:vAlign w:val="center"/>
          </w:tcPr>
          <w:p w14:paraId="3693E595" w14:textId="77777777" w:rsidR="003734EC" w:rsidRDefault="003734EC">
            <w:pPr>
              <w:rPr>
                <w:rFonts w:ascii="宋体"/>
              </w:rPr>
            </w:pPr>
          </w:p>
        </w:tc>
        <w:tc>
          <w:tcPr>
            <w:tcW w:w="0" w:type="auto"/>
            <w:shd w:val="clear" w:color="auto" w:fill="auto"/>
            <w:vAlign w:val="center"/>
          </w:tcPr>
          <w:p w14:paraId="3693E596" w14:textId="77777777" w:rsidR="003734EC" w:rsidRDefault="003734EC">
            <w:pPr>
              <w:rPr>
                <w:rFonts w:ascii="宋体"/>
              </w:rPr>
            </w:pPr>
          </w:p>
        </w:tc>
        <w:tc>
          <w:tcPr>
            <w:tcW w:w="0" w:type="auto"/>
            <w:shd w:val="clear" w:color="auto" w:fill="auto"/>
            <w:vAlign w:val="center"/>
          </w:tcPr>
          <w:p w14:paraId="3693E597" w14:textId="77777777" w:rsidR="003734EC" w:rsidRDefault="003734EC">
            <w:pPr>
              <w:rPr>
                <w:rFonts w:ascii="宋体"/>
              </w:rPr>
            </w:pPr>
          </w:p>
        </w:tc>
      </w:tr>
      <w:tr w:rsidR="003734EC" w14:paraId="3693E5A3" w14:textId="77777777">
        <w:trPr>
          <w:trHeight w:val="240"/>
          <w:jc w:val="center"/>
        </w:trPr>
        <w:tc>
          <w:tcPr>
            <w:tcW w:w="0" w:type="auto"/>
            <w:gridSpan w:val="3"/>
            <w:shd w:val="clear" w:color="auto" w:fill="FFFFFF"/>
            <w:tcMar>
              <w:left w:w="20" w:type="dxa"/>
              <w:right w:w="20" w:type="dxa"/>
            </w:tcMar>
            <w:vAlign w:val="bottom"/>
          </w:tcPr>
          <w:p w14:paraId="3693E599"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E59A"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59B" w14:textId="77777777" w:rsidR="003734EC" w:rsidRDefault="003734EC">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693E59C" w14:textId="77777777" w:rsidR="003734EC" w:rsidRDefault="003734EC">
            <w:pPr>
              <w:rPr>
                <w:rFonts w:ascii="宋体"/>
              </w:rPr>
            </w:pPr>
          </w:p>
        </w:tc>
        <w:tc>
          <w:tcPr>
            <w:tcW w:w="0" w:type="auto"/>
            <w:shd w:val="clear" w:color="auto" w:fill="auto"/>
            <w:vAlign w:val="center"/>
          </w:tcPr>
          <w:p w14:paraId="3693E59D" w14:textId="77777777" w:rsidR="003734EC" w:rsidRDefault="003734EC">
            <w:pPr>
              <w:rPr>
                <w:rFonts w:ascii="宋体"/>
              </w:rPr>
            </w:pPr>
          </w:p>
        </w:tc>
        <w:tc>
          <w:tcPr>
            <w:tcW w:w="0" w:type="auto"/>
            <w:shd w:val="clear" w:color="auto" w:fill="auto"/>
            <w:vAlign w:val="center"/>
          </w:tcPr>
          <w:p w14:paraId="3693E59E" w14:textId="77777777" w:rsidR="003734EC" w:rsidRDefault="003734EC">
            <w:pPr>
              <w:rPr>
                <w:rFonts w:ascii="宋体"/>
              </w:rPr>
            </w:pPr>
          </w:p>
        </w:tc>
        <w:tc>
          <w:tcPr>
            <w:tcW w:w="0" w:type="auto"/>
            <w:shd w:val="clear" w:color="auto" w:fill="auto"/>
            <w:vAlign w:val="center"/>
          </w:tcPr>
          <w:p w14:paraId="3693E59F" w14:textId="77777777" w:rsidR="003734EC" w:rsidRDefault="003734EC">
            <w:pPr>
              <w:rPr>
                <w:rFonts w:ascii="宋体"/>
              </w:rPr>
            </w:pPr>
          </w:p>
        </w:tc>
        <w:tc>
          <w:tcPr>
            <w:tcW w:w="0" w:type="auto"/>
            <w:shd w:val="clear" w:color="auto" w:fill="auto"/>
            <w:vAlign w:val="center"/>
          </w:tcPr>
          <w:p w14:paraId="3693E5A0" w14:textId="77777777" w:rsidR="003734EC" w:rsidRDefault="003734EC">
            <w:pPr>
              <w:rPr>
                <w:rFonts w:ascii="宋体"/>
              </w:rPr>
            </w:pPr>
          </w:p>
        </w:tc>
        <w:tc>
          <w:tcPr>
            <w:tcW w:w="0" w:type="auto"/>
            <w:shd w:val="clear" w:color="auto" w:fill="auto"/>
            <w:vAlign w:val="center"/>
          </w:tcPr>
          <w:p w14:paraId="3693E5A1" w14:textId="77777777" w:rsidR="003734EC" w:rsidRDefault="003734EC">
            <w:pPr>
              <w:rPr>
                <w:rFonts w:ascii="宋体"/>
              </w:rPr>
            </w:pPr>
          </w:p>
        </w:tc>
        <w:tc>
          <w:tcPr>
            <w:tcW w:w="0" w:type="auto"/>
            <w:shd w:val="clear" w:color="auto" w:fill="auto"/>
            <w:vAlign w:val="center"/>
          </w:tcPr>
          <w:p w14:paraId="3693E5A2" w14:textId="77777777" w:rsidR="003734EC" w:rsidRDefault="003734EC">
            <w:pPr>
              <w:rPr>
                <w:rFonts w:ascii="宋体"/>
              </w:rPr>
            </w:pPr>
          </w:p>
        </w:tc>
      </w:tr>
      <w:tr w:rsidR="003734EC" w14:paraId="3693E5AE" w14:textId="77777777">
        <w:trPr>
          <w:jc w:val="center"/>
        </w:trPr>
        <w:tc>
          <w:tcPr>
            <w:tcW w:w="0" w:type="auto"/>
            <w:gridSpan w:val="3"/>
            <w:shd w:val="clear" w:color="auto" w:fill="E2EFD9"/>
            <w:tcMar>
              <w:top w:w="40" w:type="dxa"/>
              <w:left w:w="20" w:type="dxa"/>
              <w:bottom w:w="40" w:type="dxa"/>
              <w:right w:w="20" w:type="dxa"/>
            </w:tcMar>
            <w:vAlign w:val="bottom"/>
          </w:tcPr>
          <w:p w14:paraId="3693E5A4" w14:textId="77777777" w:rsidR="003734EC" w:rsidRDefault="000E364E">
            <w:pPr>
              <w:textAlignment w:val="bottom"/>
            </w:pPr>
            <w:r>
              <w:rPr>
                <w:rFonts w:ascii="sans-serif" w:eastAsia="sans-serif" w:hAnsi="sans-serif" w:cs="sans-serif"/>
                <w:color w:val="000000"/>
                <w:sz w:val="18"/>
                <w:szCs w:val="18"/>
              </w:rPr>
              <w:t xml:space="preserve">Other non-cash investing </w:t>
            </w:r>
            <w:r>
              <w:rPr>
                <w:rFonts w:ascii="sans-serif" w:eastAsia="sans-serif" w:hAnsi="sans-serif" w:cs="sans-serif"/>
                <w:color w:val="000000"/>
                <w:sz w:val="18"/>
                <w:szCs w:val="18"/>
              </w:rPr>
              <w:t>activity:</w:t>
            </w:r>
          </w:p>
        </w:tc>
        <w:tc>
          <w:tcPr>
            <w:tcW w:w="0" w:type="auto"/>
            <w:gridSpan w:val="3"/>
            <w:shd w:val="clear" w:color="auto" w:fill="E2EFD9"/>
            <w:tcMar>
              <w:top w:w="40" w:type="dxa"/>
              <w:left w:w="20" w:type="dxa"/>
              <w:bottom w:w="40" w:type="dxa"/>
              <w:right w:w="20" w:type="dxa"/>
            </w:tcMar>
            <w:vAlign w:val="bottom"/>
          </w:tcPr>
          <w:p w14:paraId="3693E5A5"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3693E5A6"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E5A7" w14:textId="77777777" w:rsidR="003734EC" w:rsidRDefault="000E364E">
            <w:pPr>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A8" w14:textId="77777777" w:rsidR="003734EC" w:rsidRDefault="003734EC">
            <w:pPr>
              <w:rPr>
                <w:rFonts w:ascii="宋体"/>
              </w:rPr>
            </w:pPr>
          </w:p>
        </w:tc>
        <w:tc>
          <w:tcPr>
            <w:tcW w:w="0" w:type="auto"/>
            <w:shd w:val="clear" w:color="auto" w:fill="auto"/>
            <w:vAlign w:val="center"/>
          </w:tcPr>
          <w:p w14:paraId="3693E5A9" w14:textId="77777777" w:rsidR="003734EC" w:rsidRDefault="003734EC">
            <w:pPr>
              <w:rPr>
                <w:rFonts w:ascii="宋体"/>
              </w:rPr>
            </w:pPr>
          </w:p>
        </w:tc>
        <w:tc>
          <w:tcPr>
            <w:tcW w:w="0" w:type="auto"/>
            <w:shd w:val="clear" w:color="auto" w:fill="auto"/>
            <w:vAlign w:val="center"/>
          </w:tcPr>
          <w:p w14:paraId="3693E5AA" w14:textId="77777777" w:rsidR="003734EC" w:rsidRDefault="003734EC">
            <w:pPr>
              <w:rPr>
                <w:rFonts w:ascii="宋体"/>
              </w:rPr>
            </w:pPr>
          </w:p>
        </w:tc>
        <w:tc>
          <w:tcPr>
            <w:tcW w:w="0" w:type="auto"/>
            <w:shd w:val="clear" w:color="auto" w:fill="auto"/>
            <w:vAlign w:val="center"/>
          </w:tcPr>
          <w:p w14:paraId="3693E5AB" w14:textId="77777777" w:rsidR="003734EC" w:rsidRDefault="003734EC">
            <w:pPr>
              <w:rPr>
                <w:rFonts w:ascii="宋体"/>
              </w:rPr>
            </w:pPr>
          </w:p>
        </w:tc>
        <w:tc>
          <w:tcPr>
            <w:tcW w:w="0" w:type="auto"/>
            <w:shd w:val="clear" w:color="auto" w:fill="auto"/>
            <w:vAlign w:val="center"/>
          </w:tcPr>
          <w:p w14:paraId="3693E5AC" w14:textId="77777777" w:rsidR="003734EC" w:rsidRDefault="003734EC">
            <w:pPr>
              <w:rPr>
                <w:rFonts w:ascii="宋体"/>
              </w:rPr>
            </w:pPr>
          </w:p>
        </w:tc>
        <w:tc>
          <w:tcPr>
            <w:tcW w:w="0" w:type="auto"/>
            <w:shd w:val="clear" w:color="auto" w:fill="auto"/>
            <w:vAlign w:val="center"/>
          </w:tcPr>
          <w:p w14:paraId="3693E5AD" w14:textId="77777777" w:rsidR="003734EC" w:rsidRDefault="003734EC">
            <w:pPr>
              <w:rPr>
                <w:rFonts w:ascii="宋体"/>
              </w:rPr>
            </w:pPr>
          </w:p>
        </w:tc>
      </w:tr>
      <w:tr w:rsidR="003734EC" w14:paraId="3693E5BD" w14:textId="77777777">
        <w:trPr>
          <w:jc w:val="center"/>
        </w:trPr>
        <w:tc>
          <w:tcPr>
            <w:tcW w:w="0" w:type="auto"/>
            <w:gridSpan w:val="3"/>
            <w:shd w:val="clear" w:color="auto" w:fill="FFFFFF"/>
            <w:tcMar>
              <w:top w:w="40" w:type="dxa"/>
              <w:left w:w="20" w:type="dxa"/>
              <w:bottom w:w="40" w:type="dxa"/>
              <w:right w:w="20" w:type="dxa"/>
            </w:tcMar>
            <w:vAlign w:val="bottom"/>
          </w:tcPr>
          <w:p w14:paraId="3693E5AF" w14:textId="77777777" w:rsidR="003734EC" w:rsidRDefault="000E364E">
            <w:pPr>
              <w:textAlignment w:val="bottom"/>
            </w:pPr>
            <w:r>
              <w:rPr>
                <w:rFonts w:ascii="sans-serif" w:eastAsia="sans-serif" w:hAnsi="sans-serif" w:cs="sans-serif"/>
                <w:color w:val="000000"/>
                <w:sz w:val="18"/>
                <w:szCs w:val="18"/>
              </w:rPr>
              <w:t>Assets acquired by assuming related liabilities</w:t>
            </w:r>
          </w:p>
        </w:tc>
        <w:tc>
          <w:tcPr>
            <w:tcW w:w="0" w:type="auto"/>
            <w:shd w:val="clear" w:color="auto" w:fill="FFFFFF"/>
            <w:tcMar>
              <w:top w:w="40" w:type="dxa"/>
              <w:left w:w="20" w:type="dxa"/>
              <w:bottom w:w="40" w:type="dxa"/>
            </w:tcMar>
            <w:vAlign w:val="bottom"/>
          </w:tcPr>
          <w:p w14:paraId="3693E5B0" w14:textId="77777777" w:rsidR="003734EC" w:rsidRDefault="000E364E">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3693E5B1" w14:textId="77777777" w:rsidR="003734EC" w:rsidRDefault="000E364E">
            <w:pPr>
              <w:jc w:val="right"/>
              <w:textAlignment w:val="bottom"/>
            </w:pPr>
            <w:r>
              <w:rPr>
                <w:rFonts w:ascii="sans-serif" w:eastAsia="sans-serif" w:hAnsi="sans-serif" w:cs="sans-serif"/>
                <w:color w:val="000000"/>
                <w:sz w:val="18"/>
                <w:szCs w:val="18"/>
              </w:rPr>
              <w:t>230 </w:t>
            </w:r>
          </w:p>
        </w:tc>
        <w:tc>
          <w:tcPr>
            <w:tcW w:w="0" w:type="auto"/>
            <w:shd w:val="clear" w:color="auto" w:fill="FFFFFF"/>
            <w:tcMar>
              <w:top w:w="40" w:type="dxa"/>
              <w:bottom w:w="40" w:type="dxa"/>
              <w:right w:w="20" w:type="dxa"/>
            </w:tcMar>
            <w:vAlign w:val="bottom"/>
          </w:tcPr>
          <w:p w14:paraId="3693E5B2" w14:textId="77777777" w:rsidR="003734EC" w:rsidRDefault="000E364E">
            <w:pPr>
              <w:jc w:val="right"/>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3693E5B3"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5B4" w14:textId="77777777" w:rsidR="003734EC" w:rsidRDefault="000E364E">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3693E5B5" w14:textId="77777777" w:rsidR="003734EC" w:rsidRDefault="000E364E">
            <w:pPr>
              <w:jc w:val="right"/>
              <w:textAlignment w:val="bottom"/>
            </w:pPr>
            <w:r>
              <w:rPr>
                <w:rFonts w:ascii="sans-serif" w:eastAsia="sans-serif" w:hAnsi="sans-serif" w:cs="sans-serif"/>
                <w:color w:val="000000"/>
                <w:sz w:val="18"/>
                <w:szCs w:val="18"/>
              </w:rPr>
              <w:t>114 </w:t>
            </w:r>
          </w:p>
        </w:tc>
        <w:tc>
          <w:tcPr>
            <w:tcW w:w="0" w:type="auto"/>
            <w:shd w:val="clear" w:color="auto" w:fill="FFFFFF"/>
            <w:tcMar>
              <w:top w:w="40" w:type="dxa"/>
              <w:bottom w:w="40" w:type="dxa"/>
              <w:right w:w="20" w:type="dxa"/>
            </w:tcMar>
            <w:vAlign w:val="bottom"/>
          </w:tcPr>
          <w:p w14:paraId="3693E5B6" w14:textId="77777777" w:rsidR="003734EC" w:rsidRDefault="000E364E">
            <w:pPr>
              <w:jc w:val="right"/>
              <w:textAlignment w:val="bottom"/>
            </w:pPr>
            <w:r>
              <w:rPr>
                <w:rFonts w:ascii="sans-serif" w:eastAsia="sans-serif" w:hAnsi="sans-serif" w:cs="sans-serif"/>
                <w:color w:val="000000"/>
                <w:sz w:val="18"/>
                <w:szCs w:val="18"/>
              </w:rPr>
              <w:t> </w:t>
            </w:r>
          </w:p>
        </w:tc>
        <w:tc>
          <w:tcPr>
            <w:tcW w:w="0" w:type="auto"/>
            <w:shd w:val="clear" w:color="auto" w:fill="auto"/>
            <w:vAlign w:val="center"/>
          </w:tcPr>
          <w:p w14:paraId="3693E5B7" w14:textId="77777777" w:rsidR="003734EC" w:rsidRDefault="003734EC">
            <w:pPr>
              <w:rPr>
                <w:rFonts w:ascii="宋体"/>
              </w:rPr>
            </w:pPr>
          </w:p>
        </w:tc>
        <w:tc>
          <w:tcPr>
            <w:tcW w:w="0" w:type="auto"/>
            <w:shd w:val="clear" w:color="auto" w:fill="auto"/>
            <w:vAlign w:val="center"/>
          </w:tcPr>
          <w:p w14:paraId="3693E5B8" w14:textId="77777777" w:rsidR="003734EC" w:rsidRDefault="003734EC">
            <w:pPr>
              <w:rPr>
                <w:rFonts w:ascii="宋体"/>
              </w:rPr>
            </w:pPr>
          </w:p>
        </w:tc>
        <w:tc>
          <w:tcPr>
            <w:tcW w:w="0" w:type="auto"/>
            <w:shd w:val="clear" w:color="auto" w:fill="auto"/>
            <w:vAlign w:val="center"/>
          </w:tcPr>
          <w:p w14:paraId="3693E5B9" w14:textId="77777777" w:rsidR="003734EC" w:rsidRDefault="003734EC">
            <w:pPr>
              <w:rPr>
                <w:rFonts w:ascii="宋体"/>
              </w:rPr>
            </w:pPr>
          </w:p>
        </w:tc>
        <w:tc>
          <w:tcPr>
            <w:tcW w:w="0" w:type="auto"/>
            <w:shd w:val="clear" w:color="auto" w:fill="auto"/>
            <w:vAlign w:val="center"/>
          </w:tcPr>
          <w:p w14:paraId="3693E5BA" w14:textId="77777777" w:rsidR="003734EC" w:rsidRDefault="003734EC">
            <w:pPr>
              <w:rPr>
                <w:rFonts w:ascii="宋体"/>
              </w:rPr>
            </w:pPr>
          </w:p>
        </w:tc>
        <w:tc>
          <w:tcPr>
            <w:tcW w:w="0" w:type="auto"/>
            <w:shd w:val="clear" w:color="auto" w:fill="auto"/>
            <w:vAlign w:val="center"/>
          </w:tcPr>
          <w:p w14:paraId="3693E5BB" w14:textId="77777777" w:rsidR="003734EC" w:rsidRDefault="003734EC">
            <w:pPr>
              <w:rPr>
                <w:rFonts w:ascii="宋体"/>
              </w:rPr>
            </w:pPr>
          </w:p>
        </w:tc>
        <w:tc>
          <w:tcPr>
            <w:tcW w:w="0" w:type="auto"/>
            <w:shd w:val="clear" w:color="auto" w:fill="auto"/>
            <w:vAlign w:val="center"/>
          </w:tcPr>
          <w:p w14:paraId="3693E5BC" w14:textId="77777777" w:rsidR="003734EC" w:rsidRDefault="003734EC">
            <w:pPr>
              <w:rPr>
                <w:rFonts w:ascii="宋体"/>
              </w:rPr>
            </w:pPr>
          </w:p>
        </w:tc>
      </w:tr>
      <w:tr w:rsidR="003734EC" w14:paraId="3693E5C8" w14:textId="77777777">
        <w:trPr>
          <w:jc w:val="center"/>
          <w:hidden/>
        </w:trPr>
        <w:tc>
          <w:tcPr>
            <w:tcW w:w="0" w:type="auto"/>
            <w:gridSpan w:val="3"/>
            <w:shd w:val="clear" w:color="auto" w:fill="auto"/>
            <w:vAlign w:val="center"/>
          </w:tcPr>
          <w:p w14:paraId="3693E5BE" w14:textId="77777777" w:rsidR="003734EC" w:rsidRDefault="003734EC">
            <w:pPr>
              <w:rPr>
                <w:rFonts w:ascii="宋体"/>
                <w:vanish/>
              </w:rPr>
            </w:pPr>
          </w:p>
        </w:tc>
        <w:tc>
          <w:tcPr>
            <w:tcW w:w="0" w:type="auto"/>
            <w:gridSpan w:val="3"/>
            <w:shd w:val="clear" w:color="auto" w:fill="auto"/>
            <w:vAlign w:val="center"/>
          </w:tcPr>
          <w:p w14:paraId="3693E5BF" w14:textId="77777777" w:rsidR="003734EC" w:rsidRDefault="003734EC">
            <w:pPr>
              <w:rPr>
                <w:rFonts w:ascii="宋体"/>
                <w:vanish/>
              </w:rPr>
            </w:pPr>
          </w:p>
        </w:tc>
        <w:tc>
          <w:tcPr>
            <w:tcW w:w="0" w:type="auto"/>
            <w:gridSpan w:val="3"/>
            <w:shd w:val="clear" w:color="auto" w:fill="auto"/>
            <w:vAlign w:val="center"/>
          </w:tcPr>
          <w:p w14:paraId="3693E5C0" w14:textId="77777777" w:rsidR="003734EC" w:rsidRDefault="003734EC">
            <w:pPr>
              <w:rPr>
                <w:rFonts w:ascii="宋体"/>
                <w:vanish/>
              </w:rPr>
            </w:pPr>
          </w:p>
        </w:tc>
        <w:tc>
          <w:tcPr>
            <w:tcW w:w="0" w:type="auto"/>
            <w:gridSpan w:val="3"/>
            <w:shd w:val="clear" w:color="auto" w:fill="auto"/>
            <w:vAlign w:val="center"/>
          </w:tcPr>
          <w:p w14:paraId="3693E5C1" w14:textId="77777777" w:rsidR="003734EC" w:rsidRDefault="003734EC">
            <w:pPr>
              <w:rPr>
                <w:rFonts w:ascii="宋体"/>
                <w:vanish/>
              </w:rPr>
            </w:pPr>
          </w:p>
        </w:tc>
        <w:tc>
          <w:tcPr>
            <w:tcW w:w="0" w:type="auto"/>
            <w:shd w:val="clear" w:color="auto" w:fill="auto"/>
            <w:vAlign w:val="center"/>
          </w:tcPr>
          <w:p w14:paraId="3693E5C2" w14:textId="77777777" w:rsidR="003734EC" w:rsidRDefault="003734EC">
            <w:pPr>
              <w:rPr>
                <w:rFonts w:ascii="宋体"/>
              </w:rPr>
            </w:pPr>
          </w:p>
        </w:tc>
        <w:tc>
          <w:tcPr>
            <w:tcW w:w="0" w:type="auto"/>
            <w:shd w:val="clear" w:color="auto" w:fill="auto"/>
            <w:vAlign w:val="center"/>
          </w:tcPr>
          <w:p w14:paraId="3693E5C3" w14:textId="77777777" w:rsidR="003734EC" w:rsidRDefault="003734EC">
            <w:pPr>
              <w:rPr>
                <w:rFonts w:ascii="宋体"/>
              </w:rPr>
            </w:pPr>
          </w:p>
        </w:tc>
        <w:tc>
          <w:tcPr>
            <w:tcW w:w="0" w:type="auto"/>
            <w:shd w:val="clear" w:color="auto" w:fill="auto"/>
            <w:vAlign w:val="center"/>
          </w:tcPr>
          <w:p w14:paraId="3693E5C4" w14:textId="77777777" w:rsidR="003734EC" w:rsidRDefault="003734EC">
            <w:pPr>
              <w:rPr>
                <w:rFonts w:ascii="宋体"/>
              </w:rPr>
            </w:pPr>
          </w:p>
        </w:tc>
        <w:tc>
          <w:tcPr>
            <w:tcW w:w="0" w:type="auto"/>
            <w:shd w:val="clear" w:color="auto" w:fill="auto"/>
            <w:vAlign w:val="center"/>
          </w:tcPr>
          <w:p w14:paraId="3693E5C5" w14:textId="77777777" w:rsidR="003734EC" w:rsidRDefault="003734EC">
            <w:pPr>
              <w:rPr>
                <w:rFonts w:ascii="宋体"/>
              </w:rPr>
            </w:pPr>
          </w:p>
        </w:tc>
        <w:tc>
          <w:tcPr>
            <w:tcW w:w="0" w:type="auto"/>
            <w:shd w:val="clear" w:color="auto" w:fill="auto"/>
            <w:vAlign w:val="center"/>
          </w:tcPr>
          <w:p w14:paraId="3693E5C6" w14:textId="77777777" w:rsidR="003734EC" w:rsidRDefault="003734EC">
            <w:pPr>
              <w:rPr>
                <w:rFonts w:ascii="宋体"/>
              </w:rPr>
            </w:pPr>
          </w:p>
        </w:tc>
        <w:tc>
          <w:tcPr>
            <w:tcW w:w="0" w:type="auto"/>
            <w:shd w:val="clear" w:color="auto" w:fill="auto"/>
            <w:vAlign w:val="center"/>
          </w:tcPr>
          <w:p w14:paraId="3693E5C7" w14:textId="77777777" w:rsidR="003734EC" w:rsidRDefault="003734EC">
            <w:pPr>
              <w:rPr>
                <w:rFonts w:ascii="宋体"/>
              </w:rPr>
            </w:pPr>
          </w:p>
        </w:tc>
      </w:tr>
    </w:tbl>
    <w:p w14:paraId="3693E5C9" w14:textId="77777777" w:rsidR="003734EC" w:rsidRDefault="000E364E">
      <w:pPr>
        <w:spacing w:after="180"/>
        <w:jc w:val="center"/>
      </w:pPr>
      <w:r>
        <w:rPr>
          <w:rFonts w:ascii="sans-serif" w:eastAsia="sans-serif" w:hAnsi="sans-serif" w:cs="sans-serif"/>
          <w:color w:val="000000"/>
          <w:sz w:val="20"/>
          <w:szCs w:val="20"/>
        </w:rPr>
        <w:t>See accompanying Notes to Condensed Consolidated Financial Statements.</w:t>
      </w:r>
    </w:p>
    <w:p w14:paraId="3693E5CA" w14:textId="77777777" w:rsidR="003734EC" w:rsidRDefault="000E364E">
      <w:pPr>
        <w:spacing w:after="180"/>
        <w:jc w:val="center"/>
      </w:pPr>
      <w:r>
        <w:rPr>
          <w:rFonts w:ascii="sans-serif" w:eastAsia="sans-serif" w:hAnsi="sans-serif" w:cs="sans-serif"/>
          <w:color w:val="000000"/>
          <w:sz w:val="20"/>
          <w:szCs w:val="20"/>
        </w:rPr>
        <w:t>7</w:t>
      </w:r>
    </w:p>
    <w:p w14:paraId="3693E5CB" w14:textId="77777777" w:rsidR="003734EC" w:rsidRDefault="000E364E">
      <w:r>
        <w:pict w14:anchorId="3693FF51">
          <v:rect id="_x0000_i1031" style="width:415.3pt;height:1.5pt" o:hralign="center" o:hrstd="t" o:hr="t" fillcolor="#a0a0a0" stroked="f"/>
        </w:pict>
      </w:r>
    </w:p>
    <w:p w14:paraId="3693E5CC" w14:textId="77777777" w:rsidR="003734EC" w:rsidRDefault="000E364E">
      <w:pPr>
        <w:jc w:val="center"/>
      </w:pPr>
      <w:r>
        <w:rPr>
          <w:rFonts w:ascii="sans-serif" w:eastAsia="sans-serif" w:hAnsi="sans-serif" w:cs="sans-serif"/>
          <w:b/>
          <w:bCs/>
          <w:color w:val="000000"/>
          <w:sz w:val="20"/>
          <w:szCs w:val="20"/>
        </w:rPr>
        <w:t>NVIDIA CORPORATION AND SUBSIDIARIES</w:t>
      </w:r>
    </w:p>
    <w:p w14:paraId="3693E5CD" w14:textId="77777777" w:rsidR="003734EC" w:rsidRDefault="000E364E">
      <w:pPr>
        <w:jc w:val="center"/>
      </w:pPr>
      <w:r>
        <w:rPr>
          <w:rFonts w:ascii="sans-serif" w:eastAsia="sans-serif" w:hAnsi="sans-serif" w:cs="sans-serif"/>
          <w:b/>
          <w:bCs/>
          <w:color w:val="000000"/>
          <w:sz w:val="20"/>
          <w:szCs w:val="20"/>
        </w:rPr>
        <w:t xml:space="preserve">NOTES TO CONDENSED </w:t>
      </w:r>
      <w:r>
        <w:rPr>
          <w:rFonts w:ascii="sans-serif" w:eastAsia="sans-serif" w:hAnsi="sans-serif" w:cs="sans-serif"/>
          <w:b/>
          <w:bCs/>
          <w:color w:val="000000"/>
          <w:sz w:val="20"/>
          <w:szCs w:val="20"/>
        </w:rPr>
        <w:t>CONSOLIDATED FINANCIAL STATEMENTS</w:t>
      </w:r>
    </w:p>
    <w:p w14:paraId="3693E5CE" w14:textId="77777777" w:rsidR="003734EC" w:rsidRDefault="000E364E">
      <w:pPr>
        <w:jc w:val="center"/>
      </w:pPr>
      <w:r>
        <w:rPr>
          <w:rFonts w:ascii="sans-serif" w:eastAsia="sans-serif" w:hAnsi="sans-serif" w:cs="sans-serif"/>
          <w:b/>
          <w:bCs/>
          <w:color w:val="000000"/>
          <w:sz w:val="20"/>
          <w:szCs w:val="20"/>
        </w:rPr>
        <w:t>(Unaudited)</w:t>
      </w:r>
    </w:p>
    <w:p w14:paraId="3693E5CF" w14:textId="77777777" w:rsidR="003734EC" w:rsidRDefault="003734EC">
      <w:pPr>
        <w:spacing w:after="180"/>
        <w:jc w:val="both"/>
      </w:pPr>
    </w:p>
    <w:p w14:paraId="3693E5D0" w14:textId="77777777" w:rsidR="003734EC" w:rsidRDefault="003734EC">
      <w:pPr>
        <w:spacing w:after="180"/>
        <w:jc w:val="center"/>
      </w:pPr>
    </w:p>
    <w:p w14:paraId="3693E5D1" w14:textId="77777777" w:rsidR="003734EC" w:rsidRDefault="000E364E">
      <w:pPr>
        <w:spacing w:before="240" w:after="120"/>
        <w:jc w:val="both"/>
      </w:pPr>
      <w:r>
        <w:rPr>
          <w:rFonts w:ascii="sans-serif" w:eastAsia="sans-serif" w:hAnsi="sans-serif" w:cs="sans-serif"/>
          <w:b/>
          <w:bCs/>
          <w:color w:val="76B900"/>
          <w:sz w:val="22"/>
          <w:szCs w:val="22"/>
        </w:rPr>
        <w:t>Note 1 - Summary of Significant Accounting Policies</w:t>
      </w:r>
    </w:p>
    <w:p w14:paraId="3693E5D2" w14:textId="77777777" w:rsidR="003734EC" w:rsidRDefault="000E364E">
      <w:pPr>
        <w:spacing w:before="240" w:after="60"/>
        <w:jc w:val="both"/>
      </w:pPr>
      <w:r>
        <w:rPr>
          <w:rFonts w:ascii="sans-serif" w:eastAsia="sans-serif" w:hAnsi="sans-serif" w:cs="sans-serif"/>
          <w:b/>
          <w:bCs/>
          <w:color w:val="76B900"/>
          <w:sz w:val="20"/>
          <w:szCs w:val="20"/>
        </w:rPr>
        <w:t>Basis of Presentation</w:t>
      </w:r>
    </w:p>
    <w:p w14:paraId="3693E5D3" w14:textId="77777777" w:rsidR="003734EC" w:rsidRDefault="000E364E">
      <w:pPr>
        <w:spacing w:after="180"/>
        <w:jc w:val="both"/>
      </w:pPr>
      <w:r>
        <w:rPr>
          <w:rFonts w:ascii="sans-serif" w:eastAsia="sans-serif" w:hAnsi="sans-serif" w:cs="sans-serif"/>
          <w:color w:val="000000"/>
          <w:sz w:val="20"/>
          <w:szCs w:val="20"/>
        </w:rPr>
        <w:t xml:space="preserve">The accompanying unaudited condensed consolidated financial statements were prepared in accordance with accounting </w:t>
      </w:r>
      <w:r>
        <w:rPr>
          <w:rFonts w:ascii="sans-serif" w:eastAsia="sans-serif" w:hAnsi="sans-serif" w:cs="sans-serif"/>
          <w:color w:val="000000"/>
          <w:sz w:val="20"/>
          <w:szCs w:val="20"/>
        </w:rPr>
        <w:t>principles generally accepted in the United States of America, or U.S. GAAP, for interim financial information and with the instructions to Form 10-Q and Article 10 of Securities and Exchange Commission, or SEC, Regulation S-X. The January 26, 2020 consoli</w:t>
      </w:r>
      <w:r>
        <w:rPr>
          <w:rFonts w:ascii="sans-serif" w:eastAsia="sans-serif" w:hAnsi="sans-serif" w:cs="sans-serif"/>
          <w:color w:val="000000"/>
          <w:sz w:val="20"/>
          <w:szCs w:val="20"/>
        </w:rPr>
        <w:t xml:space="preserve">dated balance sheet was derived from our audited consolidated financial statements included in our Annual Report on Form 10-K for the fiscal year ended January 26, 2020, as filed with the SEC, but does not include all disclosures required by U.S. GAAP. In </w:t>
      </w:r>
      <w:r>
        <w:rPr>
          <w:rFonts w:ascii="sans-serif" w:eastAsia="sans-serif" w:hAnsi="sans-serif" w:cs="sans-serif"/>
          <w:color w:val="000000"/>
          <w:sz w:val="20"/>
          <w:szCs w:val="20"/>
        </w:rPr>
        <w:t xml:space="preserve">the opinion of management, all adjustments, consisting only of normal recurring adjustments considered necessary for a fair statement of results of operations and financial position have been included. The results for the interim periods presented are not </w:t>
      </w:r>
      <w:r>
        <w:rPr>
          <w:rFonts w:ascii="sans-serif" w:eastAsia="sans-serif" w:hAnsi="sans-serif" w:cs="sans-serif"/>
          <w:color w:val="000000"/>
          <w:sz w:val="20"/>
          <w:szCs w:val="20"/>
        </w:rPr>
        <w:t>necessarily indicative of the results expected for any future period. The following information should be read in conjunction with the audited consolidated financial statements and notes thereto included in our Annual Report on Form 10-K for the fiscal yea</w:t>
      </w:r>
      <w:r>
        <w:rPr>
          <w:rFonts w:ascii="sans-serif" w:eastAsia="sans-serif" w:hAnsi="sans-serif" w:cs="sans-serif"/>
          <w:color w:val="000000"/>
          <w:sz w:val="20"/>
          <w:szCs w:val="20"/>
        </w:rPr>
        <w:t>r ended January 26, 2020.</w:t>
      </w:r>
      <w:r>
        <w:rPr>
          <w:rFonts w:ascii="sans-serif" w:eastAsia="sans-serif" w:hAnsi="sans-serif" w:cs="sans-serif"/>
          <w:b/>
          <w:bCs/>
          <w:color w:val="000000"/>
          <w:sz w:val="20"/>
          <w:szCs w:val="20"/>
        </w:rPr>
        <w:t> </w:t>
      </w:r>
    </w:p>
    <w:p w14:paraId="3693E5D4" w14:textId="77777777" w:rsidR="003734EC" w:rsidRDefault="000E364E">
      <w:pPr>
        <w:spacing w:before="240" w:after="60"/>
        <w:jc w:val="both"/>
      </w:pPr>
      <w:r>
        <w:rPr>
          <w:rFonts w:ascii="sans-serif" w:eastAsia="sans-serif" w:hAnsi="sans-serif" w:cs="sans-serif"/>
          <w:b/>
          <w:bCs/>
          <w:color w:val="76B900"/>
          <w:sz w:val="20"/>
          <w:szCs w:val="20"/>
        </w:rPr>
        <w:t>Significant Accounting Policies</w:t>
      </w:r>
    </w:p>
    <w:p w14:paraId="3693E5D5" w14:textId="77777777" w:rsidR="003734EC" w:rsidRDefault="000E364E">
      <w:pPr>
        <w:spacing w:after="180"/>
        <w:jc w:val="both"/>
      </w:pPr>
      <w:r>
        <w:rPr>
          <w:rFonts w:ascii="sans-serif" w:eastAsia="sans-serif" w:hAnsi="sans-serif" w:cs="sans-serif"/>
          <w:color w:val="000000"/>
          <w:sz w:val="20"/>
          <w:szCs w:val="20"/>
        </w:rPr>
        <w:t>There have been no material changes to our significant accounting policies in Note 1 - Organization and Summary of Significant Accounting Policies, of the Notes to the Consolidated Financial Statem</w:t>
      </w:r>
      <w:r>
        <w:rPr>
          <w:rFonts w:ascii="sans-serif" w:eastAsia="sans-serif" w:hAnsi="sans-serif" w:cs="sans-serif"/>
          <w:color w:val="000000"/>
          <w:sz w:val="20"/>
          <w:szCs w:val="20"/>
        </w:rPr>
        <w:t>ents included in our Annual Report on Form 10-K for the fiscal year ended January 26, 2020.</w:t>
      </w:r>
    </w:p>
    <w:p w14:paraId="3693E5D6" w14:textId="77777777" w:rsidR="003734EC" w:rsidRDefault="000E364E">
      <w:pPr>
        <w:spacing w:before="240" w:after="60"/>
        <w:jc w:val="both"/>
      </w:pPr>
      <w:r>
        <w:rPr>
          <w:rFonts w:ascii="sans-serif" w:eastAsia="sans-serif" w:hAnsi="sans-serif" w:cs="sans-serif"/>
          <w:b/>
          <w:bCs/>
          <w:color w:val="76B900"/>
          <w:sz w:val="20"/>
          <w:szCs w:val="20"/>
        </w:rPr>
        <w:t>Fiscal Year</w:t>
      </w:r>
    </w:p>
    <w:p w14:paraId="3693E5D7" w14:textId="77777777" w:rsidR="003734EC" w:rsidRDefault="000E364E">
      <w:pPr>
        <w:spacing w:after="180"/>
        <w:jc w:val="both"/>
      </w:pPr>
      <w:r>
        <w:rPr>
          <w:rFonts w:ascii="sans-serif" w:eastAsia="sans-serif" w:hAnsi="sans-serif" w:cs="sans-serif"/>
          <w:color w:val="000000"/>
          <w:sz w:val="20"/>
          <w:szCs w:val="20"/>
        </w:rPr>
        <w:t>We operate on a 52- or 53-week year, ending on the last Sunday in January. Fiscal year 2021 is a 53-week year and fiscal year 2020 is a 52-week year. Th</w:t>
      </w:r>
      <w:r>
        <w:rPr>
          <w:rFonts w:ascii="sans-serif" w:eastAsia="sans-serif" w:hAnsi="sans-serif" w:cs="sans-serif"/>
          <w:color w:val="000000"/>
          <w:sz w:val="20"/>
          <w:szCs w:val="20"/>
        </w:rPr>
        <w:t>e first quarters of fiscal years 2021 and 2020 were both 13-week quarters.</w:t>
      </w:r>
    </w:p>
    <w:p w14:paraId="3693E5D8" w14:textId="77777777" w:rsidR="003734EC" w:rsidRDefault="000E364E">
      <w:pPr>
        <w:spacing w:before="240" w:after="60"/>
        <w:jc w:val="both"/>
      </w:pPr>
      <w:r>
        <w:rPr>
          <w:rFonts w:ascii="sans-serif" w:eastAsia="sans-serif" w:hAnsi="sans-serif" w:cs="sans-serif"/>
          <w:b/>
          <w:bCs/>
          <w:color w:val="76B900"/>
          <w:sz w:val="20"/>
          <w:szCs w:val="20"/>
        </w:rPr>
        <w:t>Reclassifications</w:t>
      </w:r>
    </w:p>
    <w:p w14:paraId="3693E5D9" w14:textId="77777777" w:rsidR="003734EC" w:rsidRDefault="000E364E">
      <w:pPr>
        <w:spacing w:after="180"/>
        <w:jc w:val="both"/>
      </w:pPr>
      <w:r>
        <w:rPr>
          <w:rFonts w:ascii="sans-serif" w:eastAsia="sans-serif" w:hAnsi="sans-serif" w:cs="sans-serif"/>
          <w:color w:val="000000"/>
          <w:sz w:val="20"/>
          <w:szCs w:val="20"/>
        </w:rPr>
        <w:t>Certain prior fiscal year balances have been reclassified to conform to the current fiscal year presentation.</w:t>
      </w:r>
    </w:p>
    <w:p w14:paraId="3693E5DA" w14:textId="77777777" w:rsidR="003734EC" w:rsidRDefault="000E364E">
      <w:pPr>
        <w:spacing w:before="240" w:after="60"/>
        <w:jc w:val="both"/>
      </w:pPr>
      <w:r>
        <w:rPr>
          <w:rFonts w:ascii="sans-serif" w:eastAsia="sans-serif" w:hAnsi="sans-serif" w:cs="sans-serif"/>
          <w:b/>
          <w:bCs/>
          <w:color w:val="76B900"/>
          <w:sz w:val="20"/>
          <w:szCs w:val="20"/>
        </w:rPr>
        <w:t>Principles of Consolidation</w:t>
      </w:r>
    </w:p>
    <w:p w14:paraId="3693E5DB" w14:textId="77777777" w:rsidR="003734EC" w:rsidRDefault="000E364E">
      <w:pPr>
        <w:spacing w:after="180"/>
        <w:jc w:val="both"/>
      </w:pPr>
      <w:r>
        <w:rPr>
          <w:rFonts w:ascii="sans-serif" w:eastAsia="sans-serif" w:hAnsi="sans-serif" w:cs="sans-serif"/>
          <w:color w:val="000000"/>
          <w:sz w:val="20"/>
          <w:szCs w:val="20"/>
        </w:rPr>
        <w:t>Our condensed consolidate</w:t>
      </w:r>
      <w:r>
        <w:rPr>
          <w:rFonts w:ascii="sans-serif" w:eastAsia="sans-serif" w:hAnsi="sans-serif" w:cs="sans-serif"/>
          <w:color w:val="000000"/>
          <w:sz w:val="20"/>
          <w:szCs w:val="20"/>
        </w:rPr>
        <w:t>d financial statements include the accounts of NVIDIA Corporation and our wholly-owned subsidiaries. All intercompany balances and transactions have been eliminated in consolidation.</w:t>
      </w:r>
    </w:p>
    <w:p w14:paraId="3693E5DC" w14:textId="77777777" w:rsidR="003734EC" w:rsidRDefault="000E364E">
      <w:pPr>
        <w:spacing w:before="240" w:after="60"/>
        <w:jc w:val="both"/>
      </w:pPr>
      <w:r>
        <w:rPr>
          <w:rFonts w:ascii="sans-serif" w:eastAsia="sans-serif" w:hAnsi="sans-serif" w:cs="sans-serif"/>
          <w:b/>
          <w:bCs/>
          <w:color w:val="76B900"/>
          <w:sz w:val="20"/>
          <w:szCs w:val="20"/>
        </w:rPr>
        <w:t>Use of Estimates</w:t>
      </w:r>
    </w:p>
    <w:p w14:paraId="3693E5DD" w14:textId="77777777" w:rsidR="003734EC" w:rsidRDefault="000E364E">
      <w:pPr>
        <w:spacing w:after="180"/>
        <w:jc w:val="both"/>
      </w:pPr>
      <w:r>
        <w:rPr>
          <w:rFonts w:ascii="sans-serif" w:eastAsia="sans-serif" w:hAnsi="sans-serif" w:cs="sans-serif"/>
          <w:color w:val="000000"/>
          <w:sz w:val="20"/>
          <w:szCs w:val="20"/>
        </w:rPr>
        <w:t>The preparation of financial statements in conformity wi</w:t>
      </w:r>
      <w:r>
        <w:rPr>
          <w:rFonts w:ascii="sans-serif" w:eastAsia="sans-serif" w:hAnsi="sans-serif" w:cs="sans-serif"/>
          <w:color w:val="000000"/>
          <w:sz w:val="20"/>
          <w:szCs w:val="20"/>
        </w:rPr>
        <w:t>th U.S. GAAP requires management to make estimates and assumptions that affect the reported amounts of assets and liabilities and disclosures of contingent assets and liabilities at the date of the financial statements and the reported amounts of revenue a</w:t>
      </w:r>
      <w:r>
        <w:rPr>
          <w:rFonts w:ascii="sans-serif" w:eastAsia="sans-serif" w:hAnsi="sans-serif" w:cs="sans-serif"/>
          <w:color w:val="000000"/>
          <w:sz w:val="20"/>
          <w:szCs w:val="20"/>
        </w:rPr>
        <w:t>nd expenses during the reporting period. Actual results could differ materially from our estimates. On an on-going basis, we evaluate our estimates, including those related to revenue recognition, cash equivalents and marketable securities, accounts receiv</w:t>
      </w:r>
      <w:r>
        <w:rPr>
          <w:rFonts w:ascii="sans-serif" w:eastAsia="sans-serif" w:hAnsi="sans-serif" w:cs="sans-serif"/>
          <w:color w:val="000000"/>
          <w:sz w:val="20"/>
          <w:szCs w:val="20"/>
        </w:rPr>
        <w:t>able, inventories, income taxes, goodwill, stock-based compensation, litigation, investigation and settlement costs, restructuring and other charges, and other contingencies. The inputs into our judgments and estimates consider the economic implications of</w:t>
      </w:r>
      <w:r>
        <w:rPr>
          <w:rFonts w:ascii="sans-serif" w:eastAsia="sans-serif" w:hAnsi="sans-serif" w:cs="sans-serif"/>
          <w:color w:val="000000"/>
          <w:sz w:val="20"/>
          <w:szCs w:val="20"/>
        </w:rPr>
        <w:t xml:space="preserve"> COVID-19 on our critical and significant accounting estimates. These estimates are based on historical facts and various other assumptions that we believe are reasonable.</w:t>
      </w:r>
    </w:p>
    <w:p w14:paraId="3693E5DE" w14:textId="77777777" w:rsidR="003734EC" w:rsidRDefault="000E364E">
      <w:pPr>
        <w:spacing w:before="240" w:after="60"/>
        <w:jc w:val="both"/>
      </w:pPr>
      <w:r>
        <w:rPr>
          <w:rFonts w:ascii="sans-serif" w:eastAsia="sans-serif" w:hAnsi="sans-serif" w:cs="sans-serif"/>
          <w:b/>
          <w:bCs/>
          <w:color w:val="76B900"/>
          <w:sz w:val="20"/>
          <w:szCs w:val="20"/>
        </w:rPr>
        <w:t>Adoption of New and Recently Issued Accounting Pronouncements</w:t>
      </w:r>
    </w:p>
    <w:p w14:paraId="3693E5DF" w14:textId="77777777" w:rsidR="003734EC" w:rsidRDefault="000E364E">
      <w:pPr>
        <w:spacing w:before="120" w:after="120"/>
        <w:jc w:val="both"/>
      </w:pPr>
      <w:r>
        <w:rPr>
          <w:rFonts w:ascii="sans-serif" w:eastAsia="sans-serif" w:hAnsi="sans-serif" w:cs="sans-serif"/>
          <w:b/>
          <w:bCs/>
          <w:color w:val="000000"/>
          <w:sz w:val="20"/>
          <w:szCs w:val="20"/>
        </w:rPr>
        <w:t>Recently Adopted Accou</w:t>
      </w:r>
      <w:r>
        <w:rPr>
          <w:rFonts w:ascii="sans-serif" w:eastAsia="sans-serif" w:hAnsi="sans-serif" w:cs="sans-serif"/>
          <w:b/>
          <w:bCs/>
          <w:color w:val="000000"/>
          <w:sz w:val="20"/>
          <w:szCs w:val="20"/>
        </w:rPr>
        <w:t>nting Pronouncement</w:t>
      </w:r>
    </w:p>
    <w:p w14:paraId="3693E5E0" w14:textId="77777777" w:rsidR="003734EC" w:rsidRDefault="000E364E">
      <w:pPr>
        <w:spacing w:after="180"/>
        <w:jc w:val="both"/>
      </w:pPr>
      <w:r>
        <w:rPr>
          <w:rFonts w:ascii="sans-serif" w:eastAsia="sans-serif" w:hAnsi="sans-serif" w:cs="sans-serif"/>
          <w:color w:val="000000"/>
          <w:sz w:val="20"/>
          <w:szCs w:val="20"/>
        </w:rPr>
        <w:t>In June 2016, the Financial Accounting Standards Board issued a new accounting standard to replace the existing incurred loss impairment methodology with a methodology that reflects expected credit losses and requires consideration of a</w:t>
      </w:r>
      <w:r>
        <w:rPr>
          <w:rFonts w:ascii="sans-serif" w:eastAsia="sans-serif" w:hAnsi="sans-serif" w:cs="sans-serif"/>
          <w:color w:val="000000"/>
          <w:sz w:val="20"/>
          <w:szCs w:val="20"/>
        </w:rPr>
        <w:t xml:space="preserve"> broader range of reasonable and supportable information to inform credit loss estimates for accounts receivable and other financial instruments, including available-for-sale debt securities. The Company adopted the standard in the first quarter of fiscal </w:t>
      </w:r>
      <w:r>
        <w:rPr>
          <w:rFonts w:ascii="sans-serif" w:eastAsia="sans-serif" w:hAnsi="sans-serif" w:cs="sans-serif"/>
          <w:color w:val="000000"/>
          <w:sz w:val="20"/>
          <w:szCs w:val="20"/>
        </w:rPr>
        <w:t>year 2021 and the impact of the adoption was not material to the Company's consolidated financial statements.</w:t>
      </w:r>
    </w:p>
    <w:p w14:paraId="3693E5E1" w14:textId="77777777" w:rsidR="003734EC" w:rsidRDefault="003734EC">
      <w:pPr>
        <w:spacing w:after="180"/>
        <w:jc w:val="both"/>
      </w:pPr>
    </w:p>
    <w:p w14:paraId="3693E5E2" w14:textId="77777777" w:rsidR="003734EC" w:rsidRDefault="000E364E">
      <w:pPr>
        <w:spacing w:after="180"/>
        <w:jc w:val="center"/>
      </w:pPr>
      <w:r>
        <w:rPr>
          <w:rFonts w:ascii="sans-serif" w:eastAsia="sans-serif" w:hAnsi="sans-serif" w:cs="sans-serif"/>
          <w:color w:val="000000"/>
          <w:sz w:val="20"/>
          <w:szCs w:val="20"/>
        </w:rPr>
        <w:t>8</w:t>
      </w:r>
    </w:p>
    <w:p w14:paraId="3693E5E3" w14:textId="77777777" w:rsidR="003734EC" w:rsidRDefault="000E364E">
      <w:r>
        <w:pict w14:anchorId="3693FF52">
          <v:rect id="_x0000_i1032" style="width:415.3pt;height:1.5pt" o:hralign="center" o:hrstd="t" o:hr="t" fillcolor="#a0a0a0" stroked="f"/>
        </w:pict>
      </w:r>
    </w:p>
    <w:p w14:paraId="3693E5E4" w14:textId="77777777" w:rsidR="003734EC" w:rsidRDefault="000E364E">
      <w:pPr>
        <w:jc w:val="center"/>
      </w:pPr>
      <w:r>
        <w:rPr>
          <w:rFonts w:ascii="sans-serif" w:eastAsia="sans-serif" w:hAnsi="sans-serif" w:cs="sans-serif"/>
          <w:b/>
          <w:bCs/>
          <w:color w:val="000000"/>
          <w:sz w:val="20"/>
          <w:szCs w:val="20"/>
        </w:rPr>
        <w:t>NVIDIA CORPORATION AND SUBSIDIARIES</w:t>
      </w:r>
    </w:p>
    <w:p w14:paraId="3693E5E5"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E5E6" w14:textId="77777777" w:rsidR="003734EC" w:rsidRDefault="000E364E">
      <w:pPr>
        <w:jc w:val="center"/>
      </w:pPr>
      <w:r>
        <w:rPr>
          <w:rFonts w:ascii="sans-serif" w:eastAsia="sans-serif" w:hAnsi="sans-serif" w:cs="sans-serif"/>
          <w:b/>
          <w:bCs/>
          <w:color w:val="000000"/>
          <w:sz w:val="20"/>
          <w:szCs w:val="20"/>
        </w:rPr>
        <w:t>(Unaudited)</w:t>
      </w:r>
    </w:p>
    <w:p w14:paraId="3693E5E7" w14:textId="77777777" w:rsidR="003734EC" w:rsidRDefault="003734EC">
      <w:pPr>
        <w:spacing w:after="180"/>
        <w:jc w:val="both"/>
      </w:pPr>
    </w:p>
    <w:p w14:paraId="3693E5E8" w14:textId="77777777" w:rsidR="003734EC" w:rsidRDefault="003734EC">
      <w:pPr>
        <w:spacing w:after="180"/>
        <w:jc w:val="both"/>
      </w:pPr>
    </w:p>
    <w:p w14:paraId="3693E5E9" w14:textId="77777777" w:rsidR="003734EC" w:rsidRDefault="000E364E">
      <w:pPr>
        <w:spacing w:before="240" w:after="120"/>
        <w:jc w:val="both"/>
      </w:pPr>
      <w:r>
        <w:rPr>
          <w:rFonts w:ascii="sans-serif" w:eastAsia="sans-serif" w:hAnsi="sans-serif" w:cs="sans-serif"/>
          <w:b/>
          <w:bCs/>
          <w:color w:val="76B900"/>
          <w:sz w:val="22"/>
          <w:szCs w:val="22"/>
        </w:rPr>
        <w:t xml:space="preserve">Note 2 - </w:t>
      </w:r>
      <w:r>
        <w:rPr>
          <w:rFonts w:ascii="sans-serif" w:eastAsia="sans-serif" w:hAnsi="sans-serif" w:cs="sans-serif"/>
          <w:b/>
          <w:bCs/>
          <w:color w:val="76B900"/>
          <w:sz w:val="22"/>
          <w:szCs w:val="22"/>
        </w:rPr>
        <w:t>Acquisition of Mellanox Technologies, Ltd.</w:t>
      </w:r>
    </w:p>
    <w:p w14:paraId="3693E5EA" w14:textId="77777777" w:rsidR="003734EC" w:rsidRDefault="000E364E">
      <w:pPr>
        <w:spacing w:after="180"/>
        <w:jc w:val="both"/>
      </w:pPr>
      <w:r>
        <w:rPr>
          <w:rFonts w:ascii="sans-serif" w:eastAsia="sans-serif" w:hAnsi="sans-serif" w:cs="sans-serif"/>
          <w:color w:val="000000"/>
          <w:sz w:val="20"/>
          <w:szCs w:val="20"/>
        </w:rPr>
        <w:t>Subsequent to the end of the first quarter of fiscal year 2021, we closed the acquisition of Mellanox Technologies Ltd., or Mellanox, for a transaction value of approximately $7.0 billion in cash on April 27, 2020</w:t>
      </w:r>
      <w:r>
        <w:rPr>
          <w:rFonts w:ascii="sans-serif" w:eastAsia="sans-serif" w:hAnsi="sans-serif" w:cs="sans-serif"/>
          <w:color w:val="000000"/>
          <w:sz w:val="20"/>
          <w:szCs w:val="20"/>
        </w:rPr>
        <w:t>.</w:t>
      </w:r>
    </w:p>
    <w:p w14:paraId="3693E5EB" w14:textId="77777777" w:rsidR="003734EC" w:rsidRDefault="000E364E">
      <w:pPr>
        <w:spacing w:before="240" w:after="120"/>
        <w:jc w:val="both"/>
      </w:pPr>
      <w:r>
        <w:rPr>
          <w:rFonts w:ascii="sans-serif" w:eastAsia="sans-serif" w:hAnsi="sans-serif" w:cs="sans-serif"/>
          <w:b/>
          <w:bCs/>
          <w:color w:val="76B900"/>
          <w:sz w:val="22"/>
          <w:szCs w:val="22"/>
        </w:rPr>
        <w:t>Note 3 - Leases</w:t>
      </w:r>
    </w:p>
    <w:p w14:paraId="3693E5EC" w14:textId="77777777" w:rsidR="003734EC" w:rsidRDefault="000E364E">
      <w:pPr>
        <w:spacing w:before="240" w:after="60"/>
        <w:jc w:val="both"/>
      </w:pPr>
      <w:r>
        <w:rPr>
          <w:rFonts w:ascii="sans-serif" w:eastAsia="sans-serif" w:hAnsi="sans-serif" w:cs="sans-serif"/>
          <w:color w:val="000000"/>
          <w:sz w:val="20"/>
          <w:szCs w:val="20"/>
        </w:rPr>
        <w:t>Our lease obligations consist of operating leases for our headquarters complex, domestic and international office facilities, and data center space, with lease periods expiring between fiscal years 2021 and 2035.</w:t>
      </w:r>
    </w:p>
    <w:p w14:paraId="3693E5ED" w14:textId="77777777" w:rsidR="003734EC" w:rsidRDefault="000E364E">
      <w:pPr>
        <w:spacing w:before="180" w:after="360"/>
        <w:jc w:val="both"/>
      </w:pPr>
      <w:r>
        <w:rPr>
          <w:rFonts w:ascii="sans-serif" w:eastAsia="sans-serif" w:hAnsi="sans-serif" w:cs="sans-serif"/>
          <w:color w:val="000000"/>
          <w:sz w:val="20"/>
          <w:szCs w:val="20"/>
        </w:rPr>
        <w:t>Future minimum lease paym</w:t>
      </w:r>
      <w:r>
        <w:rPr>
          <w:rFonts w:ascii="sans-serif" w:eastAsia="sans-serif" w:hAnsi="sans-serif" w:cs="sans-serif"/>
          <w:color w:val="000000"/>
          <w:sz w:val="20"/>
          <w:szCs w:val="20"/>
        </w:rPr>
        <w:t>ents under our non-cancelable operating leases as of April 26, 2020, are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97"/>
        <w:gridCol w:w="70"/>
        <w:gridCol w:w="138"/>
        <w:gridCol w:w="1380"/>
        <w:gridCol w:w="81"/>
      </w:tblGrid>
      <w:tr w:rsidR="003734EC" w14:paraId="3693E5F4" w14:textId="77777777">
        <w:trPr>
          <w:jc w:val="center"/>
        </w:trPr>
        <w:tc>
          <w:tcPr>
            <w:tcW w:w="50" w:type="pct"/>
            <w:shd w:val="clear" w:color="auto" w:fill="auto"/>
            <w:vAlign w:val="center"/>
          </w:tcPr>
          <w:p w14:paraId="3693E5EE" w14:textId="77777777" w:rsidR="003734EC" w:rsidRDefault="003734EC">
            <w:pPr>
              <w:rPr>
                <w:rFonts w:ascii="宋体"/>
              </w:rPr>
            </w:pPr>
          </w:p>
        </w:tc>
        <w:tc>
          <w:tcPr>
            <w:tcW w:w="3964" w:type="pct"/>
            <w:shd w:val="clear" w:color="auto" w:fill="auto"/>
            <w:vAlign w:val="center"/>
          </w:tcPr>
          <w:p w14:paraId="3693E5EF" w14:textId="77777777" w:rsidR="003734EC" w:rsidRDefault="003734EC">
            <w:pPr>
              <w:rPr>
                <w:rFonts w:ascii="宋体"/>
              </w:rPr>
            </w:pPr>
          </w:p>
        </w:tc>
        <w:tc>
          <w:tcPr>
            <w:tcW w:w="50" w:type="pct"/>
            <w:shd w:val="clear" w:color="auto" w:fill="auto"/>
            <w:vAlign w:val="center"/>
          </w:tcPr>
          <w:p w14:paraId="3693E5F0" w14:textId="77777777" w:rsidR="003734EC" w:rsidRDefault="003734EC">
            <w:pPr>
              <w:rPr>
                <w:rFonts w:ascii="宋体"/>
              </w:rPr>
            </w:pPr>
          </w:p>
        </w:tc>
        <w:tc>
          <w:tcPr>
            <w:tcW w:w="50" w:type="pct"/>
            <w:shd w:val="clear" w:color="auto" w:fill="auto"/>
            <w:vAlign w:val="center"/>
          </w:tcPr>
          <w:p w14:paraId="3693E5F1" w14:textId="77777777" w:rsidR="003734EC" w:rsidRDefault="003734EC">
            <w:pPr>
              <w:rPr>
                <w:rFonts w:ascii="宋体"/>
              </w:rPr>
            </w:pPr>
          </w:p>
        </w:tc>
        <w:tc>
          <w:tcPr>
            <w:tcW w:w="835" w:type="pct"/>
            <w:shd w:val="clear" w:color="auto" w:fill="auto"/>
            <w:vAlign w:val="center"/>
          </w:tcPr>
          <w:p w14:paraId="3693E5F2" w14:textId="77777777" w:rsidR="003734EC" w:rsidRDefault="003734EC">
            <w:pPr>
              <w:rPr>
                <w:rFonts w:ascii="宋体"/>
              </w:rPr>
            </w:pPr>
          </w:p>
        </w:tc>
        <w:tc>
          <w:tcPr>
            <w:tcW w:w="50" w:type="pct"/>
            <w:shd w:val="clear" w:color="auto" w:fill="auto"/>
            <w:vAlign w:val="center"/>
          </w:tcPr>
          <w:p w14:paraId="3693E5F3" w14:textId="77777777" w:rsidR="003734EC" w:rsidRDefault="003734EC">
            <w:pPr>
              <w:rPr>
                <w:rFonts w:ascii="宋体"/>
              </w:rPr>
            </w:pPr>
          </w:p>
        </w:tc>
      </w:tr>
      <w:tr w:rsidR="003734EC" w14:paraId="3693E5F7" w14:textId="77777777">
        <w:trPr>
          <w:jc w:val="center"/>
        </w:trPr>
        <w:tc>
          <w:tcPr>
            <w:tcW w:w="0" w:type="auto"/>
            <w:gridSpan w:val="3"/>
            <w:shd w:val="clear" w:color="auto" w:fill="auto"/>
            <w:tcMar>
              <w:left w:w="20" w:type="dxa"/>
              <w:right w:w="20" w:type="dxa"/>
            </w:tcMar>
            <w:vAlign w:val="bottom"/>
          </w:tcPr>
          <w:p w14:paraId="3693E5F5"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E5F6" w14:textId="77777777" w:rsidR="003734EC" w:rsidRDefault="000E364E">
            <w:pPr>
              <w:jc w:val="center"/>
              <w:textAlignment w:val="bottom"/>
            </w:pPr>
            <w:r>
              <w:rPr>
                <w:rFonts w:ascii="sans-serif" w:eastAsia="sans-serif" w:hAnsi="sans-serif" w:cs="sans-serif"/>
                <w:b/>
                <w:bCs/>
                <w:color w:val="000000"/>
                <w:sz w:val="20"/>
                <w:szCs w:val="20"/>
              </w:rPr>
              <w:t>Operating Lease Obligations</w:t>
            </w:r>
          </w:p>
        </w:tc>
      </w:tr>
      <w:tr w:rsidR="003734EC" w14:paraId="3693E5FA" w14:textId="77777777">
        <w:trPr>
          <w:jc w:val="center"/>
        </w:trPr>
        <w:tc>
          <w:tcPr>
            <w:tcW w:w="0" w:type="auto"/>
            <w:gridSpan w:val="3"/>
            <w:shd w:val="clear" w:color="auto" w:fill="auto"/>
            <w:tcMar>
              <w:top w:w="40" w:type="dxa"/>
              <w:left w:w="20" w:type="dxa"/>
              <w:bottom w:w="40" w:type="dxa"/>
              <w:right w:w="20" w:type="dxa"/>
            </w:tcMar>
            <w:vAlign w:val="bottom"/>
          </w:tcPr>
          <w:p w14:paraId="3693E5F8"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5F9" w14:textId="77777777" w:rsidR="003734EC" w:rsidRDefault="000E364E">
            <w:pPr>
              <w:jc w:val="center"/>
              <w:textAlignment w:val="bottom"/>
            </w:pPr>
            <w:r>
              <w:rPr>
                <w:rFonts w:ascii="sans-serif" w:eastAsia="sans-serif" w:hAnsi="sans-serif" w:cs="sans-serif"/>
                <w:i/>
                <w:iCs/>
                <w:color w:val="000000"/>
                <w:sz w:val="20"/>
                <w:szCs w:val="20"/>
              </w:rPr>
              <w:t>(In millions)</w:t>
            </w:r>
          </w:p>
        </w:tc>
      </w:tr>
      <w:tr w:rsidR="003734EC" w14:paraId="3693E5FD" w14:textId="77777777">
        <w:trPr>
          <w:jc w:val="center"/>
        </w:trPr>
        <w:tc>
          <w:tcPr>
            <w:tcW w:w="0" w:type="auto"/>
            <w:gridSpan w:val="3"/>
            <w:shd w:val="clear" w:color="auto" w:fill="E2EFD9"/>
            <w:tcMar>
              <w:top w:w="40" w:type="dxa"/>
              <w:left w:w="20" w:type="dxa"/>
              <w:bottom w:w="40" w:type="dxa"/>
              <w:right w:w="20" w:type="dxa"/>
            </w:tcMar>
            <w:vAlign w:val="bottom"/>
          </w:tcPr>
          <w:p w14:paraId="3693E5FB" w14:textId="77777777" w:rsidR="003734EC" w:rsidRDefault="000E364E">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3693E5FC" w14:textId="77777777" w:rsidR="003734EC" w:rsidRDefault="000E364E">
            <w:pPr>
              <w:textAlignment w:val="bottom"/>
            </w:pPr>
            <w:r>
              <w:rPr>
                <w:rFonts w:ascii="sans-serif" w:eastAsia="sans-serif" w:hAnsi="sans-serif" w:cs="sans-serif"/>
                <w:color w:val="000000"/>
                <w:sz w:val="20"/>
                <w:szCs w:val="20"/>
              </w:rPr>
              <w:t> </w:t>
            </w:r>
          </w:p>
        </w:tc>
      </w:tr>
      <w:tr w:rsidR="003734EC" w14:paraId="3693E602" w14:textId="77777777">
        <w:trPr>
          <w:jc w:val="center"/>
        </w:trPr>
        <w:tc>
          <w:tcPr>
            <w:tcW w:w="0" w:type="auto"/>
            <w:gridSpan w:val="3"/>
            <w:shd w:val="clear" w:color="auto" w:fill="FFFFFF"/>
            <w:tcMar>
              <w:top w:w="40" w:type="dxa"/>
              <w:left w:w="20" w:type="dxa"/>
              <w:bottom w:w="40" w:type="dxa"/>
              <w:right w:w="20" w:type="dxa"/>
            </w:tcMar>
            <w:vAlign w:val="bottom"/>
          </w:tcPr>
          <w:p w14:paraId="3693E5FE" w14:textId="77777777" w:rsidR="003734EC" w:rsidRDefault="000E364E">
            <w:pPr>
              <w:textAlignment w:val="bottom"/>
            </w:pPr>
            <w:r>
              <w:rPr>
                <w:rFonts w:ascii="sans-serif" w:eastAsia="sans-serif" w:hAnsi="sans-serif" w:cs="sans-serif"/>
                <w:color w:val="000000"/>
                <w:sz w:val="20"/>
                <w:szCs w:val="20"/>
              </w:rPr>
              <w:t>2021 (excluding first quarter of fiscal year 2021)</w:t>
            </w:r>
          </w:p>
        </w:tc>
        <w:tc>
          <w:tcPr>
            <w:tcW w:w="0" w:type="auto"/>
            <w:shd w:val="clear" w:color="auto" w:fill="FFFFFF"/>
            <w:tcMar>
              <w:top w:w="40" w:type="dxa"/>
              <w:left w:w="20" w:type="dxa"/>
              <w:bottom w:w="40" w:type="dxa"/>
            </w:tcMar>
            <w:vAlign w:val="bottom"/>
          </w:tcPr>
          <w:p w14:paraId="3693E5F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600" w14:textId="77777777" w:rsidR="003734EC" w:rsidRDefault="000E364E">
            <w:pPr>
              <w:jc w:val="right"/>
              <w:textAlignment w:val="bottom"/>
            </w:pPr>
            <w:r>
              <w:rPr>
                <w:rFonts w:ascii="sans-serif" w:eastAsia="sans-serif" w:hAnsi="sans-serif" w:cs="sans-serif"/>
                <w:color w:val="000000"/>
                <w:sz w:val="20"/>
                <w:szCs w:val="20"/>
              </w:rPr>
              <w:t>90 </w:t>
            </w:r>
          </w:p>
        </w:tc>
        <w:tc>
          <w:tcPr>
            <w:tcW w:w="0" w:type="auto"/>
            <w:shd w:val="clear" w:color="auto" w:fill="FFFFFF"/>
            <w:tcMar>
              <w:top w:w="40" w:type="dxa"/>
              <w:bottom w:w="40" w:type="dxa"/>
              <w:right w:w="20" w:type="dxa"/>
            </w:tcMar>
            <w:vAlign w:val="bottom"/>
          </w:tcPr>
          <w:p w14:paraId="3693E601"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06" w14:textId="77777777">
        <w:trPr>
          <w:jc w:val="center"/>
        </w:trPr>
        <w:tc>
          <w:tcPr>
            <w:tcW w:w="0" w:type="auto"/>
            <w:gridSpan w:val="3"/>
            <w:shd w:val="clear" w:color="auto" w:fill="E2EFD9"/>
            <w:tcMar>
              <w:top w:w="40" w:type="dxa"/>
              <w:left w:w="20" w:type="dxa"/>
              <w:bottom w:w="40" w:type="dxa"/>
              <w:right w:w="20" w:type="dxa"/>
            </w:tcMar>
            <w:vAlign w:val="bottom"/>
          </w:tcPr>
          <w:p w14:paraId="3693E603" w14:textId="77777777" w:rsidR="003734EC" w:rsidRDefault="000E364E">
            <w:pPr>
              <w:textAlignment w:val="bottom"/>
            </w:pPr>
            <w:r>
              <w:rPr>
                <w:rFonts w:ascii="sans-serif" w:eastAsia="sans-serif" w:hAnsi="sans-serif" w:cs="sans-serif"/>
                <w:color w:val="000000"/>
                <w:sz w:val="20"/>
                <w:szCs w:val="20"/>
              </w:rPr>
              <w:t>2022</w:t>
            </w:r>
          </w:p>
        </w:tc>
        <w:tc>
          <w:tcPr>
            <w:tcW w:w="0" w:type="auto"/>
            <w:gridSpan w:val="2"/>
            <w:shd w:val="clear" w:color="auto" w:fill="E2EFD9"/>
            <w:tcMar>
              <w:top w:w="40" w:type="dxa"/>
              <w:left w:w="20" w:type="dxa"/>
              <w:bottom w:w="40" w:type="dxa"/>
              <w:right w:w="0" w:type="dxa"/>
            </w:tcMar>
            <w:vAlign w:val="bottom"/>
          </w:tcPr>
          <w:p w14:paraId="3693E604" w14:textId="77777777" w:rsidR="003734EC" w:rsidRDefault="000E364E">
            <w:pPr>
              <w:jc w:val="right"/>
              <w:textAlignment w:val="bottom"/>
            </w:pPr>
            <w:r>
              <w:rPr>
                <w:rFonts w:ascii="sans-serif" w:eastAsia="sans-serif" w:hAnsi="sans-serif" w:cs="sans-serif"/>
                <w:color w:val="000000"/>
                <w:sz w:val="20"/>
                <w:szCs w:val="20"/>
              </w:rPr>
              <w:t>116 </w:t>
            </w:r>
          </w:p>
        </w:tc>
        <w:tc>
          <w:tcPr>
            <w:tcW w:w="0" w:type="auto"/>
            <w:shd w:val="clear" w:color="auto" w:fill="E2EFD9"/>
            <w:tcMar>
              <w:top w:w="40" w:type="dxa"/>
              <w:bottom w:w="40" w:type="dxa"/>
              <w:right w:w="20" w:type="dxa"/>
            </w:tcMar>
            <w:vAlign w:val="bottom"/>
          </w:tcPr>
          <w:p w14:paraId="3693E60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0A" w14:textId="77777777">
        <w:trPr>
          <w:jc w:val="center"/>
        </w:trPr>
        <w:tc>
          <w:tcPr>
            <w:tcW w:w="0" w:type="auto"/>
            <w:gridSpan w:val="3"/>
            <w:shd w:val="clear" w:color="auto" w:fill="FFFFFF"/>
            <w:tcMar>
              <w:top w:w="40" w:type="dxa"/>
              <w:left w:w="20" w:type="dxa"/>
              <w:bottom w:w="40" w:type="dxa"/>
              <w:right w:w="20" w:type="dxa"/>
            </w:tcMar>
            <w:vAlign w:val="bottom"/>
          </w:tcPr>
          <w:p w14:paraId="3693E607" w14:textId="77777777" w:rsidR="003734EC" w:rsidRDefault="000E364E">
            <w:pPr>
              <w:textAlignment w:val="bottom"/>
            </w:pPr>
            <w:r>
              <w:rPr>
                <w:rFonts w:ascii="sans-serif" w:eastAsia="sans-serif" w:hAnsi="sans-serif" w:cs="sans-serif"/>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693E608" w14:textId="77777777" w:rsidR="003734EC" w:rsidRDefault="000E364E">
            <w:pPr>
              <w:jc w:val="right"/>
              <w:textAlignment w:val="bottom"/>
            </w:pPr>
            <w:r>
              <w:rPr>
                <w:rFonts w:ascii="sans-serif" w:eastAsia="sans-serif" w:hAnsi="sans-serif" w:cs="sans-serif"/>
                <w:color w:val="000000"/>
                <w:sz w:val="20"/>
                <w:szCs w:val="20"/>
              </w:rPr>
              <w:t>102 </w:t>
            </w:r>
          </w:p>
        </w:tc>
        <w:tc>
          <w:tcPr>
            <w:tcW w:w="0" w:type="auto"/>
            <w:shd w:val="clear" w:color="auto" w:fill="FFFFFF"/>
            <w:tcMar>
              <w:top w:w="40" w:type="dxa"/>
              <w:bottom w:w="40" w:type="dxa"/>
              <w:right w:w="20" w:type="dxa"/>
            </w:tcMar>
            <w:vAlign w:val="bottom"/>
          </w:tcPr>
          <w:p w14:paraId="3693E609"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0E" w14:textId="77777777">
        <w:trPr>
          <w:jc w:val="center"/>
        </w:trPr>
        <w:tc>
          <w:tcPr>
            <w:tcW w:w="0" w:type="auto"/>
            <w:gridSpan w:val="3"/>
            <w:shd w:val="clear" w:color="auto" w:fill="E2EFD9"/>
            <w:tcMar>
              <w:top w:w="40" w:type="dxa"/>
              <w:left w:w="20" w:type="dxa"/>
              <w:bottom w:w="40" w:type="dxa"/>
              <w:right w:w="20" w:type="dxa"/>
            </w:tcMar>
            <w:vAlign w:val="bottom"/>
          </w:tcPr>
          <w:p w14:paraId="3693E60B" w14:textId="77777777" w:rsidR="003734EC" w:rsidRDefault="000E364E">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3693E60C" w14:textId="77777777" w:rsidR="003734EC" w:rsidRDefault="000E364E">
            <w:pPr>
              <w:jc w:val="right"/>
              <w:textAlignment w:val="bottom"/>
            </w:pPr>
            <w:r>
              <w:rPr>
                <w:rFonts w:ascii="sans-serif" w:eastAsia="sans-serif" w:hAnsi="sans-serif" w:cs="sans-serif"/>
                <w:color w:val="000000"/>
                <w:sz w:val="20"/>
                <w:szCs w:val="20"/>
              </w:rPr>
              <w:t>78 </w:t>
            </w:r>
          </w:p>
        </w:tc>
        <w:tc>
          <w:tcPr>
            <w:tcW w:w="0" w:type="auto"/>
            <w:shd w:val="clear" w:color="auto" w:fill="E2EFD9"/>
            <w:tcMar>
              <w:top w:w="40" w:type="dxa"/>
              <w:bottom w:w="40" w:type="dxa"/>
              <w:right w:w="20" w:type="dxa"/>
            </w:tcMar>
            <w:vAlign w:val="bottom"/>
          </w:tcPr>
          <w:p w14:paraId="3693E60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12" w14:textId="77777777">
        <w:trPr>
          <w:jc w:val="center"/>
        </w:trPr>
        <w:tc>
          <w:tcPr>
            <w:tcW w:w="0" w:type="auto"/>
            <w:gridSpan w:val="3"/>
            <w:shd w:val="clear" w:color="auto" w:fill="FFFFFF"/>
            <w:tcMar>
              <w:top w:w="40" w:type="dxa"/>
              <w:left w:w="20" w:type="dxa"/>
              <w:bottom w:w="40" w:type="dxa"/>
              <w:right w:w="20" w:type="dxa"/>
            </w:tcMar>
            <w:vAlign w:val="bottom"/>
          </w:tcPr>
          <w:p w14:paraId="3693E60F" w14:textId="77777777" w:rsidR="003734EC" w:rsidRDefault="000E364E">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693E610" w14:textId="77777777" w:rsidR="003734EC" w:rsidRDefault="000E364E">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bottom w:w="40" w:type="dxa"/>
              <w:right w:w="20" w:type="dxa"/>
            </w:tcMar>
            <w:vAlign w:val="bottom"/>
          </w:tcPr>
          <w:p w14:paraId="3693E611"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16" w14:textId="77777777">
        <w:trPr>
          <w:jc w:val="center"/>
        </w:trPr>
        <w:tc>
          <w:tcPr>
            <w:tcW w:w="0" w:type="auto"/>
            <w:gridSpan w:val="3"/>
            <w:shd w:val="clear" w:color="auto" w:fill="E2EFD9"/>
            <w:tcMar>
              <w:top w:w="40" w:type="dxa"/>
              <w:left w:w="20" w:type="dxa"/>
              <w:bottom w:w="40" w:type="dxa"/>
              <w:right w:w="20" w:type="dxa"/>
            </w:tcMar>
            <w:vAlign w:val="bottom"/>
          </w:tcPr>
          <w:p w14:paraId="3693E613" w14:textId="77777777" w:rsidR="003734EC" w:rsidRDefault="000E364E">
            <w:pPr>
              <w:textAlignment w:val="bottom"/>
            </w:pPr>
            <w:r>
              <w:rPr>
                <w:rFonts w:ascii="sans-serif" w:eastAsia="sans-serif" w:hAnsi="sans-serif" w:cs="sans-serif"/>
                <w:color w:val="000000"/>
                <w:sz w:val="20"/>
                <w:szCs w:val="20"/>
              </w:rPr>
              <w:t>2026 and thereafter</w:t>
            </w:r>
          </w:p>
        </w:tc>
        <w:tc>
          <w:tcPr>
            <w:tcW w:w="0" w:type="auto"/>
            <w:gridSpan w:val="2"/>
            <w:shd w:val="clear" w:color="auto" w:fill="E2EFD9"/>
            <w:tcMar>
              <w:top w:w="40" w:type="dxa"/>
              <w:left w:w="20" w:type="dxa"/>
              <w:bottom w:w="40" w:type="dxa"/>
              <w:right w:w="0" w:type="dxa"/>
            </w:tcMar>
            <w:vAlign w:val="bottom"/>
          </w:tcPr>
          <w:p w14:paraId="3693E614" w14:textId="77777777" w:rsidR="003734EC" w:rsidRDefault="000E364E">
            <w:pPr>
              <w:jc w:val="right"/>
              <w:textAlignment w:val="bottom"/>
            </w:pPr>
            <w:r>
              <w:rPr>
                <w:rFonts w:ascii="sans-serif" w:eastAsia="sans-serif" w:hAnsi="sans-serif" w:cs="sans-serif"/>
                <w:color w:val="000000"/>
                <w:sz w:val="20"/>
                <w:szCs w:val="20"/>
              </w:rPr>
              <w:t>289 </w:t>
            </w:r>
          </w:p>
        </w:tc>
        <w:tc>
          <w:tcPr>
            <w:tcW w:w="0" w:type="auto"/>
            <w:shd w:val="clear" w:color="auto" w:fill="E2EFD9"/>
            <w:tcMar>
              <w:top w:w="40" w:type="dxa"/>
              <w:bottom w:w="40" w:type="dxa"/>
              <w:right w:w="20" w:type="dxa"/>
            </w:tcMar>
            <w:vAlign w:val="bottom"/>
          </w:tcPr>
          <w:p w14:paraId="3693E61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1A" w14:textId="77777777">
        <w:trPr>
          <w:jc w:val="center"/>
        </w:trPr>
        <w:tc>
          <w:tcPr>
            <w:tcW w:w="0" w:type="auto"/>
            <w:gridSpan w:val="3"/>
            <w:shd w:val="clear" w:color="auto" w:fill="FFFFFF"/>
            <w:tcMar>
              <w:top w:w="40" w:type="dxa"/>
              <w:left w:w="225" w:type="dxa"/>
              <w:bottom w:w="40" w:type="dxa"/>
              <w:right w:w="20" w:type="dxa"/>
            </w:tcMar>
            <w:vAlign w:val="bottom"/>
          </w:tcPr>
          <w:p w14:paraId="3693E617" w14:textId="77777777" w:rsidR="003734EC" w:rsidRDefault="000E364E">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618" w14:textId="77777777" w:rsidR="003734EC" w:rsidRDefault="000E364E">
            <w:pPr>
              <w:jc w:val="right"/>
              <w:textAlignment w:val="bottom"/>
            </w:pPr>
            <w:r>
              <w:rPr>
                <w:rFonts w:ascii="sans-serif" w:eastAsia="sans-serif" w:hAnsi="sans-serif" w:cs="sans-serif"/>
                <w:color w:val="000000"/>
                <w:sz w:val="20"/>
                <w:szCs w:val="20"/>
              </w:rPr>
              <w:t>736 </w:t>
            </w:r>
          </w:p>
        </w:tc>
        <w:tc>
          <w:tcPr>
            <w:tcW w:w="0" w:type="auto"/>
            <w:tcBorders>
              <w:top w:val="single" w:sz="8" w:space="0" w:color="000000"/>
            </w:tcBorders>
            <w:shd w:val="clear" w:color="auto" w:fill="FFFFFF"/>
            <w:tcMar>
              <w:top w:w="40" w:type="dxa"/>
              <w:bottom w:w="40" w:type="dxa"/>
              <w:right w:w="20" w:type="dxa"/>
            </w:tcMar>
            <w:vAlign w:val="bottom"/>
          </w:tcPr>
          <w:p w14:paraId="3693E619"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1E" w14:textId="77777777">
        <w:trPr>
          <w:jc w:val="center"/>
        </w:trPr>
        <w:tc>
          <w:tcPr>
            <w:tcW w:w="0" w:type="auto"/>
            <w:gridSpan w:val="3"/>
            <w:shd w:val="clear" w:color="auto" w:fill="E2EFD9"/>
            <w:tcMar>
              <w:top w:w="40" w:type="dxa"/>
              <w:left w:w="20" w:type="dxa"/>
              <w:bottom w:w="40" w:type="dxa"/>
              <w:right w:w="20" w:type="dxa"/>
            </w:tcMar>
            <w:vAlign w:val="bottom"/>
          </w:tcPr>
          <w:p w14:paraId="3693E61B" w14:textId="77777777" w:rsidR="003734EC" w:rsidRDefault="000E364E">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3693E61C" w14:textId="77777777" w:rsidR="003734EC" w:rsidRDefault="000E364E">
            <w:pPr>
              <w:jc w:val="right"/>
              <w:textAlignment w:val="bottom"/>
            </w:pPr>
            <w:r>
              <w:rPr>
                <w:rFonts w:ascii="sans-serif" w:eastAsia="sans-serif" w:hAnsi="sans-serif" w:cs="sans-serif"/>
                <w:color w:val="000000"/>
                <w:sz w:val="20"/>
                <w:szCs w:val="20"/>
              </w:rPr>
              <w:t>117 </w:t>
            </w:r>
          </w:p>
        </w:tc>
        <w:tc>
          <w:tcPr>
            <w:tcW w:w="0" w:type="auto"/>
            <w:shd w:val="clear" w:color="auto" w:fill="E2EFD9"/>
            <w:tcMar>
              <w:top w:w="40" w:type="dxa"/>
              <w:bottom w:w="40" w:type="dxa"/>
              <w:right w:w="20" w:type="dxa"/>
            </w:tcMar>
            <w:vAlign w:val="bottom"/>
          </w:tcPr>
          <w:p w14:paraId="3693E61D"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22" w14:textId="77777777">
        <w:trPr>
          <w:jc w:val="center"/>
        </w:trPr>
        <w:tc>
          <w:tcPr>
            <w:tcW w:w="0" w:type="auto"/>
            <w:gridSpan w:val="3"/>
            <w:shd w:val="clear" w:color="auto" w:fill="FFFFFF"/>
            <w:tcMar>
              <w:top w:w="40" w:type="dxa"/>
              <w:left w:w="20" w:type="dxa"/>
              <w:bottom w:w="40" w:type="dxa"/>
              <w:right w:w="20" w:type="dxa"/>
            </w:tcMar>
            <w:vAlign w:val="bottom"/>
          </w:tcPr>
          <w:p w14:paraId="3693E61F" w14:textId="77777777" w:rsidR="003734EC" w:rsidRDefault="000E364E">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620" w14:textId="77777777" w:rsidR="003734EC" w:rsidRDefault="000E364E">
            <w:pPr>
              <w:jc w:val="right"/>
              <w:textAlignment w:val="bottom"/>
            </w:pPr>
            <w:r>
              <w:rPr>
                <w:rFonts w:ascii="sans-serif" w:eastAsia="sans-serif" w:hAnsi="sans-serif" w:cs="sans-serif"/>
                <w:color w:val="000000"/>
                <w:sz w:val="20"/>
                <w:szCs w:val="20"/>
              </w:rPr>
              <w:t>619 </w:t>
            </w:r>
          </w:p>
        </w:tc>
        <w:tc>
          <w:tcPr>
            <w:tcW w:w="0" w:type="auto"/>
            <w:tcBorders>
              <w:top w:val="single" w:sz="8" w:space="0" w:color="000000"/>
            </w:tcBorders>
            <w:shd w:val="clear" w:color="auto" w:fill="FFFFFF"/>
            <w:tcMar>
              <w:top w:w="40" w:type="dxa"/>
              <w:bottom w:w="40" w:type="dxa"/>
              <w:right w:w="20" w:type="dxa"/>
            </w:tcMar>
            <w:vAlign w:val="bottom"/>
          </w:tcPr>
          <w:p w14:paraId="3693E621"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26" w14:textId="77777777">
        <w:trPr>
          <w:jc w:val="center"/>
        </w:trPr>
        <w:tc>
          <w:tcPr>
            <w:tcW w:w="0" w:type="auto"/>
            <w:gridSpan w:val="3"/>
            <w:shd w:val="clear" w:color="auto" w:fill="E2EFD9"/>
            <w:tcMar>
              <w:top w:w="40" w:type="dxa"/>
              <w:left w:w="20" w:type="dxa"/>
              <w:bottom w:w="40" w:type="dxa"/>
              <w:right w:w="20" w:type="dxa"/>
            </w:tcMar>
            <w:vAlign w:val="bottom"/>
          </w:tcPr>
          <w:p w14:paraId="3693E623" w14:textId="77777777" w:rsidR="003734EC" w:rsidRDefault="000E364E">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3693E624" w14:textId="77777777" w:rsidR="003734EC" w:rsidRDefault="000E364E">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bottom w:w="40" w:type="dxa"/>
              <w:right w:w="20" w:type="dxa"/>
            </w:tcMar>
            <w:vAlign w:val="bottom"/>
          </w:tcPr>
          <w:p w14:paraId="3693E625" w14:textId="77777777" w:rsidR="003734EC" w:rsidRDefault="000E364E">
            <w:pPr>
              <w:jc w:val="right"/>
              <w:textAlignment w:val="bottom"/>
            </w:pPr>
            <w:r>
              <w:rPr>
                <w:rFonts w:ascii="sans-serif" w:eastAsia="sans-serif" w:hAnsi="sans-serif" w:cs="sans-serif"/>
                <w:color w:val="000000"/>
                <w:sz w:val="20"/>
                <w:szCs w:val="20"/>
              </w:rPr>
              <w:t> </w:t>
            </w:r>
          </w:p>
        </w:tc>
      </w:tr>
      <w:tr w:rsidR="003734EC" w14:paraId="3693E62B" w14:textId="77777777">
        <w:trPr>
          <w:jc w:val="center"/>
        </w:trPr>
        <w:tc>
          <w:tcPr>
            <w:tcW w:w="0" w:type="auto"/>
            <w:gridSpan w:val="3"/>
            <w:shd w:val="clear" w:color="auto" w:fill="FFFFFF"/>
            <w:tcMar>
              <w:top w:w="40" w:type="dxa"/>
              <w:left w:w="225" w:type="dxa"/>
              <w:bottom w:w="40" w:type="dxa"/>
              <w:right w:w="20" w:type="dxa"/>
            </w:tcMar>
            <w:vAlign w:val="bottom"/>
          </w:tcPr>
          <w:p w14:paraId="3693E627" w14:textId="77777777" w:rsidR="003734EC" w:rsidRDefault="000E364E">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628"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629" w14:textId="77777777" w:rsidR="003734EC" w:rsidRDefault="000E364E">
            <w:pPr>
              <w:jc w:val="right"/>
              <w:textAlignment w:val="bottom"/>
            </w:pPr>
            <w:r>
              <w:rPr>
                <w:rFonts w:ascii="sans-serif" w:eastAsia="sans-serif" w:hAnsi="sans-serif" w:cs="sans-serif"/>
                <w:color w:val="000000"/>
                <w:sz w:val="20"/>
                <w:szCs w:val="20"/>
              </w:rPr>
              <w:t>519 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62A" w14:textId="77777777" w:rsidR="003734EC" w:rsidRDefault="000E364E">
            <w:pPr>
              <w:jc w:val="right"/>
              <w:textAlignment w:val="bottom"/>
            </w:pPr>
            <w:r>
              <w:rPr>
                <w:rFonts w:ascii="sans-serif" w:eastAsia="sans-serif" w:hAnsi="sans-serif" w:cs="sans-serif"/>
                <w:color w:val="000000"/>
                <w:sz w:val="20"/>
                <w:szCs w:val="20"/>
              </w:rPr>
              <w:t> </w:t>
            </w:r>
          </w:p>
        </w:tc>
      </w:tr>
    </w:tbl>
    <w:p w14:paraId="3693E62C" w14:textId="77777777" w:rsidR="003734EC" w:rsidRDefault="000E364E">
      <w:pPr>
        <w:spacing w:before="360" w:after="180"/>
        <w:jc w:val="both"/>
      </w:pPr>
      <w:r>
        <w:rPr>
          <w:rFonts w:ascii="sans-serif" w:eastAsia="sans-serif" w:hAnsi="sans-serif" w:cs="sans-serif"/>
          <w:color w:val="000000"/>
          <w:sz w:val="20"/>
          <w:szCs w:val="20"/>
        </w:rPr>
        <w:t xml:space="preserve">Operating lease expense for the first quarters of fiscal years 2021 and 2020 was $31 million and $27 million, respectively. Short-term and variable lease expenses for the first quarter of fiscal years 2021 and 2020 were not significant. </w:t>
      </w:r>
    </w:p>
    <w:p w14:paraId="3693E62D" w14:textId="77777777" w:rsidR="003734EC" w:rsidRDefault="000E364E">
      <w:pPr>
        <w:jc w:val="both"/>
      </w:pPr>
      <w:r>
        <w:rPr>
          <w:rFonts w:ascii="sans-serif" w:eastAsia="sans-serif" w:hAnsi="sans-serif" w:cs="sans-serif"/>
          <w:color w:val="000000"/>
          <w:sz w:val="20"/>
          <w:szCs w:val="20"/>
        </w:rPr>
        <w:t xml:space="preserve">Other information </w:t>
      </w:r>
      <w:r>
        <w:rPr>
          <w:rFonts w:ascii="sans-serif" w:eastAsia="sans-serif" w:hAnsi="sans-serif" w:cs="sans-serif"/>
          <w:color w:val="000000"/>
          <w:sz w:val="20"/>
          <w:szCs w:val="20"/>
        </w:rPr>
        <w:t>related to leases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769"/>
        <w:gridCol w:w="69"/>
        <w:gridCol w:w="139"/>
        <w:gridCol w:w="1137"/>
        <w:gridCol w:w="82"/>
        <w:gridCol w:w="36"/>
        <w:gridCol w:w="36"/>
      </w:tblGrid>
      <w:tr w:rsidR="003734EC" w14:paraId="3693E636" w14:textId="77777777">
        <w:trPr>
          <w:jc w:val="center"/>
        </w:trPr>
        <w:tc>
          <w:tcPr>
            <w:tcW w:w="50" w:type="pct"/>
            <w:shd w:val="clear" w:color="auto" w:fill="auto"/>
            <w:vAlign w:val="center"/>
          </w:tcPr>
          <w:p w14:paraId="3693E62E" w14:textId="77777777" w:rsidR="003734EC" w:rsidRDefault="003734EC">
            <w:pPr>
              <w:rPr>
                <w:rFonts w:ascii="宋体"/>
              </w:rPr>
            </w:pPr>
          </w:p>
        </w:tc>
        <w:tc>
          <w:tcPr>
            <w:tcW w:w="4103" w:type="pct"/>
            <w:shd w:val="clear" w:color="auto" w:fill="auto"/>
            <w:vAlign w:val="center"/>
          </w:tcPr>
          <w:p w14:paraId="3693E62F" w14:textId="77777777" w:rsidR="003734EC" w:rsidRDefault="003734EC">
            <w:pPr>
              <w:rPr>
                <w:rFonts w:ascii="宋体"/>
              </w:rPr>
            </w:pPr>
          </w:p>
        </w:tc>
        <w:tc>
          <w:tcPr>
            <w:tcW w:w="50" w:type="pct"/>
            <w:shd w:val="clear" w:color="auto" w:fill="auto"/>
            <w:vAlign w:val="center"/>
          </w:tcPr>
          <w:p w14:paraId="3693E630" w14:textId="77777777" w:rsidR="003734EC" w:rsidRDefault="003734EC">
            <w:pPr>
              <w:rPr>
                <w:rFonts w:ascii="宋体"/>
              </w:rPr>
            </w:pPr>
          </w:p>
        </w:tc>
        <w:tc>
          <w:tcPr>
            <w:tcW w:w="50" w:type="pct"/>
            <w:shd w:val="clear" w:color="auto" w:fill="auto"/>
            <w:vAlign w:val="center"/>
          </w:tcPr>
          <w:p w14:paraId="3693E631" w14:textId="77777777" w:rsidR="003734EC" w:rsidRDefault="003734EC">
            <w:pPr>
              <w:rPr>
                <w:rFonts w:ascii="宋体"/>
              </w:rPr>
            </w:pPr>
          </w:p>
        </w:tc>
        <w:tc>
          <w:tcPr>
            <w:tcW w:w="696" w:type="pct"/>
            <w:shd w:val="clear" w:color="auto" w:fill="auto"/>
            <w:vAlign w:val="center"/>
          </w:tcPr>
          <w:p w14:paraId="3693E632" w14:textId="77777777" w:rsidR="003734EC" w:rsidRDefault="003734EC">
            <w:pPr>
              <w:rPr>
                <w:rFonts w:ascii="宋体"/>
              </w:rPr>
            </w:pPr>
          </w:p>
        </w:tc>
        <w:tc>
          <w:tcPr>
            <w:tcW w:w="50" w:type="pct"/>
            <w:shd w:val="clear" w:color="auto" w:fill="auto"/>
            <w:vAlign w:val="center"/>
          </w:tcPr>
          <w:p w14:paraId="3693E633" w14:textId="77777777" w:rsidR="003734EC" w:rsidRDefault="003734EC">
            <w:pPr>
              <w:rPr>
                <w:rFonts w:ascii="宋体"/>
              </w:rPr>
            </w:pPr>
          </w:p>
        </w:tc>
        <w:tc>
          <w:tcPr>
            <w:tcW w:w="0" w:type="auto"/>
            <w:shd w:val="clear" w:color="auto" w:fill="auto"/>
            <w:vAlign w:val="center"/>
          </w:tcPr>
          <w:p w14:paraId="3693E634" w14:textId="77777777" w:rsidR="003734EC" w:rsidRDefault="003734EC">
            <w:pPr>
              <w:rPr>
                <w:rFonts w:ascii="宋体"/>
                <w:vanish/>
              </w:rPr>
            </w:pPr>
          </w:p>
        </w:tc>
        <w:tc>
          <w:tcPr>
            <w:tcW w:w="0" w:type="auto"/>
            <w:shd w:val="clear" w:color="auto" w:fill="auto"/>
            <w:vAlign w:val="center"/>
          </w:tcPr>
          <w:p w14:paraId="3693E635" w14:textId="77777777" w:rsidR="003734EC" w:rsidRDefault="003734EC">
            <w:pPr>
              <w:rPr>
                <w:rFonts w:ascii="宋体"/>
                <w:vanish/>
              </w:rPr>
            </w:pPr>
          </w:p>
        </w:tc>
      </w:tr>
      <w:tr w:rsidR="003734EC" w14:paraId="3693E63B" w14:textId="77777777">
        <w:trPr>
          <w:jc w:val="center"/>
        </w:trPr>
        <w:tc>
          <w:tcPr>
            <w:tcW w:w="0" w:type="auto"/>
            <w:gridSpan w:val="3"/>
            <w:shd w:val="clear" w:color="auto" w:fill="auto"/>
            <w:tcMar>
              <w:left w:w="20" w:type="dxa"/>
              <w:right w:w="20" w:type="dxa"/>
            </w:tcMar>
            <w:vAlign w:val="bottom"/>
          </w:tcPr>
          <w:p w14:paraId="3693E637"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638"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E639" w14:textId="77777777" w:rsidR="003734EC" w:rsidRDefault="003734EC">
            <w:pPr>
              <w:rPr>
                <w:rFonts w:ascii="宋体"/>
                <w:vanish/>
              </w:rPr>
            </w:pPr>
          </w:p>
        </w:tc>
        <w:tc>
          <w:tcPr>
            <w:tcW w:w="0" w:type="auto"/>
            <w:shd w:val="clear" w:color="auto" w:fill="auto"/>
            <w:vAlign w:val="center"/>
          </w:tcPr>
          <w:p w14:paraId="3693E63A" w14:textId="77777777" w:rsidR="003734EC" w:rsidRDefault="003734EC">
            <w:pPr>
              <w:rPr>
                <w:rFonts w:ascii="宋体"/>
                <w:vanish/>
              </w:rPr>
            </w:pPr>
          </w:p>
        </w:tc>
      </w:tr>
      <w:tr w:rsidR="003734EC" w14:paraId="3693E640" w14:textId="77777777">
        <w:trPr>
          <w:jc w:val="center"/>
        </w:trPr>
        <w:tc>
          <w:tcPr>
            <w:tcW w:w="0" w:type="auto"/>
            <w:gridSpan w:val="3"/>
            <w:shd w:val="clear" w:color="auto" w:fill="auto"/>
            <w:tcMar>
              <w:left w:w="20" w:type="dxa"/>
              <w:right w:w="20" w:type="dxa"/>
            </w:tcMar>
            <w:vAlign w:val="bottom"/>
          </w:tcPr>
          <w:p w14:paraId="3693E63C"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63D"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shd w:val="clear" w:color="auto" w:fill="auto"/>
            <w:vAlign w:val="center"/>
          </w:tcPr>
          <w:p w14:paraId="3693E63E" w14:textId="77777777" w:rsidR="003734EC" w:rsidRDefault="003734EC">
            <w:pPr>
              <w:rPr>
                <w:rFonts w:ascii="宋体"/>
                <w:vanish/>
              </w:rPr>
            </w:pPr>
          </w:p>
        </w:tc>
        <w:tc>
          <w:tcPr>
            <w:tcW w:w="0" w:type="auto"/>
            <w:shd w:val="clear" w:color="auto" w:fill="auto"/>
            <w:vAlign w:val="center"/>
          </w:tcPr>
          <w:p w14:paraId="3693E63F" w14:textId="77777777" w:rsidR="003734EC" w:rsidRDefault="003734EC">
            <w:pPr>
              <w:rPr>
                <w:rFonts w:ascii="宋体"/>
                <w:vanish/>
              </w:rPr>
            </w:pPr>
          </w:p>
        </w:tc>
      </w:tr>
      <w:tr w:rsidR="003734EC" w14:paraId="3693E645" w14:textId="77777777">
        <w:trPr>
          <w:jc w:val="center"/>
        </w:trPr>
        <w:tc>
          <w:tcPr>
            <w:tcW w:w="0" w:type="auto"/>
            <w:gridSpan w:val="3"/>
            <w:shd w:val="clear" w:color="auto" w:fill="auto"/>
            <w:tcMar>
              <w:top w:w="40" w:type="dxa"/>
              <w:left w:w="20" w:type="dxa"/>
              <w:bottom w:w="40" w:type="dxa"/>
              <w:right w:w="20" w:type="dxa"/>
            </w:tcMar>
            <w:vAlign w:val="bottom"/>
          </w:tcPr>
          <w:p w14:paraId="3693E641"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642"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center"/>
          </w:tcPr>
          <w:p w14:paraId="3693E643" w14:textId="77777777" w:rsidR="003734EC" w:rsidRDefault="003734EC">
            <w:pPr>
              <w:rPr>
                <w:rFonts w:ascii="宋体"/>
                <w:vanish/>
              </w:rPr>
            </w:pPr>
          </w:p>
        </w:tc>
        <w:tc>
          <w:tcPr>
            <w:tcW w:w="0" w:type="auto"/>
            <w:shd w:val="clear" w:color="auto" w:fill="auto"/>
            <w:vAlign w:val="center"/>
          </w:tcPr>
          <w:p w14:paraId="3693E644" w14:textId="77777777" w:rsidR="003734EC" w:rsidRDefault="003734EC">
            <w:pPr>
              <w:rPr>
                <w:rFonts w:ascii="宋体"/>
                <w:vanish/>
              </w:rPr>
            </w:pPr>
          </w:p>
        </w:tc>
      </w:tr>
      <w:tr w:rsidR="003734EC" w14:paraId="3693E64A" w14:textId="77777777">
        <w:trPr>
          <w:jc w:val="center"/>
        </w:trPr>
        <w:tc>
          <w:tcPr>
            <w:tcW w:w="0" w:type="auto"/>
            <w:gridSpan w:val="3"/>
            <w:shd w:val="clear" w:color="auto" w:fill="E2EFD9"/>
            <w:tcMar>
              <w:top w:w="40" w:type="dxa"/>
              <w:left w:w="20" w:type="dxa"/>
              <w:bottom w:w="40" w:type="dxa"/>
              <w:right w:w="20" w:type="dxa"/>
            </w:tcMar>
            <w:vAlign w:val="bottom"/>
          </w:tcPr>
          <w:p w14:paraId="3693E646" w14:textId="77777777" w:rsidR="003734EC" w:rsidRDefault="000E364E">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left w:w="20" w:type="dxa"/>
              <w:right w:w="20" w:type="dxa"/>
            </w:tcMar>
            <w:vAlign w:val="bottom"/>
          </w:tcPr>
          <w:p w14:paraId="3693E647" w14:textId="77777777" w:rsidR="003734EC" w:rsidRDefault="003734EC">
            <w:pPr>
              <w:rPr>
                <w:rFonts w:ascii="宋体"/>
              </w:rPr>
            </w:pPr>
          </w:p>
        </w:tc>
        <w:tc>
          <w:tcPr>
            <w:tcW w:w="0" w:type="auto"/>
            <w:shd w:val="clear" w:color="auto" w:fill="auto"/>
            <w:vAlign w:val="center"/>
          </w:tcPr>
          <w:p w14:paraId="3693E648" w14:textId="77777777" w:rsidR="003734EC" w:rsidRDefault="003734EC">
            <w:pPr>
              <w:rPr>
                <w:rFonts w:ascii="宋体"/>
                <w:vanish/>
              </w:rPr>
            </w:pPr>
          </w:p>
        </w:tc>
        <w:tc>
          <w:tcPr>
            <w:tcW w:w="0" w:type="auto"/>
            <w:shd w:val="clear" w:color="auto" w:fill="auto"/>
            <w:vAlign w:val="center"/>
          </w:tcPr>
          <w:p w14:paraId="3693E649" w14:textId="77777777" w:rsidR="003734EC" w:rsidRDefault="003734EC">
            <w:pPr>
              <w:rPr>
                <w:rFonts w:ascii="宋体"/>
                <w:vanish/>
              </w:rPr>
            </w:pPr>
          </w:p>
        </w:tc>
      </w:tr>
      <w:tr w:rsidR="003734EC" w14:paraId="3693E651" w14:textId="77777777">
        <w:trPr>
          <w:jc w:val="center"/>
        </w:trPr>
        <w:tc>
          <w:tcPr>
            <w:tcW w:w="0" w:type="auto"/>
            <w:gridSpan w:val="3"/>
            <w:shd w:val="clear" w:color="auto" w:fill="FFFFFF"/>
            <w:tcMar>
              <w:top w:w="40" w:type="dxa"/>
              <w:left w:w="20" w:type="dxa"/>
              <w:bottom w:w="40" w:type="dxa"/>
              <w:right w:w="20" w:type="dxa"/>
            </w:tcMar>
            <w:vAlign w:val="bottom"/>
          </w:tcPr>
          <w:p w14:paraId="3693E64B" w14:textId="77777777" w:rsidR="003734EC" w:rsidRDefault="000E364E">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tcMar>
            <w:vAlign w:val="bottom"/>
          </w:tcPr>
          <w:p w14:paraId="3693E64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64D" w14:textId="77777777" w:rsidR="003734EC" w:rsidRDefault="000E364E">
            <w:pPr>
              <w:jc w:val="right"/>
              <w:textAlignment w:val="bottom"/>
            </w:pPr>
            <w:r>
              <w:rPr>
                <w:rFonts w:ascii="sans-serif" w:eastAsia="sans-serif" w:hAnsi="sans-serif" w:cs="sans-serif"/>
                <w:color w:val="000000"/>
                <w:sz w:val="20"/>
                <w:szCs w:val="20"/>
              </w:rPr>
              <w:t>31 </w:t>
            </w:r>
          </w:p>
        </w:tc>
        <w:tc>
          <w:tcPr>
            <w:tcW w:w="0" w:type="auto"/>
            <w:shd w:val="clear" w:color="auto" w:fill="FFFFFF"/>
            <w:tcMar>
              <w:top w:w="40" w:type="dxa"/>
              <w:bottom w:w="40" w:type="dxa"/>
              <w:right w:w="20" w:type="dxa"/>
            </w:tcMar>
            <w:vAlign w:val="bottom"/>
          </w:tcPr>
          <w:p w14:paraId="3693E64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4F" w14:textId="77777777" w:rsidR="003734EC" w:rsidRDefault="003734EC">
            <w:pPr>
              <w:rPr>
                <w:rFonts w:ascii="宋体"/>
                <w:vanish/>
              </w:rPr>
            </w:pPr>
          </w:p>
        </w:tc>
        <w:tc>
          <w:tcPr>
            <w:tcW w:w="0" w:type="auto"/>
            <w:shd w:val="clear" w:color="auto" w:fill="auto"/>
            <w:vAlign w:val="center"/>
          </w:tcPr>
          <w:p w14:paraId="3693E650" w14:textId="77777777" w:rsidR="003734EC" w:rsidRDefault="003734EC">
            <w:pPr>
              <w:rPr>
                <w:rFonts w:ascii="宋体"/>
                <w:vanish/>
              </w:rPr>
            </w:pPr>
          </w:p>
        </w:tc>
      </w:tr>
      <w:tr w:rsidR="003734EC" w14:paraId="3693E658" w14:textId="77777777">
        <w:trPr>
          <w:jc w:val="center"/>
        </w:trPr>
        <w:tc>
          <w:tcPr>
            <w:tcW w:w="0" w:type="auto"/>
            <w:gridSpan w:val="3"/>
            <w:shd w:val="clear" w:color="auto" w:fill="E2EFD9"/>
            <w:tcMar>
              <w:top w:w="40" w:type="dxa"/>
              <w:left w:w="20" w:type="dxa"/>
              <w:bottom w:w="40" w:type="dxa"/>
              <w:right w:w="20" w:type="dxa"/>
            </w:tcMar>
            <w:vAlign w:val="bottom"/>
          </w:tcPr>
          <w:p w14:paraId="3693E652" w14:textId="77777777" w:rsidR="003734EC" w:rsidRDefault="000E364E">
            <w:pPr>
              <w:textAlignment w:val="bottom"/>
            </w:pPr>
            <w:r>
              <w:rPr>
                <w:rFonts w:ascii="sans-serif" w:eastAsia="sans-serif" w:hAnsi="sans-serif" w:cs="sans-serif"/>
                <w:color w:val="000000"/>
                <w:sz w:val="20"/>
                <w:szCs w:val="20"/>
              </w:rPr>
              <w:t xml:space="preserve">Operating lease assets obtained in exchange for </w:t>
            </w:r>
            <w:r>
              <w:rPr>
                <w:rFonts w:ascii="sans-serif" w:eastAsia="sans-serif" w:hAnsi="sans-serif" w:cs="sans-serif"/>
                <w:color w:val="000000"/>
                <w:sz w:val="20"/>
                <w:szCs w:val="20"/>
              </w:rPr>
              <w:t>lease obligations</w:t>
            </w:r>
          </w:p>
        </w:tc>
        <w:tc>
          <w:tcPr>
            <w:tcW w:w="0" w:type="auto"/>
            <w:shd w:val="clear" w:color="auto" w:fill="E2EFD9"/>
            <w:tcMar>
              <w:top w:w="40" w:type="dxa"/>
              <w:left w:w="20" w:type="dxa"/>
              <w:bottom w:w="40" w:type="dxa"/>
            </w:tcMar>
            <w:vAlign w:val="bottom"/>
          </w:tcPr>
          <w:p w14:paraId="3693E653"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654" w14:textId="77777777" w:rsidR="003734EC" w:rsidRDefault="000E364E">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bottom w:w="40" w:type="dxa"/>
              <w:right w:w="20" w:type="dxa"/>
            </w:tcMar>
            <w:vAlign w:val="bottom"/>
          </w:tcPr>
          <w:p w14:paraId="3693E65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56" w14:textId="77777777" w:rsidR="003734EC" w:rsidRDefault="003734EC">
            <w:pPr>
              <w:rPr>
                <w:rFonts w:ascii="宋体"/>
                <w:vanish/>
              </w:rPr>
            </w:pPr>
          </w:p>
        </w:tc>
        <w:tc>
          <w:tcPr>
            <w:tcW w:w="0" w:type="auto"/>
            <w:shd w:val="clear" w:color="auto" w:fill="auto"/>
            <w:vAlign w:val="center"/>
          </w:tcPr>
          <w:p w14:paraId="3693E657" w14:textId="77777777" w:rsidR="003734EC" w:rsidRDefault="003734EC">
            <w:pPr>
              <w:rPr>
                <w:rFonts w:ascii="宋体"/>
                <w:vanish/>
              </w:rPr>
            </w:pPr>
          </w:p>
        </w:tc>
      </w:tr>
    </w:tbl>
    <w:p w14:paraId="3693E659" w14:textId="77777777" w:rsidR="003734EC" w:rsidRDefault="000E364E">
      <w:pPr>
        <w:spacing w:after="180"/>
        <w:jc w:val="both"/>
      </w:pPr>
      <w:r>
        <w:rPr>
          <w:rFonts w:ascii="sans-serif" w:eastAsia="sans-serif" w:hAnsi="sans-serif" w:cs="sans-serif"/>
          <w:color w:val="000000"/>
          <w:sz w:val="20"/>
          <w:szCs w:val="20"/>
        </w:rPr>
        <w:t>As of April 26, 2020, our operating leases had a weighted average remaining lease term of 8.2 years and a weighted average discount rate of 3.45%.</w:t>
      </w:r>
    </w:p>
    <w:p w14:paraId="3693E65A" w14:textId="77777777" w:rsidR="003734EC" w:rsidRDefault="003734EC">
      <w:pPr>
        <w:spacing w:before="240" w:after="120"/>
        <w:jc w:val="both"/>
      </w:pPr>
    </w:p>
    <w:p w14:paraId="3693E65B" w14:textId="77777777" w:rsidR="003734EC" w:rsidRDefault="000E364E">
      <w:pPr>
        <w:spacing w:after="180"/>
        <w:jc w:val="center"/>
      </w:pPr>
      <w:r>
        <w:rPr>
          <w:rFonts w:ascii="sans-serif" w:eastAsia="sans-serif" w:hAnsi="sans-serif" w:cs="sans-serif"/>
          <w:color w:val="000000"/>
          <w:sz w:val="20"/>
          <w:szCs w:val="20"/>
        </w:rPr>
        <w:t>9</w:t>
      </w:r>
    </w:p>
    <w:p w14:paraId="3693E65C" w14:textId="77777777" w:rsidR="003734EC" w:rsidRDefault="000E364E">
      <w:r>
        <w:pict w14:anchorId="3693FF53">
          <v:rect id="_x0000_i1033" style="width:415.3pt;height:1.5pt" o:hralign="center" o:hrstd="t" o:hr="t" fillcolor="#a0a0a0" stroked="f"/>
        </w:pict>
      </w:r>
    </w:p>
    <w:p w14:paraId="3693E65D" w14:textId="77777777" w:rsidR="003734EC" w:rsidRDefault="000E364E">
      <w:pPr>
        <w:jc w:val="center"/>
      </w:pPr>
      <w:r>
        <w:rPr>
          <w:rFonts w:ascii="sans-serif" w:eastAsia="sans-serif" w:hAnsi="sans-serif" w:cs="sans-serif"/>
          <w:b/>
          <w:bCs/>
          <w:color w:val="000000"/>
          <w:sz w:val="20"/>
          <w:szCs w:val="20"/>
        </w:rPr>
        <w:t>NVIDIA CORPORATION AND SUBSIDIARIES</w:t>
      </w:r>
    </w:p>
    <w:p w14:paraId="3693E65E" w14:textId="77777777" w:rsidR="003734EC" w:rsidRDefault="000E364E">
      <w:pPr>
        <w:jc w:val="center"/>
      </w:pPr>
      <w:r>
        <w:rPr>
          <w:rFonts w:ascii="sans-serif" w:eastAsia="sans-serif" w:hAnsi="sans-serif" w:cs="sans-serif"/>
          <w:b/>
          <w:bCs/>
          <w:color w:val="000000"/>
          <w:sz w:val="20"/>
          <w:szCs w:val="20"/>
        </w:rPr>
        <w:t xml:space="preserve">NOTES TO CONDENSED </w:t>
      </w:r>
      <w:r>
        <w:rPr>
          <w:rFonts w:ascii="sans-serif" w:eastAsia="sans-serif" w:hAnsi="sans-serif" w:cs="sans-serif"/>
          <w:b/>
          <w:bCs/>
          <w:color w:val="000000"/>
          <w:sz w:val="20"/>
          <w:szCs w:val="20"/>
        </w:rPr>
        <w:t>CONSOLIDATED FINANCIAL STATEMENTS (Continued)</w:t>
      </w:r>
    </w:p>
    <w:p w14:paraId="3693E65F" w14:textId="77777777" w:rsidR="003734EC" w:rsidRDefault="000E364E">
      <w:pPr>
        <w:jc w:val="center"/>
      </w:pPr>
      <w:r>
        <w:rPr>
          <w:rFonts w:ascii="sans-serif" w:eastAsia="sans-serif" w:hAnsi="sans-serif" w:cs="sans-serif"/>
          <w:b/>
          <w:bCs/>
          <w:color w:val="000000"/>
          <w:sz w:val="20"/>
          <w:szCs w:val="20"/>
        </w:rPr>
        <w:t>(Unaudited)</w:t>
      </w:r>
    </w:p>
    <w:p w14:paraId="3693E660" w14:textId="77777777" w:rsidR="003734EC" w:rsidRDefault="003734EC">
      <w:pPr>
        <w:spacing w:after="180"/>
        <w:jc w:val="both"/>
      </w:pPr>
    </w:p>
    <w:p w14:paraId="3693E661" w14:textId="77777777" w:rsidR="003734EC" w:rsidRDefault="003734EC">
      <w:pPr>
        <w:spacing w:after="180"/>
        <w:jc w:val="both"/>
      </w:pPr>
    </w:p>
    <w:p w14:paraId="3693E662" w14:textId="77777777" w:rsidR="003734EC" w:rsidRDefault="000E364E">
      <w:pPr>
        <w:spacing w:before="240" w:after="120"/>
        <w:jc w:val="both"/>
      </w:pPr>
      <w:r>
        <w:rPr>
          <w:rFonts w:ascii="sans-serif" w:eastAsia="sans-serif" w:hAnsi="sans-serif" w:cs="sans-serif"/>
          <w:b/>
          <w:bCs/>
          <w:color w:val="76B900"/>
          <w:sz w:val="22"/>
          <w:szCs w:val="22"/>
        </w:rPr>
        <w:t>Note 4 - Stock-Based Compensation</w:t>
      </w:r>
    </w:p>
    <w:p w14:paraId="3693E663" w14:textId="77777777" w:rsidR="003734EC" w:rsidRDefault="000E364E">
      <w:pPr>
        <w:spacing w:after="180"/>
        <w:jc w:val="both"/>
      </w:pPr>
      <w:r>
        <w:rPr>
          <w:rFonts w:ascii="sans-serif" w:eastAsia="sans-serif" w:hAnsi="sans-serif" w:cs="sans-serif"/>
          <w:color w:val="000000"/>
          <w:sz w:val="20"/>
          <w:szCs w:val="20"/>
        </w:rPr>
        <w:t xml:space="preserve">Our stock-based compensation expense is associated with restricted stock units, or RSUs, performance stock units that are based on our corporate </w:t>
      </w:r>
      <w:r>
        <w:rPr>
          <w:rFonts w:ascii="sans-serif" w:eastAsia="sans-serif" w:hAnsi="sans-serif" w:cs="sans-serif"/>
          <w:color w:val="000000"/>
          <w:sz w:val="20"/>
          <w:szCs w:val="20"/>
        </w:rPr>
        <w:t>financial performance targets, or PSUs, performance stock units that are based on market conditions, or market-based PSUs, and our employee stock purchase plan, or ESPP.</w:t>
      </w:r>
    </w:p>
    <w:p w14:paraId="3693E664" w14:textId="77777777" w:rsidR="003734EC" w:rsidRDefault="000E364E">
      <w:pPr>
        <w:spacing w:after="180"/>
        <w:jc w:val="both"/>
      </w:pPr>
      <w:r>
        <w:rPr>
          <w:rFonts w:ascii="sans-serif" w:eastAsia="sans-serif" w:hAnsi="sans-serif" w:cs="sans-serif"/>
          <w:color w:val="000000"/>
          <w:sz w:val="20"/>
          <w:szCs w:val="20"/>
        </w:rPr>
        <w:t>Our Condensed Consolidated Statements of Income include stock-based compensation expen</w:t>
      </w:r>
      <w:r>
        <w:rPr>
          <w:rFonts w:ascii="sans-serif" w:eastAsia="sans-serif" w:hAnsi="sans-serif" w:cs="sans-serif"/>
          <w:color w:val="000000"/>
          <w:sz w:val="20"/>
          <w:szCs w:val="20"/>
        </w:rPr>
        <w:t>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50"/>
        <w:gridCol w:w="5094"/>
        <w:gridCol w:w="51"/>
        <w:gridCol w:w="137"/>
        <w:gridCol w:w="1130"/>
        <w:gridCol w:w="81"/>
        <w:gridCol w:w="36"/>
        <w:gridCol w:w="36"/>
        <w:gridCol w:w="36"/>
        <w:gridCol w:w="137"/>
        <w:gridCol w:w="1107"/>
        <w:gridCol w:w="81"/>
        <w:gridCol w:w="36"/>
        <w:gridCol w:w="36"/>
        <w:gridCol w:w="36"/>
        <w:gridCol w:w="36"/>
        <w:gridCol w:w="36"/>
        <w:gridCol w:w="36"/>
        <w:gridCol w:w="36"/>
        <w:gridCol w:w="36"/>
        <w:gridCol w:w="36"/>
        <w:gridCol w:w="36"/>
      </w:tblGrid>
      <w:tr w:rsidR="003734EC" w14:paraId="3693E675" w14:textId="77777777">
        <w:trPr>
          <w:gridAfter w:val="6"/>
        </w:trPr>
        <w:tc>
          <w:tcPr>
            <w:tcW w:w="50" w:type="pct"/>
            <w:shd w:val="clear" w:color="auto" w:fill="auto"/>
            <w:vAlign w:val="center"/>
          </w:tcPr>
          <w:p w14:paraId="3693E665" w14:textId="77777777" w:rsidR="003734EC" w:rsidRDefault="003734EC">
            <w:pPr>
              <w:rPr>
                <w:rFonts w:ascii="宋体"/>
              </w:rPr>
            </w:pPr>
          </w:p>
        </w:tc>
        <w:tc>
          <w:tcPr>
            <w:tcW w:w="3211" w:type="pct"/>
            <w:shd w:val="clear" w:color="auto" w:fill="auto"/>
            <w:vAlign w:val="center"/>
          </w:tcPr>
          <w:p w14:paraId="3693E666" w14:textId="77777777" w:rsidR="003734EC" w:rsidRDefault="003734EC">
            <w:pPr>
              <w:rPr>
                <w:rFonts w:ascii="宋体"/>
              </w:rPr>
            </w:pPr>
          </w:p>
        </w:tc>
        <w:tc>
          <w:tcPr>
            <w:tcW w:w="50" w:type="pct"/>
            <w:shd w:val="clear" w:color="auto" w:fill="auto"/>
            <w:vAlign w:val="center"/>
          </w:tcPr>
          <w:p w14:paraId="3693E667" w14:textId="77777777" w:rsidR="003734EC" w:rsidRDefault="003734EC">
            <w:pPr>
              <w:rPr>
                <w:rFonts w:ascii="宋体"/>
              </w:rPr>
            </w:pPr>
          </w:p>
        </w:tc>
        <w:tc>
          <w:tcPr>
            <w:tcW w:w="50" w:type="pct"/>
            <w:shd w:val="clear" w:color="auto" w:fill="auto"/>
            <w:vAlign w:val="center"/>
          </w:tcPr>
          <w:p w14:paraId="3693E668" w14:textId="77777777" w:rsidR="003734EC" w:rsidRDefault="003734EC">
            <w:pPr>
              <w:rPr>
                <w:rFonts w:ascii="宋体"/>
              </w:rPr>
            </w:pPr>
          </w:p>
        </w:tc>
        <w:tc>
          <w:tcPr>
            <w:tcW w:w="726" w:type="pct"/>
            <w:shd w:val="clear" w:color="auto" w:fill="auto"/>
            <w:vAlign w:val="center"/>
          </w:tcPr>
          <w:p w14:paraId="3693E669" w14:textId="77777777" w:rsidR="003734EC" w:rsidRDefault="003734EC">
            <w:pPr>
              <w:rPr>
                <w:rFonts w:ascii="宋体"/>
              </w:rPr>
            </w:pPr>
          </w:p>
        </w:tc>
        <w:tc>
          <w:tcPr>
            <w:tcW w:w="50" w:type="pct"/>
            <w:shd w:val="clear" w:color="auto" w:fill="auto"/>
            <w:vAlign w:val="center"/>
          </w:tcPr>
          <w:p w14:paraId="3693E66A" w14:textId="77777777" w:rsidR="003734EC" w:rsidRDefault="003734EC">
            <w:pPr>
              <w:rPr>
                <w:rFonts w:ascii="宋体"/>
              </w:rPr>
            </w:pPr>
          </w:p>
        </w:tc>
        <w:tc>
          <w:tcPr>
            <w:tcW w:w="5" w:type="pct"/>
            <w:shd w:val="clear" w:color="auto" w:fill="auto"/>
            <w:vAlign w:val="center"/>
          </w:tcPr>
          <w:p w14:paraId="3693E66B" w14:textId="77777777" w:rsidR="003734EC" w:rsidRDefault="003734EC">
            <w:pPr>
              <w:rPr>
                <w:rFonts w:ascii="宋体"/>
              </w:rPr>
            </w:pPr>
          </w:p>
        </w:tc>
        <w:tc>
          <w:tcPr>
            <w:tcW w:w="26" w:type="pct"/>
            <w:shd w:val="clear" w:color="auto" w:fill="auto"/>
            <w:vAlign w:val="center"/>
          </w:tcPr>
          <w:p w14:paraId="3693E66C" w14:textId="77777777" w:rsidR="003734EC" w:rsidRDefault="003734EC">
            <w:pPr>
              <w:rPr>
                <w:rFonts w:ascii="宋体"/>
              </w:rPr>
            </w:pPr>
          </w:p>
        </w:tc>
        <w:tc>
          <w:tcPr>
            <w:tcW w:w="5" w:type="pct"/>
            <w:shd w:val="clear" w:color="auto" w:fill="auto"/>
            <w:vAlign w:val="center"/>
          </w:tcPr>
          <w:p w14:paraId="3693E66D" w14:textId="77777777" w:rsidR="003734EC" w:rsidRDefault="003734EC">
            <w:pPr>
              <w:rPr>
                <w:rFonts w:ascii="宋体"/>
              </w:rPr>
            </w:pPr>
          </w:p>
        </w:tc>
        <w:tc>
          <w:tcPr>
            <w:tcW w:w="50" w:type="pct"/>
            <w:shd w:val="clear" w:color="auto" w:fill="auto"/>
            <w:vAlign w:val="center"/>
          </w:tcPr>
          <w:p w14:paraId="3693E66E" w14:textId="77777777" w:rsidR="003734EC" w:rsidRDefault="003734EC">
            <w:pPr>
              <w:rPr>
                <w:rFonts w:ascii="宋体"/>
              </w:rPr>
            </w:pPr>
          </w:p>
        </w:tc>
        <w:tc>
          <w:tcPr>
            <w:tcW w:w="726" w:type="pct"/>
            <w:shd w:val="clear" w:color="auto" w:fill="auto"/>
            <w:vAlign w:val="center"/>
          </w:tcPr>
          <w:p w14:paraId="3693E66F" w14:textId="77777777" w:rsidR="003734EC" w:rsidRDefault="003734EC">
            <w:pPr>
              <w:rPr>
                <w:rFonts w:ascii="宋体"/>
              </w:rPr>
            </w:pPr>
          </w:p>
        </w:tc>
        <w:tc>
          <w:tcPr>
            <w:tcW w:w="50" w:type="pct"/>
            <w:shd w:val="clear" w:color="auto" w:fill="auto"/>
            <w:vAlign w:val="center"/>
          </w:tcPr>
          <w:p w14:paraId="3693E670" w14:textId="77777777" w:rsidR="003734EC" w:rsidRDefault="003734EC">
            <w:pPr>
              <w:rPr>
                <w:rFonts w:ascii="宋体"/>
              </w:rPr>
            </w:pPr>
          </w:p>
        </w:tc>
        <w:tc>
          <w:tcPr>
            <w:tcW w:w="0" w:type="auto"/>
            <w:shd w:val="clear" w:color="auto" w:fill="auto"/>
            <w:vAlign w:val="center"/>
          </w:tcPr>
          <w:p w14:paraId="3693E671" w14:textId="77777777" w:rsidR="003734EC" w:rsidRDefault="003734EC">
            <w:pPr>
              <w:rPr>
                <w:rFonts w:ascii="宋体"/>
                <w:vanish/>
              </w:rPr>
            </w:pPr>
          </w:p>
        </w:tc>
        <w:tc>
          <w:tcPr>
            <w:tcW w:w="0" w:type="auto"/>
            <w:shd w:val="clear" w:color="auto" w:fill="auto"/>
            <w:vAlign w:val="center"/>
          </w:tcPr>
          <w:p w14:paraId="3693E672" w14:textId="77777777" w:rsidR="003734EC" w:rsidRDefault="003734EC">
            <w:pPr>
              <w:rPr>
                <w:rFonts w:ascii="宋体"/>
                <w:vanish/>
              </w:rPr>
            </w:pPr>
          </w:p>
        </w:tc>
        <w:tc>
          <w:tcPr>
            <w:tcW w:w="0" w:type="auto"/>
            <w:shd w:val="clear" w:color="auto" w:fill="auto"/>
            <w:vAlign w:val="center"/>
          </w:tcPr>
          <w:p w14:paraId="3693E673" w14:textId="77777777" w:rsidR="003734EC" w:rsidRDefault="003734EC">
            <w:pPr>
              <w:rPr>
                <w:rFonts w:ascii="宋体"/>
                <w:vanish/>
              </w:rPr>
            </w:pPr>
          </w:p>
        </w:tc>
        <w:tc>
          <w:tcPr>
            <w:tcW w:w="0" w:type="auto"/>
            <w:shd w:val="clear" w:color="auto" w:fill="auto"/>
            <w:vAlign w:val="center"/>
          </w:tcPr>
          <w:p w14:paraId="3693E674" w14:textId="77777777" w:rsidR="003734EC" w:rsidRDefault="003734EC">
            <w:pPr>
              <w:rPr>
                <w:rFonts w:ascii="宋体"/>
                <w:vanish/>
              </w:rPr>
            </w:pPr>
          </w:p>
        </w:tc>
      </w:tr>
      <w:tr w:rsidR="003734EC" w14:paraId="3693E67E" w14:textId="77777777">
        <w:tc>
          <w:tcPr>
            <w:tcW w:w="0" w:type="auto"/>
            <w:gridSpan w:val="3"/>
            <w:shd w:val="clear" w:color="auto" w:fill="auto"/>
            <w:tcMar>
              <w:top w:w="40" w:type="dxa"/>
              <w:left w:w="20" w:type="dxa"/>
              <w:bottom w:w="40" w:type="dxa"/>
              <w:right w:w="20" w:type="dxa"/>
            </w:tcMar>
            <w:vAlign w:val="bottom"/>
          </w:tcPr>
          <w:p w14:paraId="3693E676"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E677"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E678" w14:textId="77777777" w:rsidR="003734EC" w:rsidRDefault="003734EC">
            <w:pPr>
              <w:rPr>
                <w:rFonts w:ascii="宋体"/>
                <w:vanish/>
              </w:rPr>
            </w:pPr>
          </w:p>
        </w:tc>
        <w:tc>
          <w:tcPr>
            <w:tcW w:w="0" w:type="auto"/>
            <w:shd w:val="clear" w:color="auto" w:fill="auto"/>
            <w:vAlign w:val="center"/>
          </w:tcPr>
          <w:p w14:paraId="3693E679" w14:textId="77777777" w:rsidR="003734EC" w:rsidRDefault="003734EC">
            <w:pPr>
              <w:rPr>
                <w:rFonts w:ascii="宋体"/>
                <w:vanish/>
              </w:rPr>
            </w:pPr>
          </w:p>
        </w:tc>
        <w:tc>
          <w:tcPr>
            <w:tcW w:w="0" w:type="auto"/>
            <w:shd w:val="clear" w:color="auto" w:fill="auto"/>
            <w:vAlign w:val="center"/>
          </w:tcPr>
          <w:p w14:paraId="3693E67A" w14:textId="77777777" w:rsidR="003734EC" w:rsidRDefault="003734EC">
            <w:pPr>
              <w:rPr>
                <w:rFonts w:ascii="宋体"/>
                <w:vanish/>
              </w:rPr>
            </w:pPr>
          </w:p>
        </w:tc>
        <w:tc>
          <w:tcPr>
            <w:tcW w:w="0" w:type="auto"/>
            <w:shd w:val="clear" w:color="auto" w:fill="auto"/>
            <w:vAlign w:val="center"/>
          </w:tcPr>
          <w:p w14:paraId="3693E67B" w14:textId="77777777" w:rsidR="003734EC" w:rsidRDefault="003734EC">
            <w:pPr>
              <w:rPr>
                <w:rFonts w:ascii="宋体"/>
                <w:vanish/>
              </w:rPr>
            </w:pPr>
          </w:p>
        </w:tc>
        <w:tc>
          <w:tcPr>
            <w:tcW w:w="0" w:type="auto"/>
            <w:gridSpan w:val="3"/>
            <w:shd w:val="clear" w:color="auto" w:fill="auto"/>
            <w:vAlign w:val="center"/>
          </w:tcPr>
          <w:p w14:paraId="3693E67C" w14:textId="77777777" w:rsidR="003734EC" w:rsidRDefault="003734EC">
            <w:pPr>
              <w:rPr>
                <w:rFonts w:ascii="宋体"/>
                <w:vanish/>
              </w:rPr>
            </w:pPr>
          </w:p>
        </w:tc>
        <w:tc>
          <w:tcPr>
            <w:tcW w:w="0" w:type="auto"/>
            <w:gridSpan w:val="3"/>
            <w:shd w:val="clear" w:color="auto" w:fill="auto"/>
            <w:vAlign w:val="center"/>
          </w:tcPr>
          <w:p w14:paraId="3693E67D" w14:textId="77777777" w:rsidR="003734EC" w:rsidRDefault="003734EC">
            <w:pPr>
              <w:rPr>
                <w:rFonts w:ascii="宋体"/>
                <w:vanish/>
              </w:rPr>
            </w:pPr>
          </w:p>
        </w:tc>
      </w:tr>
      <w:tr w:rsidR="003734EC" w14:paraId="3693E68D" w14:textId="77777777">
        <w:tc>
          <w:tcPr>
            <w:tcW w:w="0" w:type="auto"/>
            <w:gridSpan w:val="3"/>
            <w:shd w:val="clear" w:color="auto" w:fill="auto"/>
            <w:tcMar>
              <w:top w:w="40" w:type="dxa"/>
              <w:left w:w="20" w:type="dxa"/>
              <w:bottom w:w="40" w:type="dxa"/>
              <w:right w:w="20" w:type="dxa"/>
            </w:tcMar>
            <w:vAlign w:val="bottom"/>
          </w:tcPr>
          <w:p w14:paraId="3693E67F"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680" w14:textId="77777777" w:rsidR="003734EC" w:rsidRDefault="000E364E">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3693E681"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682" w14:textId="77777777" w:rsidR="003734EC" w:rsidRDefault="000E364E">
            <w:pPr>
              <w:jc w:val="center"/>
              <w:textAlignment w:val="bottom"/>
            </w:pPr>
            <w:r>
              <w:rPr>
                <w:rFonts w:ascii="sans-serif" w:eastAsia="sans-serif" w:hAnsi="sans-serif" w:cs="sans-serif"/>
                <w:b/>
                <w:bCs/>
                <w:color w:val="000000"/>
                <w:sz w:val="20"/>
                <w:szCs w:val="20"/>
              </w:rPr>
              <w:t>April 28,</w:t>
            </w:r>
            <w:r>
              <w:rPr>
                <w:rFonts w:ascii="sans-serif" w:eastAsia="sans-serif" w:hAnsi="sans-serif" w:cs="sans-serif"/>
                <w:b/>
                <w:bCs/>
                <w:color w:val="000000"/>
                <w:sz w:val="20"/>
                <w:szCs w:val="20"/>
              </w:rPr>
              <w:br/>
              <w:t>2019</w:t>
            </w:r>
          </w:p>
        </w:tc>
        <w:tc>
          <w:tcPr>
            <w:tcW w:w="0" w:type="auto"/>
            <w:shd w:val="clear" w:color="auto" w:fill="auto"/>
            <w:vAlign w:val="center"/>
          </w:tcPr>
          <w:p w14:paraId="3693E683" w14:textId="77777777" w:rsidR="003734EC" w:rsidRDefault="003734EC">
            <w:pPr>
              <w:rPr>
                <w:rFonts w:ascii="宋体"/>
                <w:vanish/>
              </w:rPr>
            </w:pPr>
          </w:p>
        </w:tc>
        <w:tc>
          <w:tcPr>
            <w:tcW w:w="0" w:type="auto"/>
            <w:shd w:val="clear" w:color="auto" w:fill="auto"/>
            <w:vAlign w:val="center"/>
          </w:tcPr>
          <w:p w14:paraId="3693E684" w14:textId="77777777" w:rsidR="003734EC" w:rsidRDefault="003734EC">
            <w:pPr>
              <w:rPr>
                <w:rFonts w:ascii="宋体"/>
                <w:vanish/>
              </w:rPr>
            </w:pPr>
          </w:p>
        </w:tc>
        <w:tc>
          <w:tcPr>
            <w:tcW w:w="0" w:type="auto"/>
            <w:shd w:val="clear" w:color="auto" w:fill="auto"/>
            <w:vAlign w:val="center"/>
          </w:tcPr>
          <w:p w14:paraId="3693E685" w14:textId="77777777" w:rsidR="003734EC" w:rsidRDefault="003734EC">
            <w:pPr>
              <w:rPr>
                <w:rFonts w:ascii="宋体"/>
                <w:vanish/>
              </w:rPr>
            </w:pPr>
          </w:p>
        </w:tc>
        <w:tc>
          <w:tcPr>
            <w:tcW w:w="0" w:type="auto"/>
            <w:shd w:val="clear" w:color="auto" w:fill="auto"/>
            <w:vAlign w:val="center"/>
          </w:tcPr>
          <w:p w14:paraId="3693E686" w14:textId="77777777" w:rsidR="003734EC" w:rsidRDefault="003734EC">
            <w:pPr>
              <w:rPr>
                <w:rFonts w:ascii="宋体"/>
                <w:vanish/>
              </w:rPr>
            </w:pPr>
          </w:p>
        </w:tc>
        <w:tc>
          <w:tcPr>
            <w:tcW w:w="0" w:type="auto"/>
            <w:shd w:val="clear" w:color="auto" w:fill="auto"/>
            <w:vAlign w:val="center"/>
          </w:tcPr>
          <w:p w14:paraId="3693E687" w14:textId="77777777" w:rsidR="003734EC" w:rsidRDefault="003734EC">
            <w:pPr>
              <w:rPr>
                <w:rFonts w:ascii="宋体"/>
              </w:rPr>
            </w:pPr>
          </w:p>
        </w:tc>
        <w:tc>
          <w:tcPr>
            <w:tcW w:w="0" w:type="auto"/>
            <w:shd w:val="clear" w:color="auto" w:fill="auto"/>
            <w:vAlign w:val="center"/>
          </w:tcPr>
          <w:p w14:paraId="3693E688" w14:textId="77777777" w:rsidR="003734EC" w:rsidRDefault="003734EC">
            <w:pPr>
              <w:rPr>
                <w:rFonts w:ascii="宋体"/>
              </w:rPr>
            </w:pPr>
          </w:p>
        </w:tc>
        <w:tc>
          <w:tcPr>
            <w:tcW w:w="0" w:type="auto"/>
            <w:shd w:val="clear" w:color="auto" w:fill="auto"/>
            <w:vAlign w:val="center"/>
          </w:tcPr>
          <w:p w14:paraId="3693E689" w14:textId="77777777" w:rsidR="003734EC" w:rsidRDefault="003734EC">
            <w:pPr>
              <w:rPr>
                <w:rFonts w:ascii="宋体"/>
              </w:rPr>
            </w:pPr>
          </w:p>
        </w:tc>
        <w:tc>
          <w:tcPr>
            <w:tcW w:w="0" w:type="auto"/>
            <w:shd w:val="clear" w:color="auto" w:fill="auto"/>
            <w:vAlign w:val="center"/>
          </w:tcPr>
          <w:p w14:paraId="3693E68A" w14:textId="77777777" w:rsidR="003734EC" w:rsidRDefault="003734EC">
            <w:pPr>
              <w:rPr>
                <w:rFonts w:ascii="宋体"/>
              </w:rPr>
            </w:pPr>
          </w:p>
        </w:tc>
        <w:tc>
          <w:tcPr>
            <w:tcW w:w="0" w:type="auto"/>
            <w:shd w:val="clear" w:color="auto" w:fill="auto"/>
            <w:vAlign w:val="center"/>
          </w:tcPr>
          <w:p w14:paraId="3693E68B" w14:textId="77777777" w:rsidR="003734EC" w:rsidRDefault="003734EC">
            <w:pPr>
              <w:rPr>
                <w:rFonts w:ascii="宋体"/>
              </w:rPr>
            </w:pPr>
          </w:p>
        </w:tc>
        <w:tc>
          <w:tcPr>
            <w:tcW w:w="0" w:type="auto"/>
            <w:shd w:val="clear" w:color="auto" w:fill="auto"/>
            <w:vAlign w:val="center"/>
          </w:tcPr>
          <w:p w14:paraId="3693E68C" w14:textId="77777777" w:rsidR="003734EC" w:rsidRDefault="003734EC">
            <w:pPr>
              <w:rPr>
                <w:rFonts w:ascii="宋体"/>
              </w:rPr>
            </w:pPr>
          </w:p>
        </w:tc>
      </w:tr>
      <w:tr w:rsidR="003734EC" w14:paraId="3693E696" w14:textId="77777777">
        <w:tc>
          <w:tcPr>
            <w:tcW w:w="0" w:type="auto"/>
            <w:gridSpan w:val="3"/>
            <w:shd w:val="clear" w:color="auto" w:fill="auto"/>
            <w:tcMar>
              <w:left w:w="20" w:type="dxa"/>
              <w:right w:w="20" w:type="dxa"/>
            </w:tcMar>
            <w:vAlign w:val="bottom"/>
          </w:tcPr>
          <w:p w14:paraId="3693E68E" w14:textId="77777777" w:rsidR="003734EC" w:rsidRDefault="003734EC">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693E68F"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center"/>
          </w:tcPr>
          <w:p w14:paraId="3693E690" w14:textId="77777777" w:rsidR="003734EC" w:rsidRDefault="003734EC">
            <w:pPr>
              <w:rPr>
                <w:rFonts w:ascii="宋体"/>
                <w:vanish/>
              </w:rPr>
            </w:pPr>
          </w:p>
        </w:tc>
        <w:tc>
          <w:tcPr>
            <w:tcW w:w="0" w:type="auto"/>
            <w:shd w:val="clear" w:color="auto" w:fill="auto"/>
            <w:vAlign w:val="center"/>
          </w:tcPr>
          <w:p w14:paraId="3693E691" w14:textId="77777777" w:rsidR="003734EC" w:rsidRDefault="003734EC">
            <w:pPr>
              <w:rPr>
                <w:rFonts w:ascii="宋体"/>
                <w:vanish/>
              </w:rPr>
            </w:pPr>
          </w:p>
        </w:tc>
        <w:tc>
          <w:tcPr>
            <w:tcW w:w="0" w:type="auto"/>
            <w:shd w:val="clear" w:color="auto" w:fill="auto"/>
            <w:vAlign w:val="center"/>
          </w:tcPr>
          <w:p w14:paraId="3693E692" w14:textId="77777777" w:rsidR="003734EC" w:rsidRDefault="003734EC">
            <w:pPr>
              <w:rPr>
                <w:rFonts w:ascii="宋体"/>
                <w:vanish/>
              </w:rPr>
            </w:pPr>
          </w:p>
        </w:tc>
        <w:tc>
          <w:tcPr>
            <w:tcW w:w="0" w:type="auto"/>
            <w:shd w:val="clear" w:color="auto" w:fill="auto"/>
            <w:vAlign w:val="center"/>
          </w:tcPr>
          <w:p w14:paraId="3693E693" w14:textId="77777777" w:rsidR="003734EC" w:rsidRDefault="003734EC">
            <w:pPr>
              <w:rPr>
                <w:rFonts w:ascii="宋体"/>
                <w:vanish/>
              </w:rPr>
            </w:pPr>
          </w:p>
        </w:tc>
        <w:tc>
          <w:tcPr>
            <w:tcW w:w="0" w:type="auto"/>
            <w:gridSpan w:val="3"/>
            <w:shd w:val="clear" w:color="auto" w:fill="auto"/>
            <w:vAlign w:val="center"/>
          </w:tcPr>
          <w:p w14:paraId="3693E694" w14:textId="77777777" w:rsidR="003734EC" w:rsidRDefault="003734EC">
            <w:pPr>
              <w:rPr>
                <w:rFonts w:ascii="宋体"/>
                <w:vanish/>
              </w:rPr>
            </w:pPr>
          </w:p>
        </w:tc>
        <w:tc>
          <w:tcPr>
            <w:tcW w:w="0" w:type="auto"/>
            <w:gridSpan w:val="3"/>
            <w:shd w:val="clear" w:color="auto" w:fill="auto"/>
            <w:vAlign w:val="center"/>
          </w:tcPr>
          <w:p w14:paraId="3693E695" w14:textId="77777777" w:rsidR="003734EC" w:rsidRDefault="003734EC">
            <w:pPr>
              <w:rPr>
                <w:rFonts w:ascii="宋体"/>
                <w:vanish/>
              </w:rPr>
            </w:pPr>
          </w:p>
        </w:tc>
      </w:tr>
      <w:tr w:rsidR="003734EC" w14:paraId="3693E6A9" w14:textId="77777777">
        <w:tc>
          <w:tcPr>
            <w:tcW w:w="0" w:type="auto"/>
            <w:gridSpan w:val="3"/>
            <w:shd w:val="clear" w:color="auto" w:fill="E2EFD9"/>
            <w:tcMar>
              <w:top w:w="40" w:type="dxa"/>
              <w:left w:w="20" w:type="dxa"/>
              <w:bottom w:w="40" w:type="dxa"/>
              <w:right w:w="20" w:type="dxa"/>
            </w:tcMar>
            <w:vAlign w:val="bottom"/>
          </w:tcPr>
          <w:p w14:paraId="3693E697" w14:textId="77777777" w:rsidR="003734EC" w:rsidRDefault="000E364E">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tcMar>
            <w:vAlign w:val="bottom"/>
          </w:tcPr>
          <w:p w14:paraId="3693E69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699" w14:textId="77777777" w:rsidR="003734EC" w:rsidRDefault="000E364E">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bottom w:w="40" w:type="dxa"/>
              <w:right w:w="20" w:type="dxa"/>
            </w:tcMar>
            <w:vAlign w:val="bottom"/>
          </w:tcPr>
          <w:p w14:paraId="3693E69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69B"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69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69D" w14:textId="77777777" w:rsidR="003734EC" w:rsidRDefault="000E364E">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bottom w:w="40" w:type="dxa"/>
              <w:right w:w="20" w:type="dxa"/>
            </w:tcMar>
            <w:vAlign w:val="bottom"/>
          </w:tcPr>
          <w:p w14:paraId="3693E69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9F" w14:textId="77777777" w:rsidR="003734EC" w:rsidRDefault="003734EC">
            <w:pPr>
              <w:rPr>
                <w:rFonts w:ascii="宋体"/>
                <w:vanish/>
              </w:rPr>
            </w:pPr>
          </w:p>
        </w:tc>
        <w:tc>
          <w:tcPr>
            <w:tcW w:w="0" w:type="auto"/>
            <w:shd w:val="clear" w:color="auto" w:fill="auto"/>
            <w:vAlign w:val="center"/>
          </w:tcPr>
          <w:p w14:paraId="3693E6A0" w14:textId="77777777" w:rsidR="003734EC" w:rsidRDefault="003734EC">
            <w:pPr>
              <w:rPr>
                <w:rFonts w:ascii="宋体"/>
                <w:vanish/>
              </w:rPr>
            </w:pPr>
          </w:p>
        </w:tc>
        <w:tc>
          <w:tcPr>
            <w:tcW w:w="0" w:type="auto"/>
            <w:shd w:val="clear" w:color="auto" w:fill="auto"/>
            <w:vAlign w:val="center"/>
          </w:tcPr>
          <w:p w14:paraId="3693E6A1" w14:textId="77777777" w:rsidR="003734EC" w:rsidRDefault="003734EC">
            <w:pPr>
              <w:rPr>
                <w:rFonts w:ascii="宋体"/>
                <w:vanish/>
              </w:rPr>
            </w:pPr>
          </w:p>
        </w:tc>
        <w:tc>
          <w:tcPr>
            <w:tcW w:w="0" w:type="auto"/>
            <w:shd w:val="clear" w:color="auto" w:fill="auto"/>
            <w:vAlign w:val="center"/>
          </w:tcPr>
          <w:p w14:paraId="3693E6A2" w14:textId="77777777" w:rsidR="003734EC" w:rsidRDefault="003734EC">
            <w:pPr>
              <w:rPr>
                <w:rFonts w:ascii="宋体"/>
                <w:vanish/>
              </w:rPr>
            </w:pPr>
          </w:p>
        </w:tc>
        <w:tc>
          <w:tcPr>
            <w:tcW w:w="0" w:type="auto"/>
            <w:shd w:val="clear" w:color="auto" w:fill="auto"/>
            <w:vAlign w:val="center"/>
          </w:tcPr>
          <w:p w14:paraId="3693E6A3" w14:textId="77777777" w:rsidR="003734EC" w:rsidRDefault="003734EC">
            <w:pPr>
              <w:rPr>
                <w:rFonts w:ascii="宋体"/>
              </w:rPr>
            </w:pPr>
          </w:p>
        </w:tc>
        <w:tc>
          <w:tcPr>
            <w:tcW w:w="0" w:type="auto"/>
            <w:shd w:val="clear" w:color="auto" w:fill="auto"/>
            <w:vAlign w:val="center"/>
          </w:tcPr>
          <w:p w14:paraId="3693E6A4" w14:textId="77777777" w:rsidR="003734EC" w:rsidRDefault="003734EC">
            <w:pPr>
              <w:rPr>
                <w:rFonts w:ascii="宋体"/>
              </w:rPr>
            </w:pPr>
          </w:p>
        </w:tc>
        <w:tc>
          <w:tcPr>
            <w:tcW w:w="0" w:type="auto"/>
            <w:shd w:val="clear" w:color="auto" w:fill="auto"/>
            <w:vAlign w:val="center"/>
          </w:tcPr>
          <w:p w14:paraId="3693E6A5" w14:textId="77777777" w:rsidR="003734EC" w:rsidRDefault="003734EC">
            <w:pPr>
              <w:rPr>
                <w:rFonts w:ascii="宋体"/>
              </w:rPr>
            </w:pPr>
          </w:p>
        </w:tc>
        <w:tc>
          <w:tcPr>
            <w:tcW w:w="0" w:type="auto"/>
            <w:shd w:val="clear" w:color="auto" w:fill="auto"/>
            <w:vAlign w:val="center"/>
          </w:tcPr>
          <w:p w14:paraId="3693E6A6" w14:textId="77777777" w:rsidR="003734EC" w:rsidRDefault="003734EC">
            <w:pPr>
              <w:rPr>
                <w:rFonts w:ascii="宋体"/>
              </w:rPr>
            </w:pPr>
          </w:p>
        </w:tc>
        <w:tc>
          <w:tcPr>
            <w:tcW w:w="0" w:type="auto"/>
            <w:shd w:val="clear" w:color="auto" w:fill="auto"/>
            <w:vAlign w:val="center"/>
          </w:tcPr>
          <w:p w14:paraId="3693E6A7" w14:textId="77777777" w:rsidR="003734EC" w:rsidRDefault="003734EC">
            <w:pPr>
              <w:rPr>
                <w:rFonts w:ascii="宋体"/>
              </w:rPr>
            </w:pPr>
          </w:p>
        </w:tc>
        <w:tc>
          <w:tcPr>
            <w:tcW w:w="0" w:type="auto"/>
            <w:shd w:val="clear" w:color="auto" w:fill="auto"/>
            <w:vAlign w:val="center"/>
          </w:tcPr>
          <w:p w14:paraId="3693E6A8" w14:textId="77777777" w:rsidR="003734EC" w:rsidRDefault="003734EC">
            <w:pPr>
              <w:rPr>
                <w:rFonts w:ascii="宋体"/>
              </w:rPr>
            </w:pPr>
          </w:p>
        </w:tc>
      </w:tr>
      <w:tr w:rsidR="003734EC" w14:paraId="3693E6BA" w14:textId="77777777">
        <w:tc>
          <w:tcPr>
            <w:tcW w:w="0" w:type="auto"/>
            <w:gridSpan w:val="3"/>
            <w:shd w:val="clear" w:color="auto" w:fill="FFFFFF"/>
            <w:tcMar>
              <w:top w:w="40" w:type="dxa"/>
              <w:left w:w="20" w:type="dxa"/>
              <w:bottom w:w="40" w:type="dxa"/>
              <w:right w:w="20" w:type="dxa"/>
            </w:tcMar>
            <w:vAlign w:val="bottom"/>
          </w:tcPr>
          <w:p w14:paraId="3693E6AA" w14:textId="77777777" w:rsidR="003734EC" w:rsidRDefault="000E364E">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693E6AB" w14:textId="77777777" w:rsidR="003734EC" w:rsidRDefault="000E364E">
            <w:pPr>
              <w:jc w:val="right"/>
              <w:textAlignment w:val="bottom"/>
            </w:pPr>
            <w:r>
              <w:rPr>
                <w:rFonts w:ascii="sans-serif" w:eastAsia="sans-serif" w:hAnsi="sans-serif" w:cs="sans-serif"/>
                <w:color w:val="000000"/>
                <w:sz w:val="20"/>
                <w:szCs w:val="20"/>
              </w:rPr>
              <w:t>134 </w:t>
            </w:r>
          </w:p>
        </w:tc>
        <w:tc>
          <w:tcPr>
            <w:tcW w:w="0" w:type="auto"/>
            <w:shd w:val="clear" w:color="auto" w:fill="FFFFFF"/>
            <w:tcMar>
              <w:top w:w="40" w:type="dxa"/>
              <w:bottom w:w="40" w:type="dxa"/>
              <w:right w:w="20" w:type="dxa"/>
            </w:tcMar>
            <w:vAlign w:val="bottom"/>
          </w:tcPr>
          <w:p w14:paraId="3693E6A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6A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6AE" w14:textId="77777777" w:rsidR="003734EC" w:rsidRDefault="000E364E">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bottom w:w="40" w:type="dxa"/>
              <w:right w:w="20" w:type="dxa"/>
            </w:tcMar>
            <w:vAlign w:val="bottom"/>
          </w:tcPr>
          <w:p w14:paraId="3693E6A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B0" w14:textId="77777777" w:rsidR="003734EC" w:rsidRDefault="003734EC">
            <w:pPr>
              <w:rPr>
                <w:rFonts w:ascii="宋体"/>
                <w:vanish/>
              </w:rPr>
            </w:pPr>
          </w:p>
        </w:tc>
        <w:tc>
          <w:tcPr>
            <w:tcW w:w="0" w:type="auto"/>
            <w:shd w:val="clear" w:color="auto" w:fill="auto"/>
            <w:vAlign w:val="center"/>
          </w:tcPr>
          <w:p w14:paraId="3693E6B1" w14:textId="77777777" w:rsidR="003734EC" w:rsidRDefault="003734EC">
            <w:pPr>
              <w:rPr>
                <w:rFonts w:ascii="宋体"/>
                <w:vanish/>
              </w:rPr>
            </w:pPr>
          </w:p>
        </w:tc>
        <w:tc>
          <w:tcPr>
            <w:tcW w:w="0" w:type="auto"/>
            <w:shd w:val="clear" w:color="auto" w:fill="auto"/>
            <w:vAlign w:val="center"/>
          </w:tcPr>
          <w:p w14:paraId="3693E6B2" w14:textId="77777777" w:rsidR="003734EC" w:rsidRDefault="003734EC">
            <w:pPr>
              <w:rPr>
                <w:rFonts w:ascii="宋体"/>
                <w:vanish/>
              </w:rPr>
            </w:pPr>
          </w:p>
        </w:tc>
        <w:tc>
          <w:tcPr>
            <w:tcW w:w="0" w:type="auto"/>
            <w:shd w:val="clear" w:color="auto" w:fill="auto"/>
            <w:vAlign w:val="center"/>
          </w:tcPr>
          <w:p w14:paraId="3693E6B3" w14:textId="77777777" w:rsidR="003734EC" w:rsidRDefault="003734EC">
            <w:pPr>
              <w:rPr>
                <w:rFonts w:ascii="宋体"/>
                <w:vanish/>
              </w:rPr>
            </w:pPr>
          </w:p>
        </w:tc>
        <w:tc>
          <w:tcPr>
            <w:tcW w:w="0" w:type="auto"/>
            <w:shd w:val="clear" w:color="auto" w:fill="auto"/>
            <w:vAlign w:val="center"/>
          </w:tcPr>
          <w:p w14:paraId="3693E6B4" w14:textId="77777777" w:rsidR="003734EC" w:rsidRDefault="003734EC">
            <w:pPr>
              <w:rPr>
                <w:rFonts w:ascii="宋体"/>
              </w:rPr>
            </w:pPr>
          </w:p>
        </w:tc>
        <w:tc>
          <w:tcPr>
            <w:tcW w:w="0" w:type="auto"/>
            <w:shd w:val="clear" w:color="auto" w:fill="auto"/>
            <w:vAlign w:val="center"/>
          </w:tcPr>
          <w:p w14:paraId="3693E6B5" w14:textId="77777777" w:rsidR="003734EC" w:rsidRDefault="003734EC">
            <w:pPr>
              <w:rPr>
                <w:rFonts w:ascii="宋体"/>
              </w:rPr>
            </w:pPr>
          </w:p>
        </w:tc>
        <w:tc>
          <w:tcPr>
            <w:tcW w:w="0" w:type="auto"/>
            <w:shd w:val="clear" w:color="auto" w:fill="auto"/>
            <w:vAlign w:val="center"/>
          </w:tcPr>
          <w:p w14:paraId="3693E6B6" w14:textId="77777777" w:rsidR="003734EC" w:rsidRDefault="003734EC">
            <w:pPr>
              <w:rPr>
                <w:rFonts w:ascii="宋体"/>
              </w:rPr>
            </w:pPr>
          </w:p>
        </w:tc>
        <w:tc>
          <w:tcPr>
            <w:tcW w:w="0" w:type="auto"/>
            <w:shd w:val="clear" w:color="auto" w:fill="auto"/>
            <w:vAlign w:val="center"/>
          </w:tcPr>
          <w:p w14:paraId="3693E6B7" w14:textId="77777777" w:rsidR="003734EC" w:rsidRDefault="003734EC">
            <w:pPr>
              <w:rPr>
                <w:rFonts w:ascii="宋体"/>
              </w:rPr>
            </w:pPr>
          </w:p>
        </w:tc>
        <w:tc>
          <w:tcPr>
            <w:tcW w:w="0" w:type="auto"/>
            <w:shd w:val="clear" w:color="auto" w:fill="auto"/>
            <w:vAlign w:val="center"/>
          </w:tcPr>
          <w:p w14:paraId="3693E6B8" w14:textId="77777777" w:rsidR="003734EC" w:rsidRDefault="003734EC">
            <w:pPr>
              <w:rPr>
                <w:rFonts w:ascii="宋体"/>
              </w:rPr>
            </w:pPr>
          </w:p>
        </w:tc>
        <w:tc>
          <w:tcPr>
            <w:tcW w:w="0" w:type="auto"/>
            <w:shd w:val="clear" w:color="auto" w:fill="auto"/>
            <w:vAlign w:val="center"/>
          </w:tcPr>
          <w:p w14:paraId="3693E6B9" w14:textId="77777777" w:rsidR="003734EC" w:rsidRDefault="003734EC">
            <w:pPr>
              <w:rPr>
                <w:rFonts w:ascii="宋体"/>
              </w:rPr>
            </w:pPr>
          </w:p>
        </w:tc>
      </w:tr>
      <w:tr w:rsidR="003734EC" w14:paraId="3693E6CB" w14:textId="77777777">
        <w:tc>
          <w:tcPr>
            <w:tcW w:w="0" w:type="auto"/>
            <w:gridSpan w:val="3"/>
            <w:shd w:val="clear" w:color="auto" w:fill="E2EFD9"/>
            <w:tcMar>
              <w:top w:w="40" w:type="dxa"/>
              <w:left w:w="20" w:type="dxa"/>
              <w:bottom w:w="40" w:type="dxa"/>
              <w:right w:w="20" w:type="dxa"/>
            </w:tcMar>
            <w:vAlign w:val="bottom"/>
          </w:tcPr>
          <w:p w14:paraId="3693E6BB" w14:textId="77777777" w:rsidR="003734EC" w:rsidRDefault="000E364E">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3693E6BC" w14:textId="77777777" w:rsidR="003734EC" w:rsidRDefault="000E364E">
            <w:pPr>
              <w:jc w:val="right"/>
              <w:textAlignment w:val="bottom"/>
            </w:pPr>
            <w:r>
              <w:rPr>
                <w:rFonts w:ascii="sans-serif" w:eastAsia="sans-serif" w:hAnsi="sans-serif" w:cs="sans-serif"/>
                <w:color w:val="000000"/>
                <w:sz w:val="20"/>
                <w:szCs w:val="20"/>
              </w:rPr>
              <w:t>69 </w:t>
            </w:r>
          </w:p>
        </w:tc>
        <w:tc>
          <w:tcPr>
            <w:tcW w:w="0" w:type="auto"/>
            <w:shd w:val="clear" w:color="auto" w:fill="E2EFD9"/>
            <w:tcMar>
              <w:top w:w="40" w:type="dxa"/>
              <w:bottom w:w="40" w:type="dxa"/>
              <w:right w:w="20" w:type="dxa"/>
            </w:tcMar>
            <w:vAlign w:val="bottom"/>
          </w:tcPr>
          <w:p w14:paraId="3693E6B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6B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6BF" w14:textId="77777777" w:rsidR="003734EC" w:rsidRDefault="000E364E">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bottom w:w="40" w:type="dxa"/>
              <w:right w:w="20" w:type="dxa"/>
            </w:tcMar>
            <w:vAlign w:val="bottom"/>
          </w:tcPr>
          <w:p w14:paraId="3693E6C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C1" w14:textId="77777777" w:rsidR="003734EC" w:rsidRDefault="003734EC">
            <w:pPr>
              <w:rPr>
                <w:rFonts w:ascii="宋体"/>
                <w:vanish/>
              </w:rPr>
            </w:pPr>
          </w:p>
        </w:tc>
        <w:tc>
          <w:tcPr>
            <w:tcW w:w="0" w:type="auto"/>
            <w:shd w:val="clear" w:color="auto" w:fill="auto"/>
            <w:vAlign w:val="center"/>
          </w:tcPr>
          <w:p w14:paraId="3693E6C2" w14:textId="77777777" w:rsidR="003734EC" w:rsidRDefault="003734EC">
            <w:pPr>
              <w:rPr>
                <w:rFonts w:ascii="宋体"/>
                <w:vanish/>
              </w:rPr>
            </w:pPr>
          </w:p>
        </w:tc>
        <w:tc>
          <w:tcPr>
            <w:tcW w:w="0" w:type="auto"/>
            <w:shd w:val="clear" w:color="auto" w:fill="auto"/>
            <w:vAlign w:val="center"/>
          </w:tcPr>
          <w:p w14:paraId="3693E6C3" w14:textId="77777777" w:rsidR="003734EC" w:rsidRDefault="003734EC">
            <w:pPr>
              <w:rPr>
                <w:rFonts w:ascii="宋体"/>
                <w:vanish/>
              </w:rPr>
            </w:pPr>
          </w:p>
        </w:tc>
        <w:tc>
          <w:tcPr>
            <w:tcW w:w="0" w:type="auto"/>
            <w:shd w:val="clear" w:color="auto" w:fill="auto"/>
            <w:vAlign w:val="center"/>
          </w:tcPr>
          <w:p w14:paraId="3693E6C4" w14:textId="77777777" w:rsidR="003734EC" w:rsidRDefault="003734EC">
            <w:pPr>
              <w:rPr>
                <w:rFonts w:ascii="宋体"/>
                <w:vanish/>
              </w:rPr>
            </w:pPr>
          </w:p>
        </w:tc>
        <w:tc>
          <w:tcPr>
            <w:tcW w:w="0" w:type="auto"/>
            <w:shd w:val="clear" w:color="auto" w:fill="auto"/>
            <w:vAlign w:val="center"/>
          </w:tcPr>
          <w:p w14:paraId="3693E6C5" w14:textId="77777777" w:rsidR="003734EC" w:rsidRDefault="003734EC">
            <w:pPr>
              <w:rPr>
                <w:rFonts w:ascii="宋体"/>
              </w:rPr>
            </w:pPr>
          </w:p>
        </w:tc>
        <w:tc>
          <w:tcPr>
            <w:tcW w:w="0" w:type="auto"/>
            <w:shd w:val="clear" w:color="auto" w:fill="auto"/>
            <w:vAlign w:val="center"/>
          </w:tcPr>
          <w:p w14:paraId="3693E6C6" w14:textId="77777777" w:rsidR="003734EC" w:rsidRDefault="003734EC">
            <w:pPr>
              <w:rPr>
                <w:rFonts w:ascii="宋体"/>
              </w:rPr>
            </w:pPr>
          </w:p>
        </w:tc>
        <w:tc>
          <w:tcPr>
            <w:tcW w:w="0" w:type="auto"/>
            <w:shd w:val="clear" w:color="auto" w:fill="auto"/>
            <w:vAlign w:val="center"/>
          </w:tcPr>
          <w:p w14:paraId="3693E6C7" w14:textId="77777777" w:rsidR="003734EC" w:rsidRDefault="003734EC">
            <w:pPr>
              <w:rPr>
                <w:rFonts w:ascii="宋体"/>
              </w:rPr>
            </w:pPr>
          </w:p>
        </w:tc>
        <w:tc>
          <w:tcPr>
            <w:tcW w:w="0" w:type="auto"/>
            <w:shd w:val="clear" w:color="auto" w:fill="auto"/>
            <w:vAlign w:val="center"/>
          </w:tcPr>
          <w:p w14:paraId="3693E6C8" w14:textId="77777777" w:rsidR="003734EC" w:rsidRDefault="003734EC">
            <w:pPr>
              <w:rPr>
                <w:rFonts w:ascii="宋体"/>
              </w:rPr>
            </w:pPr>
          </w:p>
        </w:tc>
        <w:tc>
          <w:tcPr>
            <w:tcW w:w="0" w:type="auto"/>
            <w:shd w:val="clear" w:color="auto" w:fill="auto"/>
            <w:vAlign w:val="center"/>
          </w:tcPr>
          <w:p w14:paraId="3693E6C9" w14:textId="77777777" w:rsidR="003734EC" w:rsidRDefault="003734EC">
            <w:pPr>
              <w:rPr>
                <w:rFonts w:ascii="宋体"/>
              </w:rPr>
            </w:pPr>
          </w:p>
        </w:tc>
        <w:tc>
          <w:tcPr>
            <w:tcW w:w="0" w:type="auto"/>
            <w:shd w:val="clear" w:color="auto" w:fill="auto"/>
            <w:vAlign w:val="center"/>
          </w:tcPr>
          <w:p w14:paraId="3693E6CA" w14:textId="77777777" w:rsidR="003734EC" w:rsidRDefault="003734EC">
            <w:pPr>
              <w:rPr>
                <w:rFonts w:ascii="宋体"/>
              </w:rPr>
            </w:pPr>
          </w:p>
        </w:tc>
      </w:tr>
      <w:tr w:rsidR="003734EC" w14:paraId="3693E6DE" w14:textId="77777777">
        <w:tc>
          <w:tcPr>
            <w:tcW w:w="0" w:type="auto"/>
            <w:gridSpan w:val="3"/>
            <w:shd w:val="clear" w:color="auto" w:fill="FFFFFF"/>
            <w:tcMar>
              <w:top w:w="40" w:type="dxa"/>
              <w:left w:w="20" w:type="dxa"/>
              <w:bottom w:w="40" w:type="dxa"/>
              <w:right w:w="20" w:type="dxa"/>
            </w:tcMar>
            <w:vAlign w:val="bottom"/>
          </w:tcPr>
          <w:p w14:paraId="3693E6CC" w14:textId="77777777" w:rsidR="003734EC" w:rsidRDefault="000E364E">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6C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6CE" w14:textId="77777777" w:rsidR="003734EC" w:rsidRDefault="000E364E">
            <w:pPr>
              <w:jc w:val="right"/>
              <w:textAlignment w:val="bottom"/>
            </w:pPr>
            <w:r>
              <w:rPr>
                <w:rFonts w:ascii="sans-serif" w:eastAsia="sans-serif" w:hAnsi="sans-serif" w:cs="sans-serif"/>
                <w:color w:val="000000"/>
                <w:sz w:val="20"/>
                <w:szCs w:val="20"/>
              </w:rPr>
              <w:t>224 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6C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6D0"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6D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6D2" w14:textId="77777777" w:rsidR="003734EC" w:rsidRDefault="000E364E">
            <w:pPr>
              <w:jc w:val="right"/>
              <w:textAlignment w:val="bottom"/>
            </w:pPr>
            <w:r>
              <w:rPr>
                <w:rFonts w:ascii="sans-serif" w:eastAsia="sans-serif" w:hAnsi="sans-serif" w:cs="sans-serif"/>
                <w:color w:val="000000"/>
                <w:sz w:val="20"/>
                <w:szCs w:val="20"/>
              </w:rPr>
              <w:t>178 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6D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6D4" w14:textId="77777777" w:rsidR="003734EC" w:rsidRDefault="003734EC">
            <w:pPr>
              <w:rPr>
                <w:rFonts w:ascii="宋体"/>
                <w:vanish/>
              </w:rPr>
            </w:pPr>
          </w:p>
        </w:tc>
        <w:tc>
          <w:tcPr>
            <w:tcW w:w="0" w:type="auto"/>
            <w:shd w:val="clear" w:color="auto" w:fill="auto"/>
            <w:vAlign w:val="center"/>
          </w:tcPr>
          <w:p w14:paraId="3693E6D5" w14:textId="77777777" w:rsidR="003734EC" w:rsidRDefault="003734EC">
            <w:pPr>
              <w:rPr>
                <w:rFonts w:ascii="宋体"/>
                <w:vanish/>
              </w:rPr>
            </w:pPr>
          </w:p>
        </w:tc>
        <w:tc>
          <w:tcPr>
            <w:tcW w:w="0" w:type="auto"/>
            <w:shd w:val="clear" w:color="auto" w:fill="auto"/>
            <w:vAlign w:val="center"/>
          </w:tcPr>
          <w:p w14:paraId="3693E6D6" w14:textId="77777777" w:rsidR="003734EC" w:rsidRDefault="003734EC">
            <w:pPr>
              <w:rPr>
                <w:rFonts w:ascii="宋体"/>
                <w:vanish/>
              </w:rPr>
            </w:pPr>
          </w:p>
        </w:tc>
        <w:tc>
          <w:tcPr>
            <w:tcW w:w="0" w:type="auto"/>
            <w:shd w:val="clear" w:color="auto" w:fill="auto"/>
            <w:vAlign w:val="center"/>
          </w:tcPr>
          <w:p w14:paraId="3693E6D7" w14:textId="77777777" w:rsidR="003734EC" w:rsidRDefault="003734EC">
            <w:pPr>
              <w:rPr>
                <w:rFonts w:ascii="宋体"/>
                <w:vanish/>
              </w:rPr>
            </w:pPr>
          </w:p>
        </w:tc>
        <w:tc>
          <w:tcPr>
            <w:tcW w:w="0" w:type="auto"/>
            <w:shd w:val="clear" w:color="auto" w:fill="auto"/>
            <w:vAlign w:val="center"/>
          </w:tcPr>
          <w:p w14:paraId="3693E6D8" w14:textId="77777777" w:rsidR="003734EC" w:rsidRDefault="003734EC">
            <w:pPr>
              <w:rPr>
                <w:rFonts w:ascii="宋体"/>
              </w:rPr>
            </w:pPr>
          </w:p>
        </w:tc>
        <w:tc>
          <w:tcPr>
            <w:tcW w:w="0" w:type="auto"/>
            <w:shd w:val="clear" w:color="auto" w:fill="auto"/>
            <w:vAlign w:val="center"/>
          </w:tcPr>
          <w:p w14:paraId="3693E6D9" w14:textId="77777777" w:rsidR="003734EC" w:rsidRDefault="003734EC">
            <w:pPr>
              <w:rPr>
                <w:rFonts w:ascii="宋体"/>
              </w:rPr>
            </w:pPr>
          </w:p>
        </w:tc>
        <w:tc>
          <w:tcPr>
            <w:tcW w:w="0" w:type="auto"/>
            <w:shd w:val="clear" w:color="auto" w:fill="auto"/>
            <w:vAlign w:val="center"/>
          </w:tcPr>
          <w:p w14:paraId="3693E6DA" w14:textId="77777777" w:rsidR="003734EC" w:rsidRDefault="003734EC">
            <w:pPr>
              <w:rPr>
                <w:rFonts w:ascii="宋体"/>
              </w:rPr>
            </w:pPr>
          </w:p>
        </w:tc>
        <w:tc>
          <w:tcPr>
            <w:tcW w:w="0" w:type="auto"/>
            <w:shd w:val="clear" w:color="auto" w:fill="auto"/>
            <w:vAlign w:val="center"/>
          </w:tcPr>
          <w:p w14:paraId="3693E6DB" w14:textId="77777777" w:rsidR="003734EC" w:rsidRDefault="003734EC">
            <w:pPr>
              <w:rPr>
                <w:rFonts w:ascii="宋体"/>
              </w:rPr>
            </w:pPr>
          </w:p>
        </w:tc>
        <w:tc>
          <w:tcPr>
            <w:tcW w:w="0" w:type="auto"/>
            <w:shd w:val="clear" w:color="auto" w:fill="auto"/>
            <w:vAlign w:val="center"/>
          </w:tcPr>
          <w:p w14:paraId="3693E6DC" w14:textId="77777777" w:rsidR="003734EC" w:rsidRDefault="003734EC">
            <w:pPr>
              <w:rPr>
                <w:rFonts w:ascii="宋体"/>
              </w:rPr>
            </w:pPr>
          </w:p>
        </w:tc>
        <w:tc>
          <w:tcPr>
            <w:tcW w:w="0" w:type="auto"/>
            <w:shd w:val="clear" w:color="auto" w:fill="auto"/>
            <w:vAlign w:val="center"/>
          </w:tcPr>
          <w:p w14:paraId="3693E6DD" w14:textId="77777777" w:rsidR="003734EC" w:rsidRDefault="003734EC">
            <w:pPr>
              <w:rPr>
                <w:rFonts w:ascii="宋体"/>
              </w:rPr>
            </w:pPr>
          </w:p>
        </w:tc>
      </w:tr>
    </w:tbl>
    <w:p w14:paraId="3693E6DF" w14:textId="77777777" w:rsidR="003734EC" w:rsidRDefault="000E364E">
      <w:pPr>
        <w:spacing w:before="240" w:after="60"/>
        <w:jc w:val="both"/>
      </w:pPr>
      <w:r>
        <w:rPr>
          <w:rFonts w:ascii="sans-serif" w:eastAsia="sans-serif" w:hAnsi="sans-serif" w:cs="sans-serif"/>
          <w:b/>
          <w:bCs/>
          <w:color w:val="76B900"/>
          <w:sz w:val="20"/>
          <w:szCs w:val="20"/>
        </w:rPr>
        <w:t>Equity Award Activity</w:t>
      </w:r>
    </w:p>
    <w:p w14:paraId="3693E6E0" w14:textId="77777777" w:rsidR="003734EC" w:rsidRDefault="000E364E">
      <w:pPr>
        <w:spacing w:after="360"/>
        <w:jc w:val="both"/>
      </w:pPr>
      <w:r>
        <w:rPr>
          <w:rFonts w:ascii="sans-serif" w:eastAsia="sans-serif" w:hAnsi="sans-serif" w:cs="sans-serif"/>
          <w:color w:val="000000"/>
          <w:sz w:val="20"/>
          <w:szCs w:val="20"/>
        </w:rPr>
        <w:t>The following is a summary of equity 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62"/>
        <w:gridCol w:w="4172"/>
        <w:gridCol w:w="62"/>
        <w:gridCol w:w="62"/>
        <w:gridCol w:w="1597"/>
        <w:gridCol w:w="83"/>
        <w:gridCol w:w="37"/>
        <w:gridCol w:w="48"/>
        <w:gridCol w:w="36"/>
        <w:gridCol w:w="138"/>
        <w:gridCol w:w="1597"/>
        <w:gridCol w:w="82"/>
        <w:gridCol w:w="36"/>
        <w:gridCol w:w="36"/>
        <w:gridCol w:w="36"/>
        <w:gridCol w:w="36"/>
        <w:gridCol w:w="36"/>
        <w:gridCol w:w="36"/>
        <w:gridCol w:w="36"/>
        <w:gridCol w:w="36"/>
        <w:gridCol w:w="36"/>
        <w:gridCol w:w="36"/>
      </w:tblGrid>
      <w:tr w:rsidR="003734EC" w14:paraId="3693E6F1" w14:textId="77777777">
        <w:trPr>
          <w:gridAfter w:val="6"/>
        </w:trPr>
        <w:tc>
          <w:tcPr>
            <w:tcW w:w="50" w:type="pct"/>
            <w:shd w:val="clear" w:color="auto" w:fill="auto"/>
            <w:vAlign w:val="center"/>
          </w:tcPr>
          <w:p w14:paraId="3693E6E1" w14:textId="77777777" w:rsidR="003734EC" w:rsidRDefault="003734EC">
            <w:pPr>
              <w:rPr>
                <w:rFonts w:ascii="宋体"/>
              </w:rPr>
            </w:pPr>
          </w:p>
        </w:tc>
        <w:tc>
          <w:tcPr>
            <w:tcW w:w="2626" w:type="pct"/>
            <w:shd w:val="clear" w:color="auto" w:fill="auto"/>
            <w:vAlign w:val="center"/>
          </w:tcPr>
          <w:p w14:paraId="3693E6E2" w14:textId="77777777" w:rsidR="003734EC" w:rsidRDefault="003734EC">
            <w:pPr>
              <w:rPr>
                <w:rFonts w:ascii="宋体"/>
              </w:rPr>
            </w:pPr>
          </w:p>
        </w:tc>
        <w:tc>
          <w:tcPr>
            <w:tcW w:w="50" w:type="pct"/>
            <w:shd w:val="clear" w:color="auto" w:fill="auto"/>
            <w:vAlign w:val="center"/>
          </w:tcPr>
          <w:p w14:paraId="3693E6E3" w14:textId="77777777" w:rsidR="003734EC" w:rsidRDefault="003734EC">
            <w:pPr>
              <w:rPr>
                <w:rFonts w:ascii="宋体"/>
              </w:rPr>
            </w:pPr>
          </w:p>
        </w:tc>
        <w:tc>
          <w:tcPr>
            <w:tcW w:w="50" w:type="pct"/>
            <w:shd w:val="clear" w:color="auto" w:fill="auto"/>
            <w:vAlign w:val="center"/>
          </w:tcPr>
          <w:p w14:paraId="3693E6E4" w14:textId="77777777" w:rsidR="003734EC" w:rsidRDefault="003734EC">
            <w:pPr>
              <w:rPr>
                <w:rFonts w:ascii="宋体"/>
              </w:rPr>
            </w:pPr>
          </w:p>
        </w:tc>
        <w:tc>
          <w:tcPr>
            <w:tcW w:w="1011" w:type="pct"/>
            <w:shd w:val="clear" w:color="auto" w:fill="auto"/>
            <w:vAlign w:val="center"/>
          </w:tcPr>
          <w:p w14:paraId="3693E6E5" w14:textId="77777777" w:rsidR="003734EC" w:rsidRDefault="003734EC">
            <w:pPr>
              <w:rPr>
                <w:rFonts w:ascii="宋体"/>
              </w:rPr>
            </w:pPr>
          </w:p>
        </w:tc>
        <w:tc>
          <w:tcPr>
            <w:tcW w:w="50" w:type="pct"/>
            <w:shd w:val="clear" w:color="auto" w:fill="auto"/>
            <w:vAlign w:val="center"/>
          </w:tcPr>
          <w:p w14:paraId="3693E6E6" w14:textId="77777777" w:rsidR="003734EC" w:rsidRDefault="003734EC">
            <w:pPr>
              <w:rPr>
                <w:rFonts w:ascii="宋体"/>
              </w:rPr>
            </w:pPr>
          </w:p>
        </w:tc>
        <w:tc>
          <w:tcPr>
            <w:tcW w:w="5" w:type="pct"/>
            <w:shd w:val="clear" w:color="auto" w:fill="auto"/>
            <w:vAlign w:val="center"/>
          </w:tcPr>
          <w:p w14:paraId="3693E6E7" w14:textId="77777777" w:rsidR="003734EC" w:rsidRDefault="003734EC">
            <w:pPr>
              <w:rPr>
                <w:rFonts w:ascii="宋体"/>
              </w:rPr>
            </w:pPr>
          </w:p>
        </w:tc>
        <w:tc>
          <w:tcPr>
            <w:tcW w:w="41" w:type="pct"/>
            <w:shd w:val="clear" w:color="auto" w:fill="auto"/>
            <w:vAlign w:val="center"/>
          </w:tcPr>
          <w:p w14:paraId="3693E6E8" w14:textId="77777777" w:rsidR="003734EC" w:rsidRDefault="003734EC">
            <w:pPr>
              <w:rPr>
                <w:rFonts w:ascii="宋体"/>
              </w:rPr>
            </w:pPr>
          </w:p>
        </w:tc>
        <w:tc>
          <w:tcPr>
            <w:tcW w:w="5" w:type="pct"/>
            <w:shd w:val="clear" w:color="auto" w:fill="auto"/>
            <w:vAlign w:val="center"/>
          </w:tcPr>
          <w:p w14:paraId="3693E6E9" w14:textId="77777777" w:rsidR="003734EC" w:rsidRDefault="003734EC">
            <w:pPr>
              <w:rPr>
                <w:rFonts w:ascii="宋体"/>
              </w:rPr>
            </w:pPr>
          </w:p>
        </w:tc>
        <w:tc>
          <w:tcPr>
            <w:tcW w:w="50" w:type="pct"/>
            <w:shd w:val="clear" w:color="auto" w:fill="auto"/>
            <w:vAlign w:val="center"/>
          </w:tcPr>
          <w:p w14:paraId="3693E6EA" w14:textId="77777777" w:rsidR="003734EC" w:rsidRDefault="003734EC">
            <w:pPr>
              <w:rPr>
                <w:rFonts w:ascii="宋体"/>
              </w:rPr>
            </w:pPr>
          </w:p>
        </w:tc>
        <w:tc>
          <w:tcPr>
            <w:tcW w:w="1011" w:type="pct"/>
            <w:shd w:val="clear" w:color="auto" w:fill="auto"/>
            <w:vAlign w:val="center"/>
          </w:tcPr>
          <w:p w14:paraId="3693E6EB" w14:textId="77777777" w:rsidR="003734EC" w:rsidRDefault="003734EC">
            <w:pPr>
              <w:rPr>
                <w:rFonts w:ascii="宋体"/>
              </w:rPr>
            </w:pPr>
          </w:p>
        </w:tc>
        <w:tc>
          <w:tcPr>
            <w:tcW w:w="50" w:type="pct"/>
            <w:shd w:val="clear" w:color="auto" w:fill="auto"/>
            <w:vAlign w:val="center"/>
          </w:tcPr>
          <w:p w14:paraId="3693E6EC" w14:textId="77777777" w:rsidR="003734EC" w:rsidRDefault="003734EC">
            <w:pPr>
              <w:rPr>
                <w:rFonts w:ascii="宋体"/>
              </w:rPr>
            </w:pPr>
          </w:p>
        </w:tc>
        <w:tc>
          <w:tcPr>
            <w:tcW w:w="0" w:type="auto"/>
            <w:shd w:val="clear" w:color="auto" w:fill="auto"/>
            <w:vAlign w:val="center"/>
          </w:tcPr>
          <w:p w14:paraId="3693E6ED" w14:textId="77777777" w:rsidR="003734EC" w:rsidRDefault="003734EC">
            <w:pPr>
              <w:rPr>
                <w:rFonts w:ascii="宋体"/>
                <w:vanish/>
              </w:rPr>
            </w:pPr>
          </w:p>
        </w:tc>
        <w:tc>
          <w:tcPr>
            <w:tcW w:w="0" w:type="auto"/>
            <w:shd w:val="clear" w:color="auto" w:fill="auto"/>
            <w:vAlign w:val="center"/>
          </w:tcPr>
          <w:p w14:paraId="3693E6EE" w14:textId="77777777" w:rsidR="003734EC" w:rsidRDefault="003734EC">
            <w:pPr>
              <w:rPr>
                <w:rFonts w:ascii="宋体"/>
                <w:vanish/>
              </w:rPr>
            </w:pPr>
          </w:p>
        </w:tc>
        <w:tc>
          <w:tcPr>
            <w:tcW w:w="0" w:type="auto"/>
            <w:shd w:val="clear" w:color="auto" w:fill="auto"/>
            <w:vAlign w:val="center"/>
          </w:tcPr>
          <w:p w14:paraId="3693E6EF" w14:textId="77777777" w:rsidR="003734EC" w:rsidRDefault="003734EC">
            <w:pPr>
              <w:rPr>
                <w:rFonts w:ascii="宋体"/>
                <w:vanish/>
              </w:rPr>
            </w:pPr>
          </w:p>
        </w:tc>
        <w:tc>
          <w:tcPr>
            <w:tcW w:w="0" w:type="auto"/>
            <w:shd w:val="clear" w:color="auto" w:fill="auto"/>
            <w:vAlign w:val="center"/>
          </w:tcPr>
          <w:p w14:paraId="3693E6F0" w14:textId="77777777" w:rsidR="003734EC" w:rsidRDefault="003734EC">
            <w:pPr>
              <w:rPr>
                <w:rFonts w:ascii="宋体"/>
                <w:vanish/>
              </w:rPr>
            </w:pPr>
          </w:p>
        </w:tc>
      </w:tr>
      <w:tr w:rsidR="003734EC" w14:paraId="3693E6FA" w14:textId="77777777">
        <w:tc>
          <w:tcPr>
            <w:tcW w:w="0" w:type="auto"/>
            <w:gridSpan w:val="3"/>
            <w:shd w:val="clear" w:color="auto" w:fill="auto"/>
            <w:tcMar>
              <w:left w:w="20" w:type="dxa"/>
              <w:right w:w="20" w:type="dxa"/>
            </w:tcMar>
            <w:vAlign w:val="bottom"/>
          </w:tcPr>
          <w:p w14:paraId="3693E6F2" w14:textId="77777777" w:rsidR="003734EC" w:rsidRDefault="003734EC">
            <w:pPr>
              <w:rPr>
                <w:rFonts w:ascii="宋体"/>
              </w:rPr>
            </w:pPr>
          </w:p>
        </w:tc>
        <w:tc>
          <w:tcPr>
            <w:tcW w:w="0" w:type="auto"/>
            <w:gridSpan w:val="9"/>
            <w:shd w:val="clear" w:color="auto" w:fill="auto"/>
            <w:tcMar>
              <w:top w:w="40" w:type="dxa"/>
              <w:left w:w="20" w:type="dxa"/>
              <w:bottom w:w="40" w:type="dxa"/>
              <w:right w:w="20" w:type="dxa"/>
            </w:tcMar>
            <w:vAlign w:val="bottom"/>
          </w:tcPr>
          <w:p w14:paraId="3693E6F3" w14:textId="77777777" w:rsidR="003734EC" w:rsidRDefault="000E364E">
            <w:pPr>
              <w:jc w:val="center"/>
              <w:textAlignment w:val="bottom"/>
            </w:pPr>
            <w:r>
              <w:rPr>
                <w:rFonts w:ascii="sans-serif" w:eastAsia="sans-serif" w:hAnsi="sans-serif" w:cs="sans-serif"/>
                <w:b/>
                <w:bCs/>
                <w:color w:val="000000"/>
                <w:sz w:val="20"/>
                <w:szCs w:val="20"/>
              </w:rPr>
              <w:t>RSUs, PSUs, and Market-based PSUs Outstanding</w:t>
            </w:r>
          </w:p>
        </w:tc>
        <w:tc>
          <w:tcPr>
            <w:tcW w:w="0" w:type="auto"/>
            <w:shd w:val="clear" w:color="auto" w:fill="auto"/>
            <w:vAlign w:val="center"/>
          </w:tcPr>
          <w:p w14:paraId="3693E6F4" w14:textId="77777777" w:rsidR="003734EC" w:rsidRDefault="003734EC">
            <w:pPr>
              <w:rPr>
                <w:rFonts w:ascii="宋体"/>
                <w:vanish/>
              </w:rPr>
            </w:pPr>
          </w:p>
        </w:tc>
        <w:tc>
          <w:tcPr>
            <w:tcW w:w="0" w:type="auto"/>
            <w:shd w:val="clear" w:color="auto" w:fill="auto"/>
            <w:vAlign w:val="center"/>
          </w:tcPr>
          <w:p w14:paraId="3693E6F5" w14:textId="77777777" w:rsidR="003734EC" w:rsidRDefault="003734EC">
            <w:pPr>
              <w:rPr>
                <w:rFonts w:ascii="宋体"/>
                <w:vanish/>
              </w:rPr>
            </w:pPr>
          </w:p>
        </w:tc>
        <w:tc>
          <w:tcPr>
            <w:tcW w:w="0" w:type="auto"/>
            <w:shd w:val="clear" w:color="auto" w:fill="auto"/>
            <w:vAlign w:val="center"/>
          </w:tcPr>
          <w:p w14:paraId="3693E6F6" w14:textId="77777777" w:rsidR="003734EC" w:rsidRDefault="003734EC">
            <w:pPr>
              <w:rPr>
                <w:rFonts w:ascii="宋体"/>
                <w:vanish/>
              </w:rPr>
            </w:pPr>
          </w:p>
        </w:tc>
        <w:tc>
          <w:tcPr>
            <w:tcW w:w="0" w:type="auto"/>
            <w:shd w:val="clear" w:color="auto" w:fill="auto"/>
            <w:vAlign w:val="center"/>
          </w:tcPr>
          <w:p w14:paraId="3693E6F7" w14:textId="77777777" w:rsidR="003734EC" w:rsidRDefault="003734EC">
            <w:pPr>
              <w:rPr>
                <w:rFonts w:ascii="宋体"/>
                <w:vanish/>
              </w:rPr>
            </w:pPr>
          </w:p>
        </w:tc>
        <w:tc>
          <w:tcPr>
            <w:tcW w:w="0" w:type="auto"/>
            <w:gridSpan w:val="3"/>
            <w:shd w:val="clear" w:color="auto" w:fill="auto"/>
            <w:vAlign w:val="center"/>
          </w:tcPr>
          <w:p w14:paraId="3693E6F8" w14:textId="77777777" w:rsidR="003734EC" w:rsidRDefault="003734EC">
            <w:pPr>
              <w:rPr>
                <w:rFonts w:ascii="宋体"/>
                <w:vanish/>
              </w:rPr>
            </w:pPr>
          </w:p>
        </w:tc>
        <w:tc>
          <w:tcPr>
            <w:tcW w:w="0" w:type="auto"/>
            <w:gridSpan w:val="3"/>
            <w:shd w:val="clear" w:color="auto" w:fill="auto"/>
            <w:vAlign w:val="center"/>
          </w:tcPr>
          <w:p w14:paraId="3693E6F9" w14:textId="77777777" w:rsidR="003734EC" w:rsidRDefault="003734EC">
            <w:pPr>
              <w:rPr>
                <w:rFonts w:ascii="宋体"/>
                <w:vanish/>
              </w:rPr>
            </w:pPr>
          </w:p>
        </w:tc>
      </w:tr>
      <w:tr w:rsidR="003734EC" w14:paraId="3693E709" w14:textId="77777777">
        <w:tc>
          <w:tcPr>
            <w:tcW w:w="0" w:type="auto"/>
            <w:gridSpan w:val="3"/>
            <w:shd w:val="clear" w:color="auto" w:fill="auto"/>
            <w:tcMar>
              <w:top w:w="40" w:type="dxa"/>
              <w:left w:w="20" w:type="dxa"/>
              <w:bottom w:w="40" w:type="dxa"/>
              <w:right w:w="20" w:type="dxa"/>
            </w:tcMar>
            <w:vAlign w:val="bottom"/>
          </w:tcPr>
          <w:p w14:paraId="3693E6F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6FC" w14:textId="77777777" w:rsidR="003734EC" w:rsidRDefault="000E364E">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left w:w="20" w:type="dxa"/>
              <w:right w:w="20" w:type="dxa"/>
            </w:tcMar>
            <w:vAlign w:val="bottom"/>
          </w:tcPr>
          <w:p w14:paraId="3693E6FD"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6FE" w14:textId="77777777" w:rsidR="003734EC" w:rsidRDefault="000E364E">
            <w:pPr>
              <w:jc w:val="center"/>
              <w:textAlignment w:val="bottom"/>
            </w:pPr>
            <w:r>
              <w:rPr>
                <w:rFonts w:ascii="sans-serif" w:eastAsia="sans-serif" w:hAnsi="sans-serif" w:cs="sans-serif"/>
                <w:b/>
                <w:bCs/>
                <w:color w:val="000000"/>
                <w:sz w:val="20"/>
                <w:szCs w:val="20"/>
              </w:rPr>
              <w:t>Weighted Average Grant-Date Fair Value Per Share</w:t>
            </w:r>
          </w:p>
        </w:tc>
        <w:tc>
          <w:tcPr>
            <w:tcW w:w="0" w:type="auto"/>
            <w:shd w:val="clear" w:color="auto" w:fill="auto"/>
            <w:vAlign w:val="center"/>
          </w:tcPr>
          <w:p w14:paraId="3693E6FF" w14:textId="77777777" w:rsidR="003734EC" w:rsidRDefault="003734EC">
            <w:pPr>
              <w:rPr>
                <w:rFonts w:ascii="宋体"/>
                <w:vanish/>
              </w:rPr>
            </w:pPr>
          </w:p>
        </w:tc>
        <w:tc>
          <w:tcPr>
            <w:tcW w:w="0" w:type="auto"/>
            <w:shd w:val="clear" w:color="auto" w:fill="auto"/>
            <w:vAlign w:val="center"/>
          </w:tcPr>
          <w:p w14:paraId="3693E700" w14:textId="77777777" w:rsidR="003734EC" w:rsidRDefault="003734EC">
            <w:pPr>
              <w:rPr>
                <w:rFonts w:ascii="宋体"/>
                <w:vanish/>
              </w:rPr>
            </w:pPr>
          </w:p>
        </w:tc>
        <w:tc>
          <w:tcPr>
            <w:tcW w:w="0" w:type="auto"/>
            <w:shd w:val="clear" w:color="auto" w:fill="auto"/>
            <w:vAlign w:val="center"/>
          </w:tcPr>
          <w:p w14:paraId="3693E701" w14:textId="77777777" w:rsidR="003734EC" w:rsidRDefault="003734EC">
            <w:pPr>
              <w:rPr>
                <w:rFonts w:ascii="宋体"/>
                <w:vanish/>
              </w:rPr>
            </w:pPr>
          </w:p>
        </w:tc>
        <w:tc>
          <w:tcPr>
            <w:tcW w:w="0" w:type="auto"/>
            <w:shd w:val="clear" w:color="auto" w:fill="auto"/>
            <w:vAlign w:val="center"/>
          </w:tcPr>
          <w:p w14:paraId="3693E702" w14:textId="77777777" w:rsidR="003734EC" w:rsidRDefault="003734EC">
            <w:pPr>
              <w:rPr>
                <w:rFonts w:ascii="宋体"/>
                <w:vanish/>
              </w:rPr>
            </w:pPr>
          </w:p>
        </w:tc>
        <w:tc>
          <w:tcPr>
            <w:tcW w:w="0" w:type="auto"/>
            <w:shd w:val="clear" w:color="auto" w:fill="auto"/>
            <w:vAlign w:val="center"/>
          </w:tcPr>
          <w:p w14:paraId="3693E703" w14:textId="77777777" w:rsidR="003734EC" w:rsidRDefault="003734EC">
            <w:pPr>
              <w:rPr>
                <w:rFonts w:ascii="宋体"/>
              </w:rPr>
            </w:pPr>
          </w:p>
        </w:tc>
        <w:tc>
          <w:tcPr>
            <w:tcW w:w="0" w:type="auto"/>
            <w:shd w:val="clear" w:color="auto" w:fill="auto"/>
            <w:vAlign w:val="center"/>
          </w:tcPr>
          <w:p w14:paraId="3693E704" w14:textId="77777777" w:rsidR="003734EC" w:rsidRDefault="003734EC">
            <w:pPr>
              <w:rPr>
                <w:rFonts w:ascii="宋体"/>
              </w:rPr>
            </w:pPr>
          </w:p>
        </w:tc>
        <w:tc>
          <w:tcPr>
            <w:tcW w:w="0" w:type="auto"/>
            <w:shd w:val="clear" w:color="auto" w:fill="auto"/>
            <w:vAlign w:val="center"/>
          </w:tcPr>
          <w:p w14:paraId="3693E705" w14:textId="77777777" w:rsidR="003734EC" w:rsidRDefault="003734EC">
            <w:pPr>
              <w:rPr>
                <w:rFonts w:ascii="宋体"/>
              </w:rPr>
            </w:pPr>
          </w:p>
        </w:tc>
        <w:tc>
          <w:tcPr>
            <w:tcW w:w="0" w:type="auto"/>
            <w:shd w:val="clear" w:color="auto" w:fill="auto"/>
            <w:vAlign w:val="center"/>
          </w:tcPr>
          <w:p w14:paraId="3693E706" w14:textId="77777777" w:rsidR="003734EC" w:rsidRDefault="003734EC">
            <w:pPr>
              <w:rPr>
                <w:rFonts w:ascii="宋体"/>
              </w:rPr>
            </w:pPr>
          </w:p>
        </w:tc>
        <w:tc>
          <w:tcPr>
            <w:tcW w:w="0" w:type="auto"/>
            <w:shd w:val="clear" w:color="auto" w:fill="auto"/>
            <w:vAlign w:val="center"/>
          </w:tcPr>
          <w:p w14:paraId="3693E707" w14:textId="77777777" w:rsidR="003734EC" w:rsidRDefault="003734EC">
            <w:pPr>
              <w:rPr>
                <w:rFonts w:ascii="宋体"/>
              </w:rPr>
            </w:pPr>
          </w:p>
        </w:tc>
        <w:tc>
          <w:tcPr>
            <w:tcW w:w="0" w:type="auto"/>
            <w:shd w:val="clear" w:color="auto" w:fill="auto"/>
            <w:vAlign w:val="center"/>
          </w:tcPr>
          <w:p w14:paraId="3693E708" w14:textId="77777777" w:rsidR="003734EC" w:rsidRDefault="003734EC">
            <w:pPr>
              <w:rPr>
                <w:rFonts w:ascii="宋体"/>
              </w:rPr>
            </w:pPr>
          </w:p>
        </w:tc>
      </w:tr>
      <w:tr w:rsidR="003734EC" w14:paraId="3693E712" w14:textId="77777777">
        <w:tc>
          <w:tcPr>
            <w:tcW w:w="0" w:type="auto"/>
            <w:gridSpan w:val="3"/>
            <w:shd w:val="clear" w:color="auto" w:fill="auto"/>
            <w:tcMar>
              <w:left w:w="20" w:type="dxa"/>
              <w:right w:w="20" w:type="dxa"/>
            </w:tcMar>
            <w:vAlign w:val="bottom"/>
          </w:tcPr>
          <w:p w14:paraId="3693E70A"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70B" w14:textId="77777777" w:rsidR="003734EC" w:rsidRDefault="000E364E">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center"/>
          </w:tcPr>
          <w:p w14:paraId="3693E70C" w14:textId="77777777" w:rsidR="003734EC" w:rsidRDefault="003734EC">
            <w:pPr>
              <w:rPr>
                <w:rFonts w:ascii="宋体"/>
                <w:vanish/>
              </w:rPr>
            </w:pPr>
          </w:p>
        </w:tc>
        <w:tc>
          <w:tcPr>
            <w:tcW w:w="0" w:type="auto"/>
            <w:shd w:val="clear" w:color="auto" w:fill="auto"/>
            <w:vAlign w:val="center"/>
          </w:tcPr>
          <w:p w14:paraId="3693E70D" w14:textId="77777777" w:rsidR="003734EC" w:rsidRDefault="003734EC">
            <w:pPr>
              <w:rPr>
                <w:rFonts w:ascii="宋体"/>
                <w:vanish/>
              </w:rPr>
            </w:pPr>
          </w:p>
        </w:tc>
        <w:tc>
          <w:tcPr>
            <w:tcW w:w="0" w:type="auto"/>
            <w:shd w:val="clear" w:color="auto" w:fill="auto"/>
            <w:vAlign w:val="center"/>
          </w:tcPr>
          <w:p w14:paraId="3693E70E" w14:textId="77777777" w:rsidR="003734EC" w:rsidRDefault="003734EC">
            <w:pPr>
              <w:rPr>
                <w:rFonts w:ascii="宋体"/>
                <w:vanish/>
              </w:rPr>
            </w:pPr>
          </w:p>
        </w:tc>
        <w:tc>
          <w:tcPr>
            <w:tcW w:w="0" w:type="auto"/>
            <w:shd w:val="clear" w:color="auto" w:fill="auto"/>
            <w:vAlign w:val="center"/>
          </w:tcPr>
          <w:p w14:paraId="3693E70F" w14:textId="77777777" w:rsidR="003734EC" w:rsidRDefault="003734EC">
            <w:pPr>
              <w:rPr>
                <w:rFonts w:ascii="宋体"/>
                <w:vanish/>
              </w:rPr>
            </w:pPr>
          </w:p>
        </w:tc>
        <w:tc>
          <w:tcPr>
            <w:tcW w:w="0" w:type="auto"/>
            <w:gridSpan w:val="3"/>
            <w:shd w:val="clear" w:color="auto" w:fill="auto"/>
            <w:vAlign w:val="center"/>
          </w:tcPr>
          <w:p w14:paraId="3693E710" w14:textId="77777777" w:rsidR="003734EC" w:rsidRDefault="003734EC">
            <w:pPr>
              <w:rPr>
                <w:rFonts w:ascii="宋体"/>
                <w:vanish/>
              </w:rPr>
            </w:pPr>
          </w:p>
        </w:tc>
        <w:tc>
          <w:tcPr>
            <w:tcW w:w="0" w:type="auto"/>
            <w:gridSpan w:val="3"/>
            <w:shd w:val="clear" w:color="auto" w:fill="auto"/>
            <w:vAlign w:val="center"/>
          </w:tcPr>
          <w:p w14:paraId="3693E711" w14:textId="77777777" w:rsidR="003734EC" w:rsidRDefault="003734EC">
            <w:pPr>
              <w:rPr>
                <w:rFonts w:ascii="宋体"/>
                <w:vanish/>
              </w:rPr>
            </w:pPr>
          </w:p>
        </w:tc>
      </w:tr>
      <w:tr w:rsidR="003734EC" w14:paraId="3693E724" w14:textId="77777777">
        <w:tc>
          <w:tcPr>
            <w:tcW w:w="0" w:type="auto"/>
            <w:gridSpan w:val="3"/>
            <w:shd w:val="clear" w:color="auto" w:fill="E2EFD9"/>
            <w:tcMar>
              <w:top w:w="40" w:type="dxa"/>
              <w:left w:w="20" w:type="dxa"/>
              <w:bottom w:w="40" w:type="dxa"/>
              <w:right w:w="20" w:type="dxa"/>
            </w:tcMar>
            <w:vAlign w:val="bottom"/>
          </w:tcPr>
          <w:p w14:paraId="3693E713" w14:textId="77777777" w:rsidR="003734EC" w:rsidRDefault="000E364E">
            <w:pPr>
              <w:textAlignment w:val="bottom"/>
            </w:pPr>
            <w:r>
              <w:rPr>
                <w:rFonts w:ascii="sans-serif" w:eastAsia="sans-serif" w:hAnsi="sans-serif" w:cs="sans-serif"/>
                <w:color w:val="000000"/>
                <w:sz w:val="20"/>
                <w:szCs w:val="20"/>
              </w:rPr>
              <w:t>Balances, January 26, 2020</w:t>
            </w:r>
          </w:p>
        </w:tc>
        <w:tc>
          <w:tcPr>
            <w:tcW w:w="0" w:type="auto"/>
            <w:gridSpan w:val="2"/>
            <w:shd w:val="clear" w:color="auto" w:fill="E2EFD9"/>
            <w:tcMar>
              <w:top w:w="40" w:type="dxa"/>
              <w:left w:w="20" w:type="dxa"/>
              <w:bottom w:w="40" w:type="dxa"/>
              <w:right w:w="0" w:type="dxa"/>
            </w:tcMar>
            <w:vAlign w:val="bottom"/>
          </w:tcPr>
          <w:p w14:paraId="3693E714" w14:textId="77777777" w:rsidR="003734EC" w:rsidRDefault="000E364E">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bottom w:w="40" w:type="dxa"/>
              <w:right w:w="20" w:type="dxa"/>
            </w:tcMar>
            <w:vAlign w:val="bottom"/>
          </w:tcPr>
          <w:p w14:paraId="3693E71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716"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717"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718" w14:textId="77777777" w:rsidR="003734EC" w:rsidRDefault="000E364E">
            <w:pPr>
              <w:jc w:val="right"/>
              <w:textAlignment w:val="bottom"/>
            </w:pPr>
            <w:r>
              <w:rPr>
                <w:rFonts w:ascii="sans-serif" w:eastAsia="sans-serif" w:hAnsi="sans-serif" w:cs="sans-serif"/>
                <w:color w:val="000000"/>
                <w:sz w:val="20"/>
                <w:szCs w:val="20"/>
              </w:rPr>
              <w:t>176.72 </w:t>
            </w:r>
          </w:p>
        </w:tc>
        <w:tc>
          <w:tcPr>
            <w:tcW w:w="0" w:type="auto"/>
            <w:shd w:val="clear" w:color="auto" w:fill="E2EFD9"/>
            <w:tcMar>
              <w:top w:w="40" w:type="dxa"/>
              <w:bottom w:w="40" w:type="dxa"/>
              <w:right w:w="20" w:type="dxa"/>
            </w:tcMar>
            <w:vAlign w:val="bottom"/>
          </w:tcPr>
          <w:p w14:paraId="3693E71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1A" w14:textId="77777777" w:rsidR="003734EC" w:rsidRDefault="003734EC">
            <w:pPr>
              <w:rPr>
                <w:rFonts w:ascii="宋体"/>
                <w:vanish/>
              </w:rPr>
            </w:pPr>
          </w:p>
        </w:tc>
        <w:tc>
          <w:tcPr>
            <w:tcW w:w="0" w:type="auto"/>
            <w:shd w:val="clear" w:color="auto" w:fill="auto"/>
            <w:vAlign w:val="center"/>
          </w:tcPr>
          <w:p w14:paraId="3693E71B" w14:textId="77777777" w:rsidR="003734EC" w:rsidRDefault="003734EC">
            <w:pPr>
              <w:rPr>
                <w:rFonts w:ascii="宋体"/>
                <w:vanish/>
              </w:rPr>
            </w:pPr>
          </w:p>
        </w:tc>
        <w:tc>
          <w:tcPr>
            <w:tcW w:w="0" w:type="auto"/>
            <w:shd w:val="clear" w:color="auto" w:fill="auto"/>
            <w:vAlign w:val="center"/>
          </w:tcPr>
          <w:p w14:paraId="3693E71C" w14:textId="77777777" w:rsidR="003734EC" w:rsidRDefault="003734EC">
            <w:pPr>
              <w:rPr>
                <w:rFonts w:ascii="宋体"/>
                <w:vanish/>
              </w:rPr>
            </w:pPr>
          </w:p>
        </w:tc>
        <w:tc>
          <w:tcPr>
            <w:tcW w:w="0" w:type="auto"/>
            <w:shd w:val="clear" w:color="auto" w:fill="auto"/>
            <w:vAlign w:val="center"/>
          </w:tcPr>
          <w:p w14:paraId="3693E71D" w14:textId="77777777" w:rsidR="003734EC" w:rsidRDefault="003734EC">
            <w:pPr>
              <w:rPr>
                <w:rFonts w:ascii="宋体"/>
                <w:vanish/>
              </w:rPr>
            </w:pPr>
          </w:p>
        </w:tc>
        <w:tc>
          <w:tcPr>
            <w:tcW w:w="0" w:type="auto"/>
            <w:shd w:val="clear" w:color="auto" w:fill="auto"/>
            <w:vAlign w:val="center"/>
          </w:tcPr>
          <w:p w14:paraId="3693E71E" w14:textId="77777777" w:rsidR="003734EC" w:rsidRDefault="003734EC">
            <w:pPr>
              <w:rPr>
                <w:rFonts w:ascii="宋体"/>
              </w:rPr>
            </w:pPr>
          </w:p>
        </w:tc>
        <w:tc>
          <w:tcPr>
            <w:tcW w:w="0" w:type="auto"/>
            <w:shd w:val="clear" w:color="auto" w:fill="auto"/>
            <w:vAlign w:val="center"/>
          </w:tcPr>
          <w:p w14:paraId="3693E71F" w14:textId="77777777" w:rsidR="003734EC" w:rsidRDefault="003734EC">
            <w:pPr>
              <w:rPr>
                <w:rFonts w:ascii="宋体"/>
              </w:rPr>
            </w:pPr>
          </w:p>
        </w:tc>
        <w:tc>
          <w:tcPr>
            <w:tcW w:w="0" w:type="auto"/>
            <w:shd w:val="clear" w:color="auto" w:fill="auto"/>
            <w:vAlign w:val="center"/>
          </w:tcPr>
          <w:p w14:paraId="3693E720" w14:textId="77777777" w:rsidR="003734EC" w:rsidRDefault="003734EC">
            <w:pPr>
              <w:rPr>
                <w:rFonts w:ascii="宋体"/>
              </w:rPr>
            </w:pPr>
          </w:p>
        </w:tc>
        <w:tc>
          <w:tcPr>
            <w:tcW w:w="0" w:type="auto"/>
            <w:shd w:val="clear" w:color="auto" w:fill="auto"/>
            <w:vAlign w:val="center"/>
          </w:tcPr>
          <w:p w14:paraId="3693E721" w14:textId="77777777" w:rsidR="003734EC" w:rsidRDefault="003734EC">
            <w:pPr>
              <w:rPr>
                <w:rFonts w:ascii="宋体"/>
              </w:rPr>
            </w:pPr>
          </w:p>
        </w:tc>
        <w:tc>
          <w:tcPr>
            <w:tcW w:w="0" w:type="auto"/>
            <w:shd w:val="clear" w:color="auto" w:fill="auto"/>
            <w:vAlign w:val="center"/>
          </w:tcPr>
          <w:p w14:paraId="3693E722" w14:textId="77777777" w:rsidR="003734EC" w:rsidRDefault="003734EC">
            <w:pPr>
              <w:rPr>
                <w:rFonts w:ascii="宋体"/>
              </w:rPr>
            </w:pPr>
          </w:p>
        </w:tc>
        <w:tc>
          <w:tcPr>
            <w:tcW w:w="0" w:type="auto"/>
            <w:shd w:val="clear" w:color="auto" w:fill="auto"/>
            <w:vAlign w:val="center"/>
          </w:tcPr>
          <w:p w14:paraId="3693E723" w14:textId="77777777" w:rsidR="003734EC" w:rsidRDefault="003734EC">
            <w:pPr>
              <w:rPr>
                <w:rFonts w:ascii="宋体"/>
              </w:rPr>
            </w:pPr>
          </w:p>
        </w:tc>
      </w:tr>
      <w:tr w:rsidR="003734EC" w14:paraId="3693E736" w14:textId="77777777">
        <w:tc>
          <w:tcPr>
            <w:tcW w:w="0" w:type="auto"/>
            <w:gridSpan w:val="3"/>
            <w:shd w:val="clear" w:color="auto" w:fill="FFFFFF"/>
            <w:tcMar>
              <w:top w:w="40" w:type="dxa"/>
              <w:left w:w="360" w:type="dxa"/>
              <w:bottom w:w="40" w:type="dxa"/>
              <w:right w:w="20" w:type="dxa"/>
            </w:tcMar>
            <w:vAlign w:val="bottom"/>
          </w:tcPr>
          <w:p w14:paraId="3693E725" w14:textId="77777777" w:rsidR="003734EC" w:rsidRDefault="000E364E">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693E726"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3693E72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72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72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72A" w14:textId="77777777" w:rsidR="003734EC" w:rsidRDefault="000E364E">
            <w:pPr>
              <w:jc w:val="right"/>
              <w:textAlignment w:val="bottom"/>
            </w:pPr>
            <w:r>
              <w:rPr>
                <w:rFonts w:ascii="sans-serif" w:eastAsia="sans-serif" w:hAnsi="sans-serif" w:cs="sans-serif"/>
                <w:color w:val="000000"/>
                <w:sz w:val="20"/>
                <w:szCs w:val="20"/>
              </w:rPr>
              <w:t>254.61 </w:t>
            </w:r>
          </w:p>
        </w:tc>
        <w:tc>
          <w:tcPr>
            <w:tcW w:w="0" w:type="auto"/>
            <w:shd w:val="clear" w:color="auto" w:fill="FFFFFF"/>
            <w:tcMar>
              <w:top w:w="40" w:type="dxa"/>
              <w:bottom w:w="40" w:type="dxa"/>
              <w:right w:w="20" w:type="dxa"/>
            </w:tcMar>
            <w:vAlign w:val="bottom"/>
          </w:tcPr>
          <w:p w14:paraId="3693E72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2C" w14:textId="77777777" w:rsidR="003734EC" w:rsidRDefault="003734EC">
            <w:pPr>
              <w:rPr>
                <w:rFonts w:ascii="宋体"/>
                <w:vanish/>
              </w:rPr>
            </w:pPr>
          </w:p>
        </w:tc>
        <w:tc>
          <w:tcPr>
            <w:tcW w:w="0" w:type="auto"/>
            <w:shd w:val="clear" w:color="auto" w:fill="auto"/>
            <w:vAlign w:val="center"/>
          </w:tcPr>
          <w:p w14:paraId="3693E72D" w14:textId="77777777" w:rsidR="003734EC" w:rsidRDefault="003734EC">
            <w:pPr>
              <w:rPr>
                <w:rFonts w:ascii="宋体"/>
                <w:vanish/>
              </w:rPr>
            </w:pPr>
          </w:p>
        </w:tc>
        <w:tc>
          <w:tcPr>
            <w:tcW w:w="0" w:type="auto"/>
            <w:shd w:val="clear" w:color="auto" w:fill="auto"/>
            <w:vAlign w:val="center"/>
          </w:tcPr>
          <w:p w14:paraId="3693E72E" w14:textId="77777777" w:rsidR="003734EC" w:rsidRDefault="003734EC">
            <w:pPr>
              <w:rPr>
                <w:rFonts w:ascii="宋体"/>
                <w:vanish/>
              </w:rPr>
            </w:pPr>
          </w:p>
        </w:tc>
        <w:tc>
          <w:tcPr>
            <w:tcW w:w="0" w:type="auto"/>
            <w:shd w:val="clear" w:color="auto" w:fill="auto"/>
            <w:vAlign w:val="center"/>
          </w:tcPr>
          <w:p w14:paraId="3693E72F" w14:textId="77777777" w:rsidR="003734EC" w:rsidRDefault="003734EC">
            <w:pPr>
              <w:rPr>
                <w:rFonts w:ascii="宋体"/>
                <w:vanish/>
              </w:rPr>
            </w:pPr>
          </w:p>
        </w:tc>
        <w:tc>
          <w:tcPr>
            <w:tcW w:w="0" w:type="auto"/>
            <w:shd w:val="clear" w:color="auto" w:fill="auto"/>
            <w:vAlign w:val="center"/>
          </w:tcPr>
          <w:p w14:paraId="3693E730" w14:textId="77777777" w:rsidR="003734EC" w:rsidRDefault="003734EC">
            <w:pPr>
              <w:rPr>
                <w:rFonts w:ascii="宋体"/>
              </w:rPr>
            </w:pPr>
          </w:p>
        </w:tc>
        <w:tc>
          <w:tcPr>
            <w:tcW w:w="0" w:type="auto"/>
            <w:shd w:val="clear" w:color="auto" w:fill="auto"/>
            <w:vAlign w:val="center"/>
          </w:tcPr>
          <w:p w14:paraId="3693E731" w14:textId="77777777" w:rsidR="003734EC" w:rsidRDefault="003734EC">
            <w:pPr>
              <w:rPr>
                <w:rFonts w:ascii="宋体"/>
              </w:rPr>
            </w:pPr>
          </w:p>
        </w:tc>
        <w:tc>
          <w:tcPr>
            <w:tcW w:w="0" w:type="auto"/>
            <w:shd w:val="clear" w:color="auto" w:fill="auto"/>
            <w:vAlign w:val="center"/>
          </w:tcPr>
          <w:p w14:paraId="3693E732" w14:textId="77777777" w:rsidR="003734EC" w:rsidRDefault="003734EC">
            <w:pPr>
              <w:rPr>
                <w:rFonts w:ascii="宋体"/>
              </w:rPr>
            </w:pPr>
          </w:p>
        </w:tc>
        <w:tc>
          <w:tcPr>
            <w:tcW w:w="0" w:type="auto"/>
            <w:shd w:val="clear" w:color="auto" w:fill="auto"/>
            <w:vAlign w:val="center"/>
          </w:tcPr>
          <w:p w14:paraId="3693E733" w14:textId="77777777" w:rsidR="003734EC" w:rsidRDefault="003734EC">
            <w:pPr>
              <w:rPr>
                <w:rFonts w:ascii="宋体"/>
              </w:rPr>
            </w:pPr>
          </w:p>
        </w:tc>
        <w:tc>
          <w:tcPr>
            <w:tcW w:w="0" w:type="auto"/>
            <w:shd w:val="clear" w:color="auto" w:fill="auto"/>
            <w:vAlign w:val="center"/>
          </w:tcPr>
          <w:p w14:paraId="3693E734" w14:textId="77777777" w:rsidR="003734EC" w:rsidRDefault="003734EC">
            <w:pPr>
              <w:rPr>
                <w:rFonts w:ascii="宋体"/>
              </w:rPr>
            </w:pPr>
          </w:p>
        </w:tc>
        <w:tc>
          <w:tcPr>
            <w:tcW w:w="0" w:type="auto"/>
            <w:shd w:val="clear" w:color="auto" w:fill="auto"/>
            <w:vAlign w:val="center"/>
          </w:tcPr>
          <w:p w14:paraId="3693E735" w14:textId="77777777" w:rsidR="003734EC" w:rsidRDefault="003734EC">
            <w:pPr>
              <w:rPr>
                <w:rFonts w:ascii="宋体"/>
              </w:rPr>
            </w:pPr>
          </w:p>
        </w:tc>
      </w:tr>
      <w:tr w:rsidR="003734EC" w14:paraId="3693E745" w14:textId="77777777">
        <w:trPr>
          <w:hidden/>
        </w:trPr>
        <w:tc>
          <w:tcPr>
            <w:tcW w:w="0" w:type="auto"/>
            <w:gridSpan w:val="3"/>
            <w:shd w:val="clear" w:color="auto" w:fill="auto"/>
            <w:vAlign w:val="center"/>
          </w:tcPr>
          <w:p w14:paraId="3693E737" w14:textId="77777777" w:rsidR="003734EC" w:rsidRDefault="003734EC">
            <w:pPr>
              <w:rPr>
                <w:rFonts w:ascii="宋体"/>
                <w:vanish/>
              </w:rPr>
            </w:pPr>
          </w:p>
        </w:tc>
        <w:tc>
          <w:tcPr>
            <w:tcW w:w="0" w:type="auto"/>
            <w:gridSpan w:val="3"/>
            <w:shd w:val="clear" w:color="auto" w:fill="auto"/>
            <w:vAlign w:val="center"/>
          </w:tcPr>
          <w:p w14:paraId="3693E738" w14:textId="77777777" w:rsidR="003734EC" w:rsidRDefault="003734EC">
            <w:pPr>
              <w:rPr>
                <w:rFonts w:ascii="宋体"/>
                <w:vanish/>
              </w:rPr>
            </w:pPr>
          </w:p>
        </w:tc>
        <w:tc>
          <w:tcPr>
            <w:tcW w:w="0" w:type="auto"/>
            <w:gridSpan w:val="3"/>
            <w:shd w:val="clear" w:color="auto" w:fill="auto"/>
            <w:vAlign w:val="center"/>
          </w:tcPr>
          <w:p w14:paraId="3693E739" w14:textId="77777777" w:rsidR="003734EC" w:rsidRDefault="003734EC">
            <w:pPr>
              <w:rPr>
                <w:rFonts w:ascii="宋体"/>
                <w:vanish/>
              </w:rPr>
            </w:pPr>
          </w:p>
        </w:tc>
        <w:tc>
          <w:tcPr>
            <w:tcW w:w="0" w:type="auto"/>
            <w:gridSpan w:val="3"/>
            <w:shd w:val="clear" w:color="auto" w:fill="auto"/>
            <w:vAlign w:val="center"/>
          </w:tcPr>
          <w:p w14:paraId="3693E73A" w14:textId="77777777" w:rsidR="003734EC" w:rsidRDefault="003734EC">
            <w:pPr>
              <w:rPr>
                <w:rFonts w:ascii="宋体"/>
                <w:vanish/>
              </w:rPr>
            </w:pPr>
          </w:p>
        </w:tc>
        <w:tc>
          <w:tcPr>
            <w:tcW w:w="0" w:type="auto"/>
            <w:shd w:val="clear" w:color="auto" w:fill="auto"/>
            <w:vAlign w:val="center"/>
          </w:tcPr>
          <w:p w14:paraId="3693E73B" w14:textId="77777777" w:rsidR="003734EC" w:rsidRDefault="003734EC">
            <w:pPr>
              <w:rPr>
                <w:rFonts w:ascii="宋体"/>
                <w:vanish/>
              </w:rPr>
            </w:pPr>
          </w:p>
        </w:tc>
        <w:tc>
          <w:tcPr>
            <w:tcW w:w="0" w:type="auto"/>
            <w:shd w:val="clear" w:color="auto" w:fill="auto"/>
            <w:vAlign w:val="center"/>
          </w:tcPr>
          <w:p w14:paraId="3693E73C" w14:textId="77777777" w:rsidR="003734EC" w:rsidRDefault="003734EC">
            <w:pPr>
              <w:rPr>
                <w:rFonts w:ascii="宋体"/>
                <w:vanish/>
              </w:rPr>
            </w:pPr>
          </w:p>
        </w:tc>
        <w:tc>
          <w:tcPr>
            <w:tcW w:w="0" w:type="auto"/>
            <w:shd w:val="clear" w:color="auto" w:fill="auto"/>
            <w:vAlign w:val="center"/>
          </w:tcPr>
          <w:p w14:paraId="3693E73D" w14:textId="77777777" w:rsidR="003734EC" w:rsidRDefault="003734EC">
            <w:pPr>
              <w:rPr>
                <w:rFonts w:ascii="宋体"/>
                <w:vanish/>
              </w:rPr>
            </w:pPr>
          </w:p>
        </w:tc>
        <w:tc>
          <w:tcPr>
            <w:tcW w:w="0" w:type="auto"/>
            <w:shd w:val="clear" w:color="auto" w:fill="auto"/>
            <w:vAlign w:val="center"/>
          </w:tcPr>
          <w:p w14:paraId="3693E73E" w14:textId="77777777" w:rsidR="003734EC" w:rsidRDefault="003734EC">
            <w:pPr>
              <w:rPr>
                <w:rFonts w:ascii="宋体"/>
                <w:vanish/>
              </w:rPr>
            </w:pPr>
          </w:p>
        </w:tc>
        <w:tc>
          <w:tcPr>
            <w:tcW w:w="0" w:type="auto"/>
            <w:shd w:val="clear" w:color="auto" w:fill="auto"/>
            <w:vAlign w:val="center"/>
          </w:tcPr>
          <w:p w14:paraId="3693E73F" w14:textId="77777777" w:rsidR="003734EC" w:rsidRDefault="003734EC">
            <w:pPr>
              <w:rPr>
                <w:rFonts w:ascii="宋体"/>
              </w:rPr>
            </w:pPr>
          </w:p>
        </w:tc>
        <w:tc>
          <w:tcPr>
            <w:tcW w:w="0" w:type="auto"/>
            <w:shd w:val="clear" w:color="auto" w:fill="auto"/>
            <w:vAlign w:val="center"/>
          </w:tcPr>
          <w:p w14:paraId="3693E740" w14:textId="77777777" w:rsidR="003734EC" w:rsidRDefault="003734EC">
            <w:pPr>
              <w:rPr>
                <w:rFonts w:ascii="宋体"/>
              </w:rPr>
            </w:pPr>
          </w:p>
        </w:tc>
        <w:tc>
          <w:tcPr>
            <w:tcW w:w="0" w:type="auto"/>
            <w:shd w:val="clear" w:color="auto" w:fill="auto"/>
            <w:vAlign w:val="center"/>
          </w:tcPr>
          <w:p w14:paraId="3693E741" w14:textId="77777777" w:rsidR="003734EC" w:rsidRDefault="003734EC">
            <w:pPr>
              <w:rPr>
                <w:rFonts w:ascii="宋体"/>
              </w:rPr>
            </w:pPr>
          </w:p>
        </w:tc>
        <w:tc>
          <w:tcPr>
            <w:tcW w:w="0" w:type="auto"/>
            <w:shd w:val="clear" w:color="auto" w:fill="auto"/>
            <w:vAlign w:val="center"/>
          </w:tcPr>
          <w:p w14:paraId="3693E742" w14:textId="77777777" w:rsidR="003734EC" w:rsidRDefault="003734EC">
            <w:pPr>
              <w:rPr>
                <w:rFonts w:ascii="宋体"/>
              </w:rPr>
            </w:pPr>
          </w:p>
        </w:tc>
        <w:tc>
          <w:tcPr>
            <w:tcW w:w="0" w:type="auto"/>
            <w:shd w:val="clear" w:color="auto" w:fill="auto"/>
            <w:vAlign w:val="center"/>
          </w:tcPr>
          <w:p w14:paraId="3693E743" w14:textId="77777777" w:rsidR="003734EC" w:rsidRDefault="003734EC">
            <w:pPr>
              <w:rPr>
                <w:rFonts w:ascii="宋体"/>
              </w:rPr>
            </w:pPr>
          </w:p>
        </w:tc>
        <w:tc>
          <w:tcPr>
            <w:tcW w:w="0" w:type="auto"/>
            <w:shd w:val="clear" w:color="auto" w:fill="auto"/>
            <w:vAlign w:val="center"/>
          </w:tcPr>
          <w:p w14:paraId="3693E744" w14:textId="77777777" w:rsidR="003734EC" w:rsidRDefault="003734EC">
            <w:pPr>
              <w:rPr>
                <w:rFonts w:ascii="宋体"/>
              </w:rPr>
            </w:pPr>
          </w:p>
        </w:tc>
      </w:tr>
      <w:tr w:rsidR="003734EC" w14:paraId="3693E757" w14:textId="77777777">
        <w:tc>
          <w:tcPr>
            <w:tcW w:w="0" w:type="auto"/>
            <w:gridSpan w:val="3"/>
            <w:shd w:val="clear" w:color="auto" w:fill="E2EFD9"/>
            <w:tcMar>
              <w:top w:w="40" w:type="dxa"/>
              <w:left w:w="360" w:type="dxa"/>
              <w:bottom w:w="40" w:type="dxa"/>
              <w:right w:w="20" w:type="dxa"/>
            </w:tcMar>
            <w:vAlign w:val="bottom"/>
          </w:tcPr>
          <w:p w14:paraId="3693E746" w14:textId="77777777" w:rsidR="003734EC" w:rsidRDefault="000E364E">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3693E747" w14:textId="77777777" w:rsidR="003734EC" w:rsidRDefault="000E364E">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bottom w:w="40" w:type="dxa"/>
              <w:right w:w="20" w:type="dxa"/>
            </w:tcMar>
            <w:vAlign w:val="bottom"/>
          </w:tcPr>
          <w:p w14:paraId="3693E74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74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74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74B" w14:textId="77777777" w:rsidR="003734EC" w:rsidRDefault="000E364E">
            <w:pPr>
              <w:jc w:val="right"/>
              <w:textAlignment w:val="bottom"/>
            </w:pPr>
            <w:r>
              <w:rPr>
                <w:rFonts w:ascii="sans-serif" w:eastAsia="sans-serif" w:hAnsi="sans-serif" w:cs="sans-serif"/>
                <w:color w:val="000000"/>
                <w:sz w:val="20"/>
                <w:szCs w:val="20"/>
              </w:rPr>
              <w:t>144.27 </w:t>
            </w:r>
          </w:p>
        </w:tc>
        <w:tc>
          <w:tcPr>
            <w:tcW w:w="0" w:type="auto"/>
            <w:shd w:val="clear" w:color="auto" w:fill="E2EFD9"/>
            <w:tcMar>
              <w:top w:w="40" w:type="dxa"/>
              <w:bottom w:w="40" w:type="dxa"/>
              <w:right w:w="20" w:type="dxa"/>
            </w:tcMar>
            <w:vAlign w:val="bottom"/>
          </w:tcPr>
          <w:p w14:paraId="3693E74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4D" w14:textId="77777777" w:rsidR="003734EC" w:rsidRDefault="003734EC">
            <w:pPr>
              <w:rPr>
                <w:rFonts w:ascii="宋体"/>
                <w:vanish/>
              </w:rPr>
            </w:pPr>
          </w:p>
        </w:tc>
        <w:tc>
          <w:tcPr>
            <w:tcW w:w="0" w:type="auto"/>
            <w:shd w:val="clear" w:color="auto" w:fill="auto"/>
            <w:vAlign w:val="center"/>
          </w:tcPr>
          <w:p w14:paraId="3693E74E" w14:textId="77777777" w:rsidR="003734EC" w:rsidRDefault="003734EC">
            <w:pPr>
              <w:rPr>
                <w:rFonts w:ascii="宋体"/>
                <w:vanish/>
              </w:rPr>
            </w:pPr>
          </w:p>
        </w:tc>
        <w:tc>
          <w:tcPr>
            <w:tcW w:w="0" w:type="auto"/>
            <w:shd w:val="clear" w:color="auto" w:fill="auto"/>
            <w:vAlign w:val="center"/>
          </w:tcPr>
          <w:p w14:paraId="3693E74F" w14:textId="77777777" w:rsidR="003734EC" w:rsidRDefault="003734EC">
            <w:pPr>
              <w:rPr>
                <w:rFonts w:ascii="宋体"/>
                <w:vanish/>
              </w:rPr>
            </w:pPr>
          </w:p>
        </w:tc>
        <w:tc>
          <w:tcPr>
            <w:tcW w:w="0" w:type="auto"/>
            <w:shd w:val="clear" w:color="auto" w:fill="auto"/>
            <w:vAlign w:val="center"/>
          </w:tcPr>
          <w:p w14:paraId="3693E750" w14:textId="77777777" w:rsidR="003734EC" w:rsidRDefault="003734EC">
            <w:pPr>
              <w:rPr>
                <w:rFonts w:ascii="宋体"/>
                <w:vanish/>
              </w:rPr>
            </w:pPr>
          </w:p>
        </w:tc>
        <w:tc>
          <w:tcPr>
            <w:tcW w:w="0" w:type="auto"/>
            <w:shd w:val="clear" w:color="auto" w:fill="auto"/>
            <w:vAlign w:val="center"/>
          </w:tcPr>
          <w:p w14:paraId="3693E751" w14:textId="77777777" w:rsidR="003734EC" w:rsidRDefault="003734EC">
            <w:pPr>
              <w:rPr>
                <w:rFonts w:ascii="宋体"/>
              </w:rPr>
            </w:pPr>
          </w:p>
        </w:tc>
        <w:tc>
          <w:tcPr>
            <w:tcW w:w="0" w:type="auto"/>
            <w:shd w:val="clear" w:color="auto" w:fill="auto"/>
            <w:vAlign w:val="center"/>
          </w:tcPr>
          <w:p w14:paraId="3693E752" w14:textId="77777777" w:rsidR="003734EC" w:rsidRDefault="003734EC">
            <w:pPr>
              <w:rPr>
                <w:rFonts w:ascii="宋体"/>
              </w:rPr>
            </w:pPr>
          </w:p>
        </w:tc>
        <w:tc>
          <w:tcPr>
            <w:tcW w:w="0" w:type="auto"/>
            <w:shd w:val="clear" w:color="auto" w:fill="auto"/>
            <w:vAlign w:val="center"/>
          </w:tcPr>
          <w:p w14:paraId="3693E753" w14:textId="77777777" w:rsidR="003734EC" w:rsidRDefault="003734EC">
            <w:pPr>
              <w:rPr>
                <w:rFonts w:ascii="宋体"/>
              </w:rPr>
            </w:pPr>
          </w:p>
        </w:tc>
        <w:tc>
          <w:tcPr>
            <w:tcW w:w="0" w:type="auto"/>
            <w:shd w:val="clear" w:color="auto" w:fill="auto"/>
            <w:vAlign w:val="center"/>
          </w:tcPr>
          <w:p w14:paraId="3693E754" w14:textId="77777777" w:rsidR="003734EC" w:rsidRDefault="003734EC">
            <w:pPr>
              <w:rPr>
                <w:rFonts w:ascii="宋体"/>
              </w:rPr>
            </w:pPr>
          </w:p>
        </w:tc>
        <w:tc>
          <w:tcPr>
            <w:tcW w:w="0" w:type="auto"/>
            <w:shd w:val="clear" w:color="auto" w:fill="auto"/>
            <w:vAlign w:val="center"/>
          </w:tcPr>
          <w:p w14:paraId="3693E755" w14:textId="77777777" w:rsidR="003734EC" w:rsidRDefault="003734EC">
            <w:pPr>
              <w:rPr>
                <w:rFonts w:ascii="宋体"/>
              </w:rPr>
            </w:pPr>
          </w:p>
        </w:tc>
        <w:tc>
          <w:tcPr>
            <w:tcW w:w="0" w:type="auto"/>
            <w:shd w:val="clear" w:color="auto" w:fill="auto"/>
            <w:vAlign w:val="center"/>
          </w:tcPr>
          <w:p w14:paraId="3693E756" w14:textId="77777777" w:rsidR="003734EC" w:rsidRDefault="003734EC">
            <w:pPr>
              <w:rPr>
                <w:rFonts w:ascii="宋体"/>
              </w:rPr>
            </w:pPr>
          </w:p>
        </w:tc>
      </w:tr>
      <w:tr w:rsidR="003734EC" w14:paraId="3693E769" w14:textId="77777777">
        <w:tc>
          <w:tcPr>
            <w:tcW w:w="0" w:type="auto"/>
            <w:gridSpan w:val="3"/>
            <w:shd w:val="clear" w:color="auto" w:fill="FFFFFF"/>
            <w:tcMar>
              <w:top w:w="40" w:type="dxa"/>
              <w:left w:w="360" w:type="dxa"/>
              <w:bottom w:w="40" w:type="dxa"/>
              <w:right w:w="20" w:type="dxa"/>
            </w:tcMar>
            <w:vAlign w:val="bottom"/>
          </w:tcPr>
          <w:p w14:paraId="3693E758" w14:textId="77777777" w:rsidR="003734EC" w:rsidRDefault="000E364E">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3693E759"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bottom w:w="40" w:type="dxa"/>
              <w:right w:w="20" w:type="dxa"/>
            </w:tcMar>
            <w:vAlign w:val="bottom"/>
          </w:tcPr>
          <w:p w14:paraId="3693E75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75B"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75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75D" w14:textId="77777777" w:rsidR="003734EC" w:rsidRDefault="000E364E">
            <w:pPr>
              <w:jc w:val="right"/>
              <w:textAlignment w:val="bottom"/>
            </w:pPr>
            <w:r>
              <w:rPr>
                <w:rFonts w:ascii="sans-serif" w:eastAsia="sans-serif" w:hAnsi="sans-serif" w:cs="sans-serif"/>
                <w:color w:val="000000"/>
                <w:sz w:val="20"/>
                <w:szCs w:val="20"/>
              </w:rPr>
              <w:t>161.66 </w:t>
            </w:r>
          </w:p>
        </w:tc>
        <w:tc>
          <w:tcPr>
            <w:tcW w:w="0" w:type="auto"/>
            <w:shd w:val="clear" w:color="auto" w:fill="FFFFFF"/>
            <w:tcMar>
              <w:top w:w="40" w:type="dxa"/>
              <w:bottom w:w="40" w:type="dxa"/>
              <w:right w:w="20" w:type="dxa"/>
            </w:tcMar>
            <w:vAlign w:val="bottom"/>
          </w:tcPr>
          <w:p w14:paraId="3693E75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5F" w14:textId="77777777" w:rsidR="003734EC" w:rsidRDefault="003734EC">
            <w:pPr>
              <w:rPr>
                <w:rFonts w:ascii="宋体"/>
                <w:vanish/>
              </w:rPr>
            </w:pPr>
          </w:p>
        </w:tc>
        <w:tc>
          <w:tcPr>
            <w:tcW w:w="0" w:type="auto"/>
            <w:shd w:val="clear" w:color="auto" w:fill="auto"/>
            <w:vAlign w:val="center"/>
          </w:tcPr>
          <w:p w14:paraId="3693E760" w14:textId="77777777" w:rsidR="003734EC" w:rsidRDefault="003734EC">
            <w:pPr>
              <w:rPr>
                <w:rFonts w:ascii="宋体"/>
                <w:vanish/>
              </w:rPr>
            </w:pPr>
          </w:p>
        </w:tc>
        <w:tc>
          <w:tcPr>
            <w:tcW w:w="0" w:type="auto"/>
            <w:shd w:val="clear" w:color="auto" w:fill="auto"/>
            <w:vAlign w:val="center"/>
          </w:tcPr>
          <w:p w14:paraId="3693E761" w14:textId="77777777" w:rsidR="003734EC" w:rsidRDefault="003734EC">
            <w:pPr>
              <w:rPr>
                <w:rFonts w:ascii="宋体"/>
                <w:vanish/>
              </w:rPr>
            </w:pPr>
          </w:p>
        </w:tc>
        <w:tc>
          <w:tcPr>
            <w:tcW w:w="0" w:type="auto"/>
            <w:shd w:val="clear" w:color="auto" w:fill="auto"/>
            <w:vAlign w:val="center"/>
          </w:tcPr>
          <w:p w14:paraId="3693E762" w14:textId="77777777" w:rsidR="003734EC" w:rsidRDefault="003734EC">
            <w:pPr>
              <w:rPr>
                <w:rFonts w:ascii="宋体"/>
                <w:vanish/>
              </w:rPr>
            </w:pPr>
          </w:p>
        </w:tc>
        <w:tc>
          <w:tcPr>
            <w:tcW w:w="0" w:type="auto"/>
            <w:shd w:val="clear" w:color="auto" w:fill="auto"/>
            <w:vAlign w:val="center"/>
          </w:tcPr>
          <w:p w14:paraId="3693E763" w14:textId="77777777" w:rsidR="003734EC" w:rsidRDefault="003734EC">
            <w:pPr>
              <w:rPr>
                <w:rFonts w:ascii="宋体"/>
              </w:rPr>
            </w:pPr>
          </w:p>
        </w:tc>
        <w:tc>
          <w:tcPr>
            <w:tcW w:w="0" w:type="auto"/>
            <w:shd w:val="clear" w:color="auto" w:fill="auto"/>
            <w:vAlign w:val="center"/>
          </w:tcPr>
          <w:p w14:paraId="3693E764" w14:textId="77777777" w:rsidR="003734EC" w:rsidRDefault="003734EC">
            <w:pPr>
              <w:rPr>
                <w:rFonts w:ascii="宋体"/>
              </w:rPr>
            </w:pPr>
          </w:p>
        </w:tc>
        <w:tc>
          <w:tcPr>
            <w:tcW w:w="0" w:type="auto"/>
            <w:shd w:val="clear" w:color="auto" w:fill="auto"/>
            <w:vAlign w:val="center"/>
          </w:tcPr>
          <w:p w14:paraId="3693E765" w14:textId="77777777" w:rsidR="003734EC" w:rsidRDefault="003734EC">
            <w:pPr>
              <w:rPr>
                <w:rFonts w:ascii="宋体"/>
              </w:rPr>
            </w:pPr>
          </w:p>
        </w:tc>
        <w:tc>
          <w:tcPr>
            <w:tcW w:w="0" w:type="auto"/>
            <w:shd w:val="clear" w:color="auto" w:fill="auto"/>
            <w:vAlign w:val="center"/>
          </w:tcPr>
          <w:p w14:paraId="3693E766" w14:textId="77777777" w:rsidR="003734EC" w:rsidRDefault="003734EC">
            <w:pPr>
              <w:rPr>
                <w:rFonts w:ascii="宋体"/>
              </w:rPr>
            </w:pPr>
          </w:p>
        </w:tc>
        <w:tc>
          <w:tcPr>
            <w:tcW w:w="0" w:type="auto"/>
            <w:shd w:val="clear" w:color="auto" w:fill="auto"/>
            <w:vAlign w:val="center"/>
          </w:tcPr>
          <w:p w14:paraId="3693E767" w14:textId="77777777" w:rsidR="003734EC" w:rsidRDefault="003734EC">
            <w:pPr>
              <w:rPr>
                <w:rFonts w:ascii="宋体"/>
              </w:rPr>
            </w:pPr>
          </w:p>
        </w:tc>
        <w:tc>
          <w:tcPr>
            <w:tcW w:w="0" w:type="auto"/>
            <w:shd w:val="clear" w:color="auto" w:fill="auto"/>
            <w:vAlign w:val="center"/>
          </w:tcPr>
          <w:p w14:paraId="3693E768" w14:textId="77777777" w:rsidR="003734EC" w:rsidRDefault="003734EC">
            <w:pPr>
              <w:rPr>
                <w:rFonts w:ascii="宋体"/>
              </w:rPr>
            </w:pPr>
          </w:p>
        </w:tc>
      </w:tr>
      <w:tr w:rsidR="003734EC" w14:paraId="3693E77B" w14:textId="77777777">
        <w:tc>
          <w:tcPr>
            <w:tcW w:w="0" w:type="auto"/>
            <w:gridSpan w:val="3"/>
            <w:shd w:val="clear" w:color="auto" w:fill="E2EFD9"/>
            <w:tcMar>
              <w:top w:w="40" w:type="dxa"/>
              <w:left w:w="20" w:type="dxa"/>
              <w:bottom w:w="40" w:type="dxa"/>
              <w:right w:w="20" w:type="dxa"/>
            </w:tcMar>
            <w:vAlign w:val="bottom"/>
          </w:tcPr>
          <w:p w14:paraId="3693E76A" w14:textId="77777777" w:rsidR="003734EC" w:rsidRDefault="000E364E">
            <w:pPr>
              <w:textAlignment w:val="bottom"/>
            </w:pPr>
            <w:r>
              <w:rPr>
                <w:rFonts w:ascii="sans-serif" w:eastAsia="sans-serif" w:hAnsi="sans-serif" w:cs="sans-serif"/>
                <w:color w:val="000000"/>
                <w:sz w:val="20"/>
                <w:szCs w:val="20"/>
              </w:rPr>
              <w:t>Balances, April 26, 2020</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3693E76B" w14:textId="77777777" w:rsidR="003734EC" w:rsidRDefault="000E364E">
            <w:pPr>
              <w:jc w:val="right"/>
              <w:textAlignment w:val="bottom"/>
            </w:pPr>
            <w:r>
              <w:rPr>
                <w:rFonts w:ascii="sans-serif" w:eastAsia="sans-serif" w:hAnsi="sans-serif" w:cs="sans-serif"/>
                <w:color w:val="000000"/>
                <w:sz w:val="20"/>
                <w:szCs w:val="20"/>
              </w:rPr>
              <w:t>11 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76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76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76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76F" w14:textId="77777777" w:rsidR="003734EC" w:rsidRDefault="000E364E">
            <w:pPr>
              <w:jc w:val="right"/>
              <w:textAlignment w:val="bottom"/>
            </w:pPr>
            <w:r>
              <w:rPr>
                <w:rFonts w:ascii="sans-serif" w:eastAsia="sans-serif" w:hAnsi="sans-serif" w:cs="sans-serif"/>
                <w:color w:val="000000"/>
                <w:sz w:val="20"/>
                <w:szCs w:val="20"/>
              </w:rPr>
              <w:t>191.23 </w:t>
            </w:r>
          </w:p>
        </w:tc>
        <w:tc>
          <w:tcPr>
            <w:tcW w:w="0" w:type="auto"/>
            <w:shd w:val="clear" w:color="auto" w:fill="E2EFD9"/>
            <w:tcMar>
              <w:top w:w="40" w:type="dxa"/>
              <w:bottom w:w="40" w:type="dxa"/>
              <w:right w:w="20" w:type="dxa"/>
            </w:tcMar>
            <w:vAlign w:val="bottom"/>
          </w:tcPr>
          <w:p w14:paraId="3693E77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71" w14:textId="77777777" w:rsidR="003734EC" w:rsidRDefault="003734EC">
            <w:pPr>
              <w:rPr>
                <w:rFonts w:ascii="宋体"/>
                <w:vanish/>
              </w:rPr>
            </w:pPr>
          </w:p>
        </w:tc>
        <w:tc>
          <w:tcPr>
            <w:tcW w:w="0" w:type="auto"/>
            <w:shd w:val="clear" w:color="auto" w:fill="auto"/>
            <w:vAlign w:val="center"/>
          </w:tcPr>
          <w:p w14:paraId="3693E772" w14:textId="77777777" w:rsidR="003734EC" w:rsidRDefault="003734EC">
            <w:pPr>
              <w:rPr>
                <w:rFonts w:ascii="宋体"/>
                <w:vanish/>
              </w:rPr>
            </w:pPr>
          </w:p>
        </w:tc>
        <w:tc>
          <w:tcPr>
            <w:tcW w:w="0" w:type="auto"/>
            <w:shd w:val="clear" w:color="auto" w:fill="auto"/>
            <w:vAlign w:val="center"/>
          </w:tcPr>
          <w:p w14:paraId="3693E773" w14:textId="77777777" w:rsidR="003734EC" w:rsidRDefault="003734EC">
            <w:pPr>
              <w:rPr>
                <w:rFonts w:ascii="宋体"/>
                <w:vanish/>
              </w:rPr>
            </w:pPr>
          </w:p>
        </w:tc>
        <w:tc>
          <w:tcPr>
            <w:tcW w:w="0" w:type="auto"/>
            <w:shd w:val="clear" w:color="auto" w:fill="auto"/>
            <w:vAlign w:val="center"/>
          </w:tcPr>
          <w:p w14:paraId="3693E774" w14:textId="77777777" w:rsidR="003734EC" w:rsidRDefault="003734EC">
            <w:pPr>
              <w:rPr>
                <w:rFonts w:ascii="宋体"/>
                <w:vanish/>
              </w:rPr>
            </w:pPr>
          </w:p>
        </w:tc>
        <w:tc>
          <w:tcPr>
            <w:tcW w:w="0" w:type="auto"/>
            <w:shd w:val="clear" w:color="auto" w:fill="auto"/>
            <w:vAlign w:val="center"/>
          </w:tcPr>
          <w:p w14:paraId="3693E775" w14:textId="77777777" w:rsidR="003734EC" w:rsidRDefault="003734EC">
            <w:pPr>
              <w:rPr>
                <w:rFonts w:ascii="宋体"/>
              </w:rPr>
            </w:pPr>
          </w:p>
        </w:tc>
        <w:tc>
          <w:tcPr>
            <w:tcW w:w="0" w:type="auto"/>
            <w:shd w:val="clear" w:color="auto" w:fill="auto"/>
            <w:vAlign w:val="center"/>
          </w:tcPr>
          <w:p w14:paraId="3693E776" w14:textId="77777777" w:rsidR="003734EC" w:rsidRDefault="003734EC">
            <w:pPr>
              <w:rPr>
                <w:rFonts w:ascii="宋体"/>
              </w:rPr>
            </w:pPr>
          </w:p>
        </w:tc>
        <w:tc>
          <w:tcPr>
            <w:tcW w:w="0" w:type="auto"/>
            <w:shd w:val="clear" w:color="auto" w:fill="auto"/>
            <w:vAlign w:val="center"/>
          </w:tcPr>
          <w:p w14:paraId="3693E777" w14:textId="77777777" w:rsidR="003734EC" w:rsidRDefault="003734EC">
            <w:pPr>
              <w:rPr>
                <w:rFonts w:ascii="宋体"/>
              </w:rPr>
            </w:pPr>
          </w:p>
        </w:tc>
        <w:tc>
          <w:tcPr>
            <w:tcW w:w="0" w:type="auto"/>
            <w:shd w:val="clear" w:color="auto" w:fill="auto"/>
            <w:vAlign w:val="center"/>
          </w:tcPr>
          <w:p w14:paraId="3693E778" w14:textId="77777777" w:rsidR="003734EC" w:rsidRDefault="003734EC">
            <w:pPr>
              <w:rPr>
                <w:rFonts w:ascii="宋体"/>
              </w:rPr>
            </w:pPr>
          </w:p>
        </w:tc>
        <w:tc>
          <w:tcPr>
            <w:tcW w:w="0" w:type="auto"/>
            <w:shd w:val="clear" w:color="auto" w:fill="auto"/>
            <w:vAlign w:val="center"/>
          </w:tcPr>
          <w:p w14:paraId="3693E779" w14:textId="77777777" w:rsidR="003734EC" w:rsidRDefault="003734EC">
            <w:pPr>
              <w:rPr>
                <w:rFonts w:ascii="宋体"/>
              </w:rPr>
            </w:pPr>
          </w:p>
        </w:tc>
        <w:tc>
          <w:tcPr>
            <w:tcW w:w="0" w:type="auto"/>
            <w:shd w:val="clear" w:color="auto" w:fill="auto"/>
            <w:vAlign w:val="center"/>
          </w:tcPr>
          <w:p w14:paraId="3693E77A" w14:textId="77777777" w:rsidR="003734EC" w:rsidRDefault="003734EC">
            <w:pPr>
              <w:rPr>
                <w:rFonts w:ascii="宋体"/>
              </w:rPr>
            </w:pPr>
          </w:p>
        </w:tc>
      </w:tr>
    </w:tbl>
    <w:p w14:paraId="3693E77C" w14:textId="77777777" w:rsidR="003734EC" w:rsidRDefault="003734EC">
      <w:pPr>
        <w:ind w:hanging="360"/>
        <w:jc w:val="both"/>
      </w:pPr>
    </w:p>
    <w:p w14:paraId="3693E77D" w14:textId="77777777" w:rsidR="003734EC" w:rsidRDefault="000E364E">
      <w:pPr>
        <w:spacing w:after="180"/>
        <w:jc w:val="both"/>
      </w:pPr>
      <w:r>
        <w:rPr>
          <w:rFonts w:ascii="sans-serif" w:eastAsia="sans-serif" w:hAnsi="sans-serif" w:cs="sans-serif"/>
          <w:color w:val="000000"/>
          <w:sz w:val="20"/>
          <w:szCs w:val="20"/>
        </w:rPr>
        <w:t xml:space="preserve">As of April 26, 2020, there was $1.81 billion of aggregate unearned stock-based compensation expense, net of forfeitures. This amount is expected to be recognized over a </w:t>
      </w:r>
      <w:r>
        <w:rPr>
          <w:rFonts w:ascii="sans-serif" w:eastAsia="sans-serif" w:hAnsi="sans-serif" w:cs="sans-serif"/>
          <w:color w:val="000000"/>
          <w:sz w:val="20"/>
          <w:szCs w:val="20"/>
        </w:rPr>
        <w:t>weighted average period of 2.4 years for RSUs, PSUs, and market-based PSUs, and 0.8 years for ESPP.</w:t>
      </w:r>
    </w:p>
    <w:p w14:paraId="3693E77E" w14:textId="77777777" w:rsidR="003734EC" w:rsidRDefault="003734EC">
      <w:pPr>
        <w:spacing w:before="240" w:after="120"/>
        <w:jc w:val="both"/>
      </w:pPr>
    </w:p>
    <w:p w14:paraId="3693E77F" w14:textId="77777777" w:rsidR="003734EC" w:rsidRDefault="000E364E">
      <w:pPr>
        <w:spacing w:after="180"/>
        <w:jc w:val="center"/>
      </w:pPr>
      <w:r>
        <w:rPr>
          <w:rFonts w:ascii="sans-serif" w:eastAsia="sans-serif" w:hAnsi="sans-serif" w:cs="sans-serif"/>
          <w:color w:val="000000"/>
          <w:sz w:val="20"/>
          <w:szCs w:val="20"/>
        </w:rPr>
        <w:t>10</w:t>
      </w:r>
    </w:p>
    <w:p w14:paraId="3693E780" w14:textId="77777777" w:rsidR="003734EC" w:rsidRDefault="000E364E">
      <w:r>
        <w:pict w14:anchorId="3693FF54">
          <v:rect id="_x0000_i1034" style="width:415.3pt;height:1.5pt" o:hralign="center" o:hrstd="t" o:hr="t" fillcolor="#a0a0a0" stroked="f"/>
        </w:pict>
      </w:r>
    </w:p>
    <w:p w14:paraId="3693E781" w14:textId="77777777" w:rsidR="003734EC" w:rsidRDefault="000E364E">
      <w:pPr>
        <w:jc w:val="center"/>
      </w:pPr>
      <w:r>
        <w:rPr>
          <w:rFonts w:ascii="sans-serif" w:eastAsia="sans-serif" w:hAnsi="sans-serif" w:cs="sans-serif"/>
          <w:b/>
          <w:bCs/>
          <w:color w:val="000000"/>
          <w:sz w:val="20"/>
          <w:szCs w:val="20"/>
        </w:rPr>
        <w:t>NVIDIA CORPORATION AND SUBSIDIARIES</w:t>
      </w:r>
    </w:p>
    <w:p w14:paraId="3693E782"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E783" w14:textId="77777777" w:rsidR="003734EC" w:rsidRDefault="000E364E">
      <w:pPr>
        <w:jc w:val="center"/>
      </w:pPr>
      <w:r>
        <w:rPr>
          <w:rFonts w:ascii="sans-serif" w:eastAsia="sans-serif" w:hAnsi="sans-serif" w:cs="sans-serif"/>
          <w:b/>
          <w:bCs/>
          <w:color w:val="000000"/>
          <w:sz w:val="20"/>
          <w:szCs w:val="20"/>
        </w:rPr>
        <w:t>(Unaudited)</w:t>
      </w:r>
    </w:p>
    <w:p w14:paraId="3693E784" w14:textId="77777777" w:rsidR="003734EC" w:rsidRDefault="003734EC">
      <w:pPr>
        <w:spacing w:after="180"/>
        <w:jc w:val="both"/>
      </w:pPr>
    </w:p>
    <w:p w14:paraId="3693E785" w14:textId="77777777" w:rsidR="003734EC" w:rsidRDefault="003734EC">
      <w:pPr>
        <w:spacing w:after="180"/>
        <w:jc w:val="both"/>
      </w:pPr>
    </w:p>
    <w:p w14:paraId="3693E786" w14:textId="77777777" w:rsidR="003734EC" w:rsidRDefault="000E364E">
      <w:pPr>
        <w:spacing w:before="240" w:after="120"/>
        <w:jc w:val="both"/>
      </w:pPr>
      <w:r>
        <w:rPr>
          <w:rFonts w:ascii="sans-serif" w:eastAsia="sans-serif" w:hAnsi="sans-serif" w:cs="sans-serif"/>
          <w:b/>
          <w:bCs/>
          <w:color w:val="76B900"/>
          <w:sz w:val="22"/>
          <w:szCs w:val="22"/>
        </w:rPr>
        <w:t>Note 5 – Net Income Per Share</w:t>
      </w:r>
    </w:p>
    <w:p w14:paraId="3693E787" w14:textId="77777777" w:rsidR="003734EC" w:rsidRDefault="000E364E">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50"/>
        <w:gridCol w:w="5234"/>
        <w:gridCol w:w="51"/>
        <w:gridCol w:w="137"/>
        <w:gridCol w:w="1060"/>
        <w:gridCol w:w="81"/>
        <w:gridCol w:w="36"/>
        <w:gridCol w:w="36"/>
        <w:gridCol w:w="36"/>
        <w:gridCol w:w="137"/>
        <w:gridCol w:w="1037"/>
        <w:gridCol w:w="81"/>
        <w:gridCol w:w="36"/>
        <w:gridCol w:w="36"/>
        <w:gridCol w:w="36"/>
        <w:gridCol w:w="36"/>
        <w:gridCol w:w="36"/>
        <w:gridCol w:w="36"/>
        <w:gridCol w:w="36"/>
        <w:gridCol w:w="36"/>
        <w:gridCol w:w="36"/>
        <w:gridCol w:w="36"/>
      </w:tblGrid>
      <w:tr w:rsidR="003734EC" w14:paraId="3693E798" w14:textId="77777777">
        <w:trPr>
          <w:gridAfter w:val="6"/>
        </w:trPr>
        <w:tc>
          <w:tcPr>
            <w:tcW w:w="50" w:type="pct"/>
            <w:shd w:val="clear" w:color="auto" w:fill="auto"/>
            <w:vAlign w:val="center"/>
          </w:tcPr>
          <w:p w14:paraId="3693E788" w14:textId="77777777" w:rsidR="003734EC" w:rsidRDefault="003734EC">
            <w:pPr>
              <w:rPr>
                <w:rFonts w:ascii="宋体"/>
              </w:rPr>
            </w:pPr>
          </w:p>
        </w:tc>
        <w:tc>
          <w:tcPr>
            <w:tcW w:w="3299" w:type="pct"/>
            <w:shd w:val="clear" w:color="auto" w:fill="auto"/>
            <w:vAlign w:val="center"/>
          </w:tcPr>
          <w:p w14:paraId="3693E789" w14:textId="77777777" w:rsidR="003734EC" w:rsidRDefault="003734EC">
            <w:pPr>
              <w:rPr>
                <w:rFonts w:ascii="宋体"/>
              </w:rPr>
            </w:pPr>
          </w:p>
        </w:tc>
        <w:tc>
          <w:tcPr>
            <w:tcW w:w="50" w:type="pct"/>
            <w:shd w:val="clear" w:color="auto" w:fill="auto"/>
            <w:vAlign w:val="center"/>
          </w:tcPr>
          <w:p w14:paraId="3693E78A" w14:textId="77777777" w:rsidR="003734EC" w:rsidRDefault="003734EC">
            <w:pPr>
              <w:rPr>
                <w:rFonts w:ascii="宋体"/>
              </w:rPr>
            </w:pPr>
          </w:p>
        </w:tc>
        <w:tc>
          <w:tcPr>
            <w:tcW w:w="50" w:type="pct"/>
            <w:shd w:val="clear" w:color="auto" w:fill="auto"/>
            <w:vAlign w:val="center"/>
          </w:tcPr>
          <w:p w14:paraId="3693E78B" w14:textId="77777777" w:rsidR="003734EC" w:rsidRDefault="003734EC">
            <w:pPr>
              <w:rPr>
                <w:rFonts w:ascii="宋体"/>
              </w:rPr>
            </w:pPr>
          </w:p>
        </w:tc>
        <w:tc>
          <w:tcPr>
            <w:tcW w:w="682" w:type="pct"/>
            <w:shd w:val="clear" w:color="auto" w:fill="auto"/>
            <w:vAlign w:val="center"/>
          </w:tcPr>
          <w:p w14:paraId="3693E78C" w14:textId="77777777" w:rsidR="003734EC" w:rsidRDefault="003734EC">
            <w:pPr>
              <w:rPr>
                <w:rFonts w:ascii="宋体"/>
              </w:rPr>
            </w:pPr>
          </w:p>
        </w:tc>
        <w:tc>
          <w:tcPr>
            <w:tcW w:w="50" w:type="pct"/>
            <w:shd w:val="clear" w:color="auto" w:fill="auto"/>
            <w:vAlign w:val="center"/>
          </w:tcPr>
          <w:p w14:paraId="3693E78D" w14:textId="77777777" w:rsidR="003734EC" w:rsidRDefault="003734EC">
            <w:pPr>
              <w:rPr>
                <w:rFonts w:ascii="宋体"/>
              </w:rPr>
            </w:pPr>
          </w:p>
        </w:tc>
        <w:tc>
          <w:tcPr>
            <w:tcW w:w="5" w:type="pct"/>
            <w:shd w:val="clear" w:color="auto" w:fill="auto"/>
            <w:vAlign w:val="center"/>
          </w:tcPr>
          <w:p w14:paraId="3693E78E" w14:textId="77777777" w:rsidR="003734EC" w:rsidRDefault="003734EC">
            <w:pPr>
              <w:rPr>
                <w:rFonts w:ascii="宋体"/>
              </w:rPr>
            </w:pPr>
          </w:p>
        </w:tc>
        <w:tc>
          <w:tcPr>
            <w:tcW w:w="26" w:type="pct"/>
            <w:shd w:val="clear" w:color="auto" w:fill="auto"/>
            <w:vAlign w:val="center"/>
          </w:tcPr>
          <w:p w14:paraId="3693E78F" w14:textId="77777777" w:rsidR="003734EC" w:rsidRDefault="003734EC">
            <w:pPr>
              <w:rPr>
                <w:rFonts w:ascii="宋体"/>
              </w:rPr>
            </w:pPr>
          </w:p>
        </w:tc>
        <w:tc>
          <w:tcPr>
            <w:tcW w:w="5" w:type="pct"/>
            <w:shd w:val="clear" w:color="auto" w:fill="auto"/>
            <w:vAlign w:val="center"/>
          </w:tcPr>
          <w:p w14:paraId="3693E790" w14:textId="77777777" w:rsidR="003734EC" w:rsidRDefault="003734EC">
            <w:pPr>
              <w:rPr>
                <w:rFonts w:ascii="宋体"/>
              </w:rPr>
            </w:pPr>
          </w:p>
        </w:tc>
        <w:tc>
          <w:tcPr>
            <w:tcW w:w="50" w:type="pct"/>
            <w:shd w:val="clear" w:color="auto" w:fill="auto"/>
            <w:vAlign w:val="center"/>
          </w:tcPr>
          <w:p w14:paraId="3693E791" w14:textId="77777777" w:rsidR="003734EC" w:rsidRDefault="003734EC">
            <w:pPr>
              <w:rPr>
                <w:rFonts w:ascii="宋体"/>
              </w:rPr>
            </w:pPr>
          </w:p>
        </w:tc>
        <w:tc>
          <w:tcPr>
            <w:tcW w:w="682" w:type="pct"/>
            <w:shd w:val="clear" w:color="auto" w:fill="auto"/>
            <w:vAlign w:val="center"/>
          </w:tcPr>
          <w:p w14:paraId="3693E792" w14:textId="77777777" w:rsidR="003734EC" w:rsidRDefault="003734EC">
            <w:pPr>
              <w:rPr>
                <w:rFonts w:ascii="宋体"/>
              </w:rPr>
            </w:pPr>
          </w:p>
        </w:tc>
        <w:tc>
          <w:tcPr>
            <w:tcW w:w="50" w:type="pct"/>
            <w:shd w:val="clear" w:color="auto" w:fill="auto"/>
            <w:vAlign w:val="center"/>
          </w:tcPr>
          <w:p w14:paraId="3693E793" w14:textId="77777777" w:rsidR="003734EC" w:rsidRDefault="003734EC">
            <w:pPr>
              <w:rPr>
                <w:rFonts w:ascii="宋体"/>
              </w:rPr>
            </w:pPr>
          </w:p>
        </w:tc>
        <w:tc>
          <w:tcPr>
            <w:tcW w:w="0" w:type="auto"/>
            <w:shd w:val="clear" w:color="auto" w:fill="auto"/>
            <w:vAlign w:val="center"/>
          </w:tcPr>
          <w:p w14:paraId="3693E794" w14:textId="77777777" w:rsidR="003734EC" w:rsidRDefault="003734EC">
            <w:pPr>
              <w:rPr>
                <w:rFonts w:ascii="宋体"/>
                <w:vanish/>
              </w:rPr>
            </w:pPr>
          </w:p>
        </w:tc>
        <w:tc>
          <w:tcPr>
            <w:tcW w:w="0" w:type="auto"/>
            <w:shd w:val="clear" w:color="auto" w:fill="auto"/>
            <w:vAlign w:val="center"/>
          </w:tcPr>
          <w:p w14:paraId="3693E795" w14:textId="77777777" w:rsidR="003734EC" w:rsidRDefault="003734EC">
            <w:pPr>
              <w:rPr>
                <w:rFonts w:ascii="宋体"/>
                <w:vanish/>
              </w:rPr>
            </w:pPr>
          </w:p>
        </w:tc>
        <w:tc>
          <w:tcPr>
            <w:tcW w:w="0" w:type="auto"/>
            <w:shd w:val="clear" w:color="auto" w:fill="auto"/>
            <w:vAlign w:val="center"/>
          </w:tcPr>
          <w:p w14:paraId="3693E796" w14:textId="77777777" w:rsidR="003734EC" w:rsidRDefault="003734EC">
            <w:pPr>
              <w:rPr>
                <w:rFonts w:ascii="宋体"/>
                <w:vanish/>
              </w:rPr>
            </w:pPr>
          </w:p>
        </w:tc>
        <w:tc>
          <w:tcPr>
            <w:tcW w:w="0" w:type="auto"/>
            <w:shd w:val="clear" w:color="auto" w:fill="auto"/>
            <w:vAlign w:val="center"/>
          </w:tcPr>
          <w:p w14:paraId="3693E797" w14:textId="77777777" w:rsidR="003734EC" w:rsidRDefault="003734EC">
            <w:pPr>
              <w:rPr>
                <w:rFonts w:ascii="宋体"/>
                <w:vanish/>
              </w:rPr>
            </w:pPr>
          </w:p>
        </w:tc>
      </w:tr>
      <w:tr w:rsidR="003734EC" w14:paraId="3693E7A1" w14:textId="77777777">
        <w:tc>
          <w:tcPr>
            <w:tcW w:w="0" w:type="auto"/>
            <w:gridSpan w:val="3"/>
            <w:shd w:val="clear" w:color="auto" w:fill="auto"/>
            <w:tcMar>
              <w:top w:w="40" w:type="dxa"/>
              <w:left w:w="20" w:type="dxa"/>
              <w:bottom w:w="40" w:type="dxa"/>
              <w:right w:w="20" w:type="dxa"/>
            </w:tcMar>
            <w:vAlign w:val="bottom"/>
          </w:tcPr>
          <w:p w14:paraId="3693E799"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E79A"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E79B" w14:textId="77777777" w:rsidR="003734EC" w:rsidRDefault="003734EC">
            <w:pPr>
              <w:rPr>
                <w:rFonts w:ascii="宋体"/>
                <w:vanish/>
              </w:rPr>
            </w:pPr>
          </w:p>
        </w:tc>
        <w:tc>
          <w:tcPr>
            <w:tcW w:w="0" w:type="auto"/>
            <w:shd w:val="clear" w:color="auto" w:fill="auto"/>
            <w:vAlign w:val="center"/>
          </w:tcPr>
          <w:p w14:paraId="3693E79C" w14:textId="77777777" w:rsidR="003734EC" w:rsidRDefault="003734EC">
            <w:pPr>
              <w:rPr>
                <w:rFonts w:ascii="宋体"/>
                <w:vanish/>
              </w:rPr>
            </w:pPr>
          </w:p>
        </w:tc>
        <w:tc>
          <w:tcPr>
            <w:tcW w:w="0" w:type="auto"/>
            <w:shd w:val="clear" w:color="auto" w:fill="auto"/>
            <w:vAlign w:val="center"/>
          </w:tcPr>
          <w:p w14:paraId="3693E79D" w14:textId="77777777" w:rsidR="003734EC" w:rsidRDefault="003734EC">
            <w:pPr>
              <w:rPr>
                <w:rFonts w:ascii="宋体"/>
                <w:vanish/>
              </w:rPr>
            </w:pPr>
          </w:p>
        </w:tc>
        <w:tc>
          <w:tcPr>
            <w:tcW w:w="0" w:type="auto"/>
            <w:shd w:val="clear" w:color="auto" w:fill="auto"/>
            <w:vAlign w:val="center"/>
          </w:tcPr>
          <w:p w14:paraId="3693E79E" w14:textId="77777777" w:rsidR="003734EC" w:rsidRDefault="003734EC">
            <w:pPr>
              <w:rPr>
                <w:rFonts w:ascii="宋体"/>
                <w:vanish/>
              </w:rPr>
            </w:pPr>
          </w:p>
        </w:tc>
        <w:tc>
          <w:tcPr>
            <w:tcW w:w="0" w:type="auto"/>
            <w:gridSpan w:val="3"/>
            <w:shd w:val="clear" w:color="auto" w:fill="auto"/>
            <w:vAlign w:val="center"/>
          </w:tcPr>
          <w:p w14:paraId="3693E79F" w14:textId="77777777" w:rsidR="003734EC" w:rsidRDefault="003734EC">
            <w:pPr>
              <w:rPr>
                <w:rFonts w:ascii="宋体"/>
                <w:vanish/>
              </w:rPr>
            </w:pPr>
          </w:p>
        </w:tc>
        <w:tc>
          <w:tcPr>
            <w:tcW w:w="0" w:type="auto"/>
            <w:gridSpan w:val="3"/>
            <w:shd w:val="clear" w:color="auto" w:fill="auto"/>
            <w:vAlign w:val="center"/>
          </w:tcPr>
          <w:p w14:paraId="3693E7A0" w14:textId="77777777" w:rsidR="003734EC" w:rsidRDefault="003734EC">
            <w:pPr>
              <w:rPr>
                <w:rFonts w:ascii="宋体"/>
                <w:vanish/>
              </w:rPr>
            </w:pPr>
          </w:p>
        </w:tc>
      </w:tr>
      <w:tr w:rsidR="003734EC" w14:paraId="3693E7B0" w14:textId="77777777">
        <w:tc>
          <w:tcPr>
            <w:tcW w:w="0" w:type="auto"/>
            <w:gridSpan w:val="3"/>
            <w:shd w:val="clear" w:color="auto" w:fill="auto"/>
            <w:tcMar>
              <w:left w:w="20" w:type="dxa"/>
              <w:right w:w="20" w:type="dxa"/>
            </w:tcMar>
            <w:vAlign w:val="bottom"/>
          </w:tcPr>
          <w:p w14:paraId="3693E7A2"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7A3"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tcBorders>
              <w:top w:val="single" w:sz="8" w:space="0" w:color="000000"/>
            </w:tcBorders>
            <w:shd w:val="clear" w:color="auto" w:fill="auto"/>
            <w:tcMar>
              <w:left w:w="20" w:type="dxa"/>
              <w:right w:w="20" w:type="dxa"/>
            </w:tcMar>
            <w:vAlign w:val="bottom"/>
          </w:tcPr>
          <w:p w14:paraId="3693E7A4"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7A5" w14:textId="77777777" w:rsidR="003734EC" w:rsidRDefault="000E364E">
            <w:pPr>
              <w:jc w:val="center"/>
              <w:textAlignment w:val="bottom"/>
            </w:pPr>
            <w:r>
              <w:rPr>
                <w:rFonts w:ascii="sans-serif" w:eastAsia="sans-serif" w:hAnsi="sans-serif" w:cs="sans-serif"/>
                <w:b/>
                <w:bCs/>
                <w:color w:val="000000"/>
                <w:sz w:val="20"/>
                <w:szCs w:val="20"/>
              </w:rPr>
              <w:t>April 28,</w:t>
            </w:r>
          </w:p>
        </w:tc>
        <w:tc>
          <w:tcPr>
            <w:tcW w:w="0" w:type="auto"/>
            <w:shd w:val="clear" w:color="auto" w:fill="auto"/>
            <w:vAlign w:val="center"/>
          </w:tcPr>
          <w:p w14:paraId="3693E7A6" w14:textId="77777777" w:rsidR="003734EC" w:rsidRDefault="003734EC">
            <w:pPr>
              <w:rPr>
                <w:rFonts w:ascii="宋体"/>
                <w:vanish/>
              </w:rPr>
            </w:pPr>
          </w:p>
        </w:tc>
        <w:tc>
          <w:tcPr>
            <w:tcW w:w="0" w:type="auto"/>
            <w:shd w:val="clear" w:color="auto" w:fill="auto"/>
            <w:vAlign w:val="center"/>
          </w:tcPr>
          <w:p w14:paraId="3693E7A7" w14:textId="77777777" w:rsidR="003734EC" w:rsidRDefault="003734EC">
            <w:pPr>
              <w:rPr>
                <w:rFonts w:ascii="宋体"/>
                <w:vanish/>
              </w:rPr>
            </w:pPr>
          </w:p>
        </w:tc>
        <w:tc>
          <w:tcPr>
            <w:tcW w:w="0" w:type="auto"/>
            <w:shd w:val="clear" w:color="auto" w:fill="auto"/>
            <w:vAlign w:val="center"/>
          </w:tcPr>
          <w:p w14:paraId="3693E7A8" w14:textId="77777777" w:rsidR="003734EC" w:rsidRDefault="003734EC">
            <w:pPr>
              <w:rPr>
                <w:rFonts w:ascii="宋体"/>
                <w:vanish/>
              </w:rPr>
            </w:pPr>
          </w:p>
        </w:tc>
        <w:tc>
          <w:tcPr>
            <w:tcW w:w="0" w:type="auto"/>
            <w:shd w:val="clear" w:color="auto" w:fill="auto"/>
            <w:vAlign w:val="center"/>
          </w:tcPr>
          <w:p w14:paraId="3693E7A9" w14:textId="77777777" w:rsidR="003734EC" w:rsidRDefault="003734EC">
            <w:pPr>
              <w:rPr>
                <w:rFonts w:ascii="宋体"/>
                <w:vanish/>
              </w:rPr>
            </w:pPr>
          </w:p>
        </w:tc>
        <w:tc>
          <w:tcPr>
            <w:tcW w:w="0" w:type="auto"/>
            <w:shd w:val="clear" w:color="auto" w:fill="auto"/>
            <w:vAlign w:val="center"/>
          </w:tcPr>
          <w:p w14:paraId="3693E7AA" w14:textId="77777777" w:rsidR="003734EC" w:rsidRDefault="003734EC">
            <w:pPr>
              <w:rPr>
                <w:rFonts w:ascii="宋体"/>
              </w:rPr>
            </w:pPr>
          </w:p>
        </w:tc>
        <w:tc>
          <w:tcPr>
            <w:tcW w:w="0" w:type="auto"/>
            <w:shd w:val="clear" w:color="auto" w:fill="auto"/>
            <w:vAlign w:val="center"/>
          </w:tcPr>
          <w:p w14:paraId="3693E7AB" w14:textId="77777777" w:rsidR="003734EC" w:rsidRDefault="003734EC">
            <w:pPr>
              <w:rPr>
                <w:rFonts w:ascii="宋体"/>
              </w:rPr>
            </w:pPr>
          </w:p>
        </w:tc>
        <w:tc>
          <w:tcPr>
            <w:tcW w:w="0" w:type="auto"/>
            <w:shd w:val="clear" w:color="auto" w:fill="auto"/>
            <w:vAlign w:val="center"/>
          </w:tcPr>
          <w:p w14:paraId="3693E7AC" w14:textId="77777777" w:rsidR="003734EC" w:rsidRDefault="003734EC">
            <w:pPr>
              <w:rPr>
                <w:rFonts w:ascii="宋体"/>
              </w:rPr>
            </w:pPr>
          </w:p>
        </w:tc>
        <w:tc>
          <w:tcPr>
            <w:tcW w:w="0" w:type="auto"/>
            <w:shd w:val="clear" w:color="auto" w:fill="auto"/>
            <w:vAlign w:val="center"/>
          </w:tcPr>
          <w:p w14:paraId="3693E7AD" w14:textId="77777777" w:rsidR="003734EC" w:rsidRDefault="003734EC">
            <w:pPr>
              <w:rPr>
                <w:rFonts w:ascii="宋体"/>
              </w:rPr>
            </w:pPr>
          </w:p>
        </w:tc>
        <w:tc>
          <w:tcPr>
            <w:tcW w:w="0" w:type="auto"/>
            <w:shd w:val="clear" w:color="auto" w:fill="auto"/>
            <w:vAlign w:val="center"/>
          </w:tcPr>
          <w:p w14:paraId="3693E7AE" w14:textId="77777777" w:rsidR="003734EC" w:rsidRDefault="003734EC">
            <w:pPr>
              <w:rPr>
                <w:rFonts w:ascii="宋体"/>
              </w:rPr>
            </w:pPr>
          </w:p>
        </w:tc>
        <w:tc>
          <w:tcPr>
            <w:tcW w:w="0" w:type="auto"/>
            <w:shd w:val="clear" w:color="auto" w:fill="auto"/>
            <w:vAlign w:val="center"/>
          </w:tcPr>
          <w:p w14:paraId="3693E7AF" w14:textId="77777777" w:rsidR="003734EC" w:rsidRDefault="003734EC">
            <w:pPr>
              <w:rPr>
                <w:rFonts w:ascii="宋体"/>
              </w:rPr>
            </w:pPr>
          </w:p>
        </w:tc>
      </w:tr>
      <w:tr w:rsidR="003734EC" w14:paraId="3693E7BF" w14:textId="77777777">
        <w:tc>
          <w:tcPr>
            <w:tcW w:w="0" w:type="auto"/>
            <w:gridSpan w:val="3"/>
            <w:shd w:val="clear" w:color="auto" w:fill="auto"/>
            <w:tcMar>
              <w:left w:w="20" w:type="dxa"/>
              <w:right w:w="20" w:type="dxa"/>
            </w:tcMar>
            <w:vAlign w:val="bottom"/>
          </w:tcPr>
          <w:p w14:paraId="3693E7B1"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7B2"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E7B3"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E7B4" w14:textId="77777777" w:rsidR="003734EC" w:rsidRDefault="000E364E">
            <w:pPr>
              <w:jc w:val="center"/>
              <w:textAlignment w:val="bottom"/>
            </w:pPr>
            <w:r>
              <w:rPr>
                <w:rFonts w:ascii="sans-serif" w:eastAsia="sans-serif" w:hAnsi="sans-serif" w:cs="sans-serif"/>
                <w:b/>
                <w:bCs/>
                <w:color w:val="000000"/>
                <w:sz w:val="20"/>
                <w:szCs w:val="20"/>
              </w:rPr>
              <w:t>2019</w:t>
            </w:r>
          </w:p>
        </w:tc>
        <w:tc>
          <w:tcPr>
            <w:tcW w:w="0" w:type="auto"/>
            <w:shd w:val="clear" w:color="auto" w:fill="auto"/>
            <w:vAlign w:val="center"/>
          </w:tcPr>
          <w:p w14:paraId="3693E7B5" w14:textId="77777777" w:rsidR="003734EC" w:rsidRDefault="003734EC">
            <w:pPr>
              <w:rPr>
                <w:rFonts w:ascii="宋体"/>
                <w:vanish/>
              </w:rPr>
            </w:pPr>
          </w:p>
        </w:tc>
        <w:tc>
          <w:tcPr>
            <w:tcW w:w="0" w:type="auto"/>
            <w:shd w:val="clear" w:color="auto" w:fill="auto"/>
            <w:vAlign w:val="center"/>
          </w:tcPr>
          <w:p w14:paraId="3693E7B6" w14:textId="77777777" w:rsidR="003734EC" w:rsidRDefault="003734EC">
            <w:pPr>
              <w:rPr>
                <w:rFonts w:ascii="宋体"/>
                <w:vanish/>
              </w:rPr>
            </w:pPr>
          </w:p>
        </w:tc>
        <w:tc>
          <w:tcPr>
            <w:tcW w:w="0" w:type="auto"/>
            <w:shd w:val="clear" w:color="auto" w:fill="auto"/>
            <w:vAlign w:val="center"/>
          </w:tcPr>
          <w:p w14:paraId="3693E7B7" w14:textId="77777777" w:rsidR="003734EC" w:rsidRDefault="003734EC">
            <w:pPr>
              <w:rPr>
                <w:rFonts w:ascii="宋体"/>
                <w:vanish/>
              </w:rPr>
            </w:pPr>
          </w:p>
        </w:tc>
        <w:tc>
          <w:tcPr>
            <w:tcW w:w="0" w:type="auto"/>
            <w:shd w:val="clear" w:color="auto" w:fill="auto"/>
            <w:vAlign w:val="center"/>
          </w:tcPr>
          <w:p w14:paraId="3693E7B8" w14:textId="77777777" w:rsidR="003734EC" w:rsidRDefault="003734EC">
            <w:pPr>
              <w:rPr>
                <w:rFonts w:ascii="宋体"/>
                <w:vanish/>
              </w:rPr>
            </w:pPr>
          </w:p>
        </w:tc>
        <w:tc>
          <w:tcPr>
            <w:tcW w:w="0" w:type="auto"/>
            <w:shd w:val="clear" w:color="auto" w:fill="auto"/>
            <w:vAlign w:val="center"/>
          </w:tcPr>
          <w:p w14:paraId="3693E7B9" w14:textId="77777777" w:rsidR="003734EC" w:rsidRDefault="003734EC">
            <w:pPr>
              <w:rPr>
                <w:rFonts w:ascii="宋体"/>
              </w:rPr>
            </w:pPr>
          </w:p>
        </w:tc>
        <w:tc>
          <w:tcPr>
            <w:tcW w:w="0" w:type="auto"/>
            <w:shd w:val="clear" w:color="auto" w:fill="auto"/>
            <w:vAlign w:val="center"/>
          </w:tcPr>
          <w:p w14:paraId="3693E7BA" w14:textId="77777777" w:rsidR="003734EC" w:rsidRDefault="003734EC">
            <w:pPr>
              <w:rPr>
                <w:rFonts w:ascii="宋体"/>
              </w:rPr>
            </w:pPr>
          </w:p>
        </w:tc>
        <w:tc>
          <w:tcPr>
            <w:tcW w:w="0" w:type="auto"/>
            <w:shd w:val="clear" w:color="auto" w:fill="auto"/>
            <w:vAlign w:val="center"/>
          </w:tcPr>
          <w:p w14:paraId="3693E7BB" w14:textId="77777777" w:rsidR="003734EC" w:rsidRDefault="003734EC">
            <w:pPr>
              <w:rPr>
                <w:rFonts w:ascii="宋体"/>
              </w:rPr>
            </w:pPr>
          </w:p>
        </w:tc>
        <w:tc>
          <w:tcPr>
            <w:tcW w:w="0" w:type="auto"/>
            <w:shd w:val="clear" w:color="auto" w:fill="auto"/>
            <w:vAlign w:val="center"/>
          </w:tcPr>
          <w:p w14:paraId="3693E7BC" w14:textId="77777777" w:rsidR="003734EC" w:rsidRDefault="003734EC">
            <w:pPr>
              <w:rPr>
                <w:rFonts w:ascii="宋体"/>
              </w:rPr>
            </w:pPr>
          </w:p>
        </w:tc>
        <w:tc>
          <w:tcPr>
            <w:tcW w:w="0" w:type="auto"/>
            <w:shd w:val="clear" w:color="auto" w:fill="auto"/>
            <w:vAlign w:val="center"/>
          </w:tcPr>
          <w:p w14:paraId="3693E7BD" w14:textId="77777777" w:rsidR="003734EC" w:rsidRDefault="003734EC">
            <w:pPr>
              <w:rPr>
                <w:rFonts w:ascii="宋体"/>
              </w:rPr>
            </w:pPr>
          </w:p>
        </w:tc>
        <w:tc>
          <w:tcPr>
            <w:tcW w:w="0" w:type="auto"/>
            <w:shd w:val="clear" w:color="auto" w:fill="auto"/>
            <w:vAlign w:val="center"/>
          </w:tcPr>
          <w:p w14:paraId="3693E7BE" w14:textId="77777777" w:rsidR="003734EC" w:rsidRDefault="003734EC">
            <w:pPr>
              <w:rPr>
                <w:rFonts w:ascii="宋体"/>
              </w:rPr>
            </w:pPr>
          </w:p>
        </w:tc>
      </w:tr>
      <w:tr w:rsidR="003734EC" w14:paraId="3693E7C8" w14:textId="77777777">
        <w:tc>
          <w:tcPr>
            <w:tcW w:w="0" w:type="auto"/>
            <w:gridSpan w:val="3"/>
            <w:shd w:val="clear" w:color="auto" w:fill="auto"/>
            <w:tcMar>
              <w:top w:w="40" w:type="dxa"/>
              <w:left w:w="20" w:type="dxa"/>
              <w:bottom w:w="40" w:type="dxa"/>
              <w:right w:w="20" w:type="dxa"/>
            </w:tcMar>
            <w:vAlign w:val="bottom"/>
          </w:tcPr>
          <w:p w14:paraId="3693E7C0"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7C1" w14:textId="77777777" w:rsidR="003734EC" w:rsidRDefault="000E364E">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 except per share data)</w:t>
            </w:r>
          </w:p>
        </w:tc>
        <w:tc>
          <w:tcPr>
            <w:tcW w:w="0" w:type="auto"/>
            <w:shd w:val="clear" w:color="auto" w:fill="auto"/>
            <w:vAlign w:val="center"/>
          </w:tcPr>
          <w:p w14:paraId="3693E7C2" w14:textId="77777777" w:rsidR="003734EC" w:rsidRDefault="003734EC">
            <w:pPr>
              <w:rPr>
                <w:rFonts w:ascii="宋体"/>
                <w:vanish/>
              </w:rPr>
            </w:pPr>
          </w:p>
        </w:tc>
        <w:tc>
          <w:tcPr>
            <w:tcW w:w="0" w:type="auto"/>
            <w:shd w:val="clear" w:color="auto" w:fill="auto"/>
            <w:vAlign w:val="center"/>
          </w:tcPr>
          <w:p w14:paraId="3693E7C3" w14:textId="77777777" w:rsidR="003734EC" w:rsidRDefault="003734EC">
            <w:pPr>
              <w:rPr>
                <w:rFonts w:ascii="宋体"/>
                <w:vanish/>
              </w:rPr>
            </w:pPr>
          </w:p>
        </w:tc>
        <w:tc>
          <w:tcPr>
            <w:tcW w:w="0" w:type="auto"/>
            <w:shd w:val="clear" w:color="auto" w:fill="auto"/>
            <w:vAlign w:val="center"/>
          </w:tcPr>
          <w:p w14:paraId="3693E7C4" w14:textId="77777777" w:rsidR="003734EC" w:rsidRDefault="003734EC">
            <w:pPr>
              <w:rPr>
                <w:rFonts w:ascii="宋体"/>
                <w:vanish/>
              </w:rPr>
            </w:pPr>
          </w:p>
        </w:tc>
        <w:tc>
          <w:tcPr>
            <w:tcW w:w="0" w:type="auto"/>
            <w:shd w:val="clear" w:color="auto" w:fill="auto"/>
            <w:vAlign w:val="center"/>
          </w:tcPr>
          <w:p w14:paraId="3693E7C5" w14:textId="77777777" w:rsidR="003734EC" w:rsidRDefault="003734EC">
            <w:pPr>
              <w:rPr>
                <w:rFonts w:ascii="宋体"/>
                <w:vanish/>
              </w:rPr>
            </w:pPr>
          </w:p>
        </w:tc>
        <w:tc>
          <w:tcPr>
            <w:tcW w:w="0" w:type="auto"/>
            <w:gridSpan w:val="3"/>
            <w:shd w:val="clear" w:color="auto" w:fill="auto"/>
            <w:vAlign w:val="center"/>
          </w:tcPr>
          <w:p w14:paraId="3693E7C6" w14:textId="77777777" w:rsidR="003734EC" w:rsidRDefault="003734EC">
            <w:pPr>
              <w:rPr>
                <w:rFonts w:ascii="宋体"/>
                <w:vanish/>
              </w:rPr>
            </w:pPr>
          </w:p>
        </w:tc>
        <w:tc>
          <w:tcPr>
            <w:tcW w:w="0" w:type="auto"/>
            <w:gridSpan w:val="3"/>
            <w:shd w:val="clear" w:color="auto" w:fill="auto"/>
            <w:vAlign w:val="center"/>
          </w:tcPr>
          <w:p w14:paraId="3693E7C7" w14:textId="77777777" w:rsidR="003734EC" w:rsidRDefault="003734EC">
            <w:pPr>
              <w:rPr>
                <w:rFonts w:ascii="宋体"/>
                <w:vanish/>
              </w:rPr>
            </w:pPr>
          </w:p>
        </w:tc>
      </w:tr>
      <w:tr w:rsidR="003734EC" w14:paraId="3693E7D7" w14:textId="77777777">
        <w:tc>
          <w:tcPr>
            <w:tcW w:w="0" w:type="auto"/>
            <w:gridSpan w:val="3"/>
            <w:shd w:val="clear" w:color="auto" w:fill="E2EFD9"/>
            <w:tcMar>
              <w:top w:w="40" w:type="dxa"/>
              <w:left w:w="20" w:type="dxa"/>
              <w:bottom w:w="40" w:type="dxa"/>
              <w:right w:w="20" w:type="dxa"/>
            </w:tcMar>
            <w:vAlign w:val="bottom"/>
          </w:tcPr>
          <w:p w14:paraId="3693E7C9" w14:textId="77777777" w:rsidR="003734EC" w:rsidRDefault="000E364E">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3693E7CA"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7CB"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E7CC"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CD" w14:textId="77777777" w:rsidR="003734EC" w:rsidRDefault="003734EC">
            <w:pPr>
              <w:rPr>
                <w:rFonts w:ascii="宋体"/>
                <w:vanish/>
              </w:rPr>
            </w:pPr>
          </w:p>
        </w:tc>
        <w:tc>
          <w:tcPr>
            <w:tcW w:w="0" w:type="auto"/>
            <w:shd w:val="clear" w:color="auto" w:fill="auto"/>
            <w:vAlign w:val="center"/>
          </w:tcPr>
          <w:p w14:paraId="3693E7CE" w14:textId="77777777" w:rsidR="003734EC" w:rsidRDefault="003734EC">
            <w:pPr>
              <w:rPr>
                <w:rFonts w:ascii="宋体"/>
                <w:vanish/>
              </w:rPr>
            </w:pPr>
          </w:p>
        </w:tc>
        <w:tc>
          <w:tcPr>
            <w:tcW w:w="0" w:type="auto"/>
            <w:shd w:val="clear" w:color="auto" w:fill="auto"/>
            <w:vAlign w:val="center"/>
          </w:tcPr>
          <w:p w14:paraId="3693E7CF" w14:textId="77777777" w:rsidR="003734EC" w:rsidRDefault="003734EC">
            <w:pPr>
              <w:rPr>
                <w:rFonts w:ascii="宋体"/>
                <w:vanish/>
              </w:rPr>
            </w:pPr>
          </w:p>
        </w:tc>
        <w:tc>
          <w:tcPr>
            <w:tcW w:w="0" w:type="auto"/>
            <w:shd w:val="clear" w:color="auto" w:fill="auto"/>
            <w:vAlign w:val="center"/>
          </w:tcPr>
          <w:p w14:paraId="3693E7D0" w14:textId="77777777" w:rsidR="003734EC" w:rsidRDefault="003734EC">
            <w:pPr>
              <w:rPr>
                <w:rFonts w:ascii="宋体"/>
                <w:vanish/>
              </w:rPr>
            </w:pPr>
          </w:p>
        </w:tc>
        <w:tc>
          <w:tcPr>
            <w:tcW w:w="0" w:type="auto"/>
            <w:shd w:val="clear" w:color="auto" w:fill="auto"/>
            <w:vAlign w:val="center"/>
          </w:tcPr>
          <w:p w14:paraId="3693E7D1" w14:textId="77777777" w:rsidR="003734EC" w:rsidRDefault="003734EC">
            <w:pPr>
              <w:rPr>
                <w:rFonts w:ascii="宋体"/>
              </w:rPr>
            </w:pPr>
          </w:p>
        </w:tc>
        <w:tc>
          <w:tcPr>
            <w:tcW w:w="0" w:type="auto"/>
            <w:shd w:val="clear" w:color="auto" w:fill="auto"/>
            <w:vAlign w:val="center"/>
          </w:tcPr>
          <w:p w14:paraId="3693E7D2" w14:textId="77777777" w:rsidR="003734EC" w:rsidRDefault="003734EC">
            <w:pPr>
              <w:rPr>
                <w:rFonts w:ascii="宋体"/>
              </w:rPr>
            </w:pPr>
          </w:p>
        </w:tc>
        <w:tc>
          <w:tcPr>
            <w:tcW w:w="0" w:type="auto"/>
            <w:shd w:val="clear" w:color="auto" w:fill="auto"/>
            <w:vAlign w:val="center"/>
          </w:tcPr>
          <w:p w14:paraId="3693E7D3" w14:textId="77777777" w:rsidR="003734EC" w:rsidRDefault="003734EC">
            <w:pPr>
              <w:rPr>
                <w:rFonts w:ascii="宋体"/>
              </w:rPr>
            </w:pPr>
          </w:p>
        </w:tc>
        <w:tc>
          <w:tcPr>
            <w:tcW w:w="0" w:type="auto"/>
            <w:shd w:val="clear" w:color="auto" w:fill="auto"/>
            <w:vAlign w:val="center"/>
          </w:tcPr>
          <w:p w14:paraId="3693E7D4" w14:textId="77777777" w:rsidR="003734EC" w:rsidRDefault="003734EC">
            <w:pPr>
              <w:rPr>
                <w:rFonts w:ascii="宋体"/>
              </w:rPr>
            </w:pPr>
          </w:p>
        </w:tc>
        <w:tc>
          <w:tcPr>
            <w:tcW w:w="0" w:type="auto"/>
            <w:shd w:val="clear" w:color="auto" w:fill="auto"/>
            <w:vAlign w:val="center"/>
          </w:tcPr>
          <w:p w14:paraId="3693E7D5" w14:textId="77777777" w:rsidR="003734EC" w:rsidRDefault="003734EC">
            <w:pPr>
              <w:rPr>
                <w:rFonts w:ascii="宋体"/>
              </w:rPr>
            </w:pPr>
          </w:p>
        </w:tc>
        <w:tc>
          <w:tcPr>
            <w:tcW w:w="0" w:type="auto"/>
            <w:shd w:val="clear" w:color="auto" w:fill="auto"/>
            <w:vAlign w:val="center"/>
          </w:tcPr>
          <w:p w14:paraId="3693E7D6" w14:textId="77777777" w:rsidR="003734EC" w:rsidRDefault="003734EC">
            <w:pPr>
              <w:rPr>
                <w:rFonts w:ascii="宋体"/>
              </w:rPr>
            </w:pPr>
          </w:p>
        </w:tc>
      </w:tr>
      <w:tr w:rsidR="003734EC" w14:paraId="3693E7EA" w14:textId="77777777">
        <w:tc>
          <w:tcPr>
            <w:tcW w:w="0" w:type="auto"/>
            <w:gridSpan w:val="3"/>
            <w:shd w:val="clear" w:color="auto" w:fill="FFFFFF"/>
            <w:tcMar>
              <w:top w:w="40" w:type="dxa"/>
              <w:left w:w="20" w:type="dxa"/>
              <w:bottom w:w="40" w:type="dxa"/>
              <w:right w:w="20" w:type="dxa"/>
            </w:tcMar>
            <w:vAlign w:val="bottom"/>
          </w:tcPr>
          <w:p w14:paraId="3693E7D8" w14:textId="77777777" w:rsidR="003734EC" w:rsidRDefault="000E364E">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tcMar>
            <w:vAlign w:val="bottom"/>
          </w:tcPr>
          <w:p w14:paraId="3693E7D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7DA" w14:textId="77777777" w:rsidR="003734EC" w:rsidRDefault="000E364E">
            <w:pPr>
              <w:jc w:val="right"/>
              <w:textAlignment w:val="bottom"/>
            </w:pPr>
            <w:r>
              <w:rPr>
                <w:rFonts w:ascii="sans-serif" w:eastAsia="sans-serif" w:hAnsi="sans-serif" w:cs="sans-serif"/>
                <w:color w:val="000000"/>
                <w:sz w:val="20"/>
                <w:szCs w:val="20"/>
              </w:rPr>
              <w:t>917 </w:t>
            </w:r>
          </w:p>
        </w:tc>
        <w:tc>
          <w:tcPr>
            <w:tcW w:w="0" w:type="auto"/>
            <w:shd w:val="clear" w:color="auto" w:fill="FFFFFF"/>
            <w:tcMar>
              <w:top w:w="40" w:type="dxa"/>
              <w:bottom w:w="40" w:type="dxa"/>
              <w:right w:w="20" w:type="dxa"/>
            </w:tcMar>
            <w:vAlign w:val="bottom"/>
          </w:tcPr>
          <w:p w14:paraId="3693E7D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7DC"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7D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7DE" w14:textId="77777777" w:rsidR="003734EC" w:rsidRDefault="000E364E">
            <w:pPr>
              <w:jc w:val="right"/>
              <w:textAlignment w:val="bottom"/>
            </w:pPr>
            <w:r>
              <w:rPr>
                <w:rFonts w:ascii="sans-serif" w:eastAsia="sans-serif" w:hAnsi="sans-serif" w:cs="sans-serif"/>
                <w:color w:val="000000"/>
                <w:sz w:val="20"/>
                <w:szCs w:val="20"/>
              </w:rPr>
              <w:t>394 </w:t>
            </w:r>
          </w:p>
        </w:tc>
        <w:tc>
          <w:tcPr>
            <w:tcW w:w="0" w:type="auto"/>
            <w:shd w:val="clear" w:color="auto" w:fill="FFFFFF"/>
            <w:tcMar>
              <w:top w:w="40" w:type="dxa"/>
              <w:bottom w:w="40" w:type="dxa"/>
              <w:right w:w="20" w:type="dxa"/>
            </w:tcMar>
            <w:vAlign w:val="bottom"/>
          </w:tcPr>
          <w:p w14:paraId="3693E7D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7E0" w14:textId="77777777" w:rsidR="003734EC" w:rsidRDefault="003734EC">
            <w:pPr>
              <w:rPr>
                <w:rFonts w:ascii="宋体"/>
                <w:vanish/>
              </w:rPr>
            </w:pPr>
          </w:p>
        </w:tc>
        <w:tc>
          <w:tcPr>
            <w:tcW w:w="0" w:type="auto"/>
            <w:shd w:val="clear" w:color="auto" w:fill="auto"/>
            <w:vAlign w:val="center"/>
          </w:tcPr>
          <w:p w14:paraId="3693E7E1" w14:textId="77777777" w:rsidR="003734EC" w:rsidRDefault="003734EC">
            <w:pPr>
              <w:rPr>
                <w:rFonts w:ascii="宋体"/>
                <w:vanish/>
              </w:rPr>
            </w:pPr>
          </w:p>
        </w:tc>
        <w:tc>
          <w:tcPr>
            <w:tcW w:w="0" w:type="auto"/>
            <w:shd w:val="clear" w:color="auto" w:fill="auto"/>
            <w:vAlign w:val="center"/>
          </w:tcPr>
          <w:p w14:paraId="3693E7E2" w14:textId="77777777" w:rsidR="003734EC" w:rsidRDefault="003734EC">
            <w:pPr>
              <w:rPr>
                <w:rFonts w:ascii="宋体"/>
                <w:vanish/>
              </w:rPr>
            </w:pPr>
          </w:p>
        </w:tc>
        <w:tc>
          <w:tcPr>
            <w:tcW w:w="0" w:type="auto"/>
            <w:shd w:val="clear" w:color="auto" w:fill="auto"/>
            <w:vAlign w:val="center"/>
          </w:tcPr>
          <w:p w14:paraId="3693E7E3" w14:textId="77777777" w:rsidR="003734EC" w:rsidRDefault="003734EC">
            <w:pPr>
              <w:rPr>
                <w:rFonts w:ascii="宋体"/>
                <w:vanish/>
              </w:rPr>
            </w:pPr>
          </w:p>
        </w:tc>
        <w:tc>
          <w:tcPr>
            <w:tcW w:w="0" w:type="auto"/>
            <w:shd w:val="clear" w:color="auto" w:fill="auto"/>
            <w:vAlign w:val="center"/>
          </w:tcPr>
          <w:p w14:paraId="3693E7E4" w14:textId="77777777" w:rsidR="003734EC" w:rsidRDefault="003734EC">
            <w:pPr>
              <w:rPr>
                <w:rFonts w:ascii="宋体"/>
              </w:rPr>
            </w:pPr>
          </w:p>
        </w:tc>
        <w:tc>
          <w:tcPr>
            <w:tcW w:w="0" w:type="auto"/>
            <w:shd w:val="clear" w:color="auto" w:fill="auto"/>
            <w:vAlign w:val="center"/>
          </w:tcPr>
          <w:p w14:paraId="3693E7E5" w14:textId="77777777" w:rsidR="003734EC" w:rsidRDefault="003734EC">
            <w:pPr>
              <w:rPr>
                <w:rFonts w:ascii="宋体"/>
              </w:rPr>
            </w:pPr>
          </w:p>
        </w:tc>
        <w:tc>
          <w:tcPr>
            <w:tcW w:w="0" w:type="auto"/>
            <w:shd w:val="clear" w:color="auto" w:fill="auto"/>
            <w:vAlign w:val="center"/>
          </w:tcPr>
          <w:p w14:paraId="3693E7E6" w14:textId="77777777" w:rsidR="003734EC" w:rsidRDefault="003734EC">
            <w:pPr>
              <w:rPr>
                <w:rFonts w:ascii="宋体"/>
              </w:rPr>
            </w:pPr>
          </w:p>
        </w:tc>
        <w:tc>
          <w:tcPr>
            <w:tcW w:w="0" w:type="auto"/>
            <w:shd w:val="clear" w:color="auto" w:fill="auto"/>
            <w:vAlign w:val="center"/>
          </w:tcPr>
          <w:p w14:paraId="3693E7E7" w14:textId="77777777" w:rsidR="003734EC" w:rsidRDefault="003734EC">
            <w:pPr>
              <w:rPr>
                <w:rFonts w:ascii="宋体"/>
              </w:rPr>
            </w:pPr>
          </w:p>
        </w:tc>
        <w:tc>
          <w:tcPr>
            <w:tcW w:w="0" w:type="auto"/>
            <w:shd w:val="clear" w:color="auto" w:fill="auto"/>
            <w:vAlign w:val="center"/>
          </w:tcPr>
          <w:p w14:paraId="3693E7E8" w14:textId="77777777" w:rsidR="003734EC" w:rsidRDefault="003734EC">
            <w:pPr>
              <w:rPr>
                <w:rFonts w:ascii="宋体"/>
              </w:rPr>
            </w:pPr>
          </w:p>
        </w:tc>
        <w:tc>
          <w:tcPr>
            <w:tcW w:w="0" w:type="auto"/>
            <w:shd w:val="clear" w:color="auto" w:fill="auto"/>
            <w:vAlign w:val="center"/>
          </w:tcPr>
          <w:p w14:paraId="3693E7E9" w14:textId="77777777" w:rsidR="003734EC" w:rsidRDefault="003734EC">
            <w:pPr>
              <w:rPr>
                <w:rFonts w:ascii="宋体"/>
              </w:rPr>
            </w:pPr>
          </w:p>
        </w:tc>
      </w:tr>
      <w:tr w:rsidR="003734EC" w14:paraId="3693E7F9" w14:textId="77777777">
        <w:tc>
          <w:tcPr>
            <w:tcW w:w="0" w:type="auto"/>
            <w:gridSpan w:val="3"/>
            <w:shd w:val="clear" w:color="auto" w:fill="E2EFD9"/>
            <w:tcMar>
              <w:top w:w="40" w:type="dxa"/>
              <w:left w:w="20" w:type="dxa"/>
              <w:bottom w:w="40" w:type="dxa"/>
              <w:right w:w="20" w:type="dxa"/>
            </w:tcMar>
            <w:vAlign w:val="bottom"/>
          </w:tcPr>
          <w:p w14:paraId="3693E7EB" w14:textId="77777777" w:rsidR="003734EC" w:rsidRDefault="000E364E">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left w:w="20" w:type="dxa"/>
              <w:right w:w="20" w:type="dxa"/>
            </w:tcMar>
            <w:vAlign w:val="bottom"/>
          </w:tcPr>
          <w:p w14:paraId="3693E7E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7ED" w14:textId="77777777" w:rsidR="003734EC" w:rsidRDefault="003734EC">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3693E7EE" w14:textId="77777777" w:rsidR="003734EC" w:rsidRDefault="003734EC">
            <w:pPr>
              <w:rPr>
                <w:rFonts w:ascii="宋体"/>
              </w:rPr>
            </w:pPr>
          </w:p>
        </w:tc>
        <w:tc>
          <w:tcPr>
            <w:tcW w:w="0" w:type="auto"/>
            <w:shd w:val="clear" w:color="auto" w:fill="auto"/>
            <w:vAlign w:val="center"/>
          </w:tcPr>
          <w:p w14:paraId="3693E7EF" w14:textId="77777777" w:rsidR="003734EC" w:rsidRDefault="003734EC">
            <w:pPr>
              <w:rPr>
                <w:rFonts w:ascii="宋体"/>
                <w:vanish/>
              </w:rPr>
            </w:pPr>
          </w:p>
        </w:tc>
        <w:tc>
          <w:tcPr>
            <w:tcW w:w="0" w:type="auto"/>
            <w:shd w:val="clear" w:color="auto" w:fill="auto"/>
            <w:vAlign w:val="center"/>
          </w:tcPr>
          <w:p w14:paraId="3693E7F0" w14:textId="77777777" w:rsidR="003734EC" w:rsidRDefault="003734EC">
            <w:pPr>
              <w:rPr>
                <w:rFonts w:ascii="宋体"/>
                <w:vanish/>
              </w:rPr>
            </w:pPr>
          </w:p>
        </w:tc>
        <w:tc>
          <w:tcPr>
            <w:tcW w:w="0" w:type="auto"/>
            <w:shd w:val="clear" w:color="auto" w:fill="auto"/>
            <w:vAlign w:val="center"/>
          </w:tcPr>
          <w:p w14:paraId="3693E7F1" w14:textId="77777777" w:rsidR="003734EC" w:rsidRDefault="003734EC">
            <w:pPr>
              <w:rPr>
                <w:rFonts w:ascii="宋体"/>
                <w:vanish/>
              </w:rPr>
            </w:pPr>
          </w:p>
        </w:tc>
        <w:tc>
          <w:tcPr>
            <w:tcW w:w="0" w:type="auto"/>
            <w:shd w:val="clear" w:color="auto" w:fill="auto"/>
            <w:vAlign w:val="center"/>
          </w:tcPr>
          <w:p w14:paraId="3693E7F2" w14:textId="77777777" w:rsidR="003734EC" w:rsidRDefault="003734EC">
            <w:pPr>
              <w:rPr>
                <w:rFonts w:ascii="宋体"/>
                <w:vanish/>
              </w:rPr>
            </w:pPr>
          </w:p>
        </w:tc>
        <w:tc>
          <w:tcPr>
            <w:tcW w:w="0" w:type="auto"/>
            <w:shd w:val="clear" w:color="auto" w:fill="auto"/>
            <w:vAlign w:val="center"/>
          </w:tcPr>
          <w:p w14:paraId="3693E7F3" w14:textId="77777777" w:rsidR="003734EC" w:rsidRDefault="003734EC">
            <w:pPr>
              <w:rPr>
                <w:rFonts w:ascii="宋体"/>
              </w:rPr>
            </w:pPr>
          </w:p>
        </w:tc>
        <w:tc>
          <w:tcPr>
            <w:tcW w:w="0" w:type="auto"/>
            <w:shd w:val="clear" w:color="auto" w:fill="auto"/>
            <w:vAlign w:val="center"/>
          </w:tcPr>
          <w:p w14:paraId="3693E7F4" w14:textId="77777777" w:rsidR="003734EC" w:rsidRDefault="003734EC">
            <w:pPr>
              <w:rPr>
                <w:rFonts w:ascii="宋体"/>
              </w:rPr>
            </w:pPr>
          </w:p>
        </w:tc>
        <w:tc>
          <w:tcPr>
            <w:tcW w:w="0" w:type="auto"/>
            <w:shd w:val="clear" w:color="auto" w:fill="auto"/>
            <w:vAlign w:val="center"/>
          </w:tcPr>
          <w:p w14:paraId="3693E7F5" w14:textId="77777777" w:rsidR="003734EC" w:rsidRDefault="003734EC">
            <w:pPr>
              <w:rPr>
                <w:rFonts w:ascii="宋体"/>
              </w:rPr>
            </w:pPr>
          </w:p>
        </w:tc>
        <w:tc>
          <w:tcPr>
            <w:tcW w:w="0" w:type="auto"/>
            <w:shd w:val="clear" w:color="auto" w:fill="auto"/>
            <w:vAlign w:val="center"/>
          </w:tcPr>
          <w:p w14:paraId="3693E7F6" w14:textId="77777777" w:rsidR="003734EC" w:rsidRDefault="003734EC">
            <w:pPr>
              <w:rPr>
                <w:rFonts w:ascii="宋体"/>
              </w:rPr>
            </w:pPr>
          </w:p>
        </w:tc>
        <w:tc>
          <w:tcPr>
            <w:tcW w:w="0" w:type="auto"/>
            <w:shd w:val="clear" w:color="auto" w:fill="auto"/>
            <w:vAlign w:val="center"/>
          </w:tcPr>
          <w:p w14:paraId="3693E7F7" w14:textId="77777777" w:rsidR="003734EC" w:rsidRDefault="003734EC">
            <w:pPr>
              <w:rPr>
                <w:rFonts w:ascii="宋体"/>
              </w:rPr>
            </w:pPr>
          </w:p>
        </w:tc>
        <w:tc>
          <w:tcPr>
            <w:tcW w:w="0" w:type="auto"/>
            <w:shd w:val="clear" w:color="auto" w:fill="auto"/>
            <w:vAlign w:val="center"/>
          </w:tcPr>
          <w:p w14:paraId="3693E7F8" w14:textId="77777777" w:rsidR="003734EC" w:rsidRDefault="003734EC">
            <w:pPr>
              <w:rPr>
                <w:rFonts w:ascii="宋体"/>
              </w:rPr>
            </w:pPr>
          </w:p>
        </w:tc>
      </w:tr>
      <w:tr w:rsidR="003734EC" w14:paraId="3693E80A" w14:textId="77777777">
        <w:tc>
          <w:tcPr>
            <w:tcW w:w="0" w:type="auto"/>
            <w:gridSpan w:val="3"/>
            <w:shd w:val="clear" w:color="auto" w:fill="FFFFFF"/>
            <w:tcMar>
              <w:top w:w="40" w:type="dxa"/>
              <w:left w:w="20" w:type="dxa"/>
              <w:bottom w:w="40" w:type="dxa"/>
              <w:right w:w="20" w:type="dxa"/>
            </w:tcMar>
            <w:vAlign w:val="bottom"/>
          </w:tcPr>
          <w:p w14:paraId="3693E7FA" w14:textId="77777777" w:rsidR="003734EC" w:rsidRDefault="000E364E">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3693E7FB" w14:textId="77777777" w:rsidR="003734EC" w:rsidRDefault="000E364E">
            <w:pPr>
              <w:jc w:val="right"/>
              <w:textAlignment w:val="bottom"/>
            </w:pPr>
            <w:r>
              <w:rPr>
                <w:rFonts w:ascii="sans-serif" w:eastAsia="sans-serif" w:hAnsi="sans-serif" w:cs="sans-serif"/>
                <w:color w:val="000000"/>
                <w:sz w:val="20"/>
                <w:szCs w:val="20"/>
              </w:rPr>
              <w:t>614 </w:t>
            </w:r>
          </w:p>
        </w:tc>
        <w:tc>
          <w:tcPr>
            <w:tcW w:w="0" w:type="auto"/>
            <w:shd w:val="clear" w:color="auto" w:fill="FFFFFF"/>
            <w:tcMar>
              <w:top w:w="40" w:type="dxa"/>
              <w:bottom w:w="40" w:type="dxa"/>
              <w:right w:w="20" w:type="dxa"/>
            </w:tcMar>
            <w:vAlign w:val="bottom"/>
          </w:tcPr>
          <w:p w14:paraId="3693E7F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7F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7FE" w14:textId="77777777" w:rsidR="003734EC" w:rsidRDefault="000E364E">
            <w:pPr>
              <w:jc w:val="right"/>
              <w:textAlignment w:val="bottom"/>
            </w:pPr>
            <w:r>
              <w:rPr>
                <w:rFonts w:ascii="sans-serif" w:eastAsia="sans-serif" w:hAnsi="sans-serif" w:cs="sans-serif"/>
                <w:color w:val="000000"/>
                <w:sz w:val="20"/>
                <w:szCs w:val="20"/>
              </w:rPr>
              <w:t>607 </w:t>
            </w:r>
          </w:p>
        </w:tc>
        <w:tc>
          <w:tcPr>
            <w:tcW w:w="0" w:type="auto"/>
            <w:shd w:val="clear" w:color="auto" w:fill="FFFFFF"/>
            <w:tcMar>
              <w:top w:w="40" w:type="dxa"/>
              <w:bottom w:w="40" w:type="dxa"/>
              <w:right w:w="20" w:type="dxa"/>
            </w:tcMar>
            <w:vAlign w:val="bottom"/>
          </w:tcPr>
          <w:p w14:paraId="3693E7F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00" w14:textId="77777777" w:rsidR="003734EC" w:rsidRDefault="003734EC">
            <w:pPr>
              <w:rPr>
                <w:rFonts w:ascii="宋体"/>
                <w:vanish/>
              </w:rPr>
            </w:pPr>
          </w:p>
        </w:tc>
        <w:tc>
          <w:tcPr>
            <w:tcW w:w="0" w:type="auto"/>
            <w:shd w:val="clear" w:color="auto" w:fill="auto"/>
            <w:vAlign w:val="center"/>
          </w:tcPr>
          <w:p w14:paraId="3693E801" w14:textId="77777777" w:rsidR="003734EC" w:rsidRDefault="003734EC">
            <w:pPr>
              <w:rPr>
                <w:rFonts w:ascii="宋体"/>
                <w:vanish/>
              </w:rPr>
            </w:pPr>
          </w:p>
        </w:tc>
        <w:tc>
          <w:tcPr>
            <w:tcW w:w="0" w:type="auto"/>
            <w:shd w:val="clear" w:color="auto" w:fill="auto"/>
            <w:vAlign w:val="center"/>
          </w:tcPr>
          <w:p w14:paraId="3693E802" w14:textId="77777777" w:rsidR="003734EC" w:rsidRDefault="003734EC">
            <w:pPr>
              <w:rPr>
                <w:rFonts w:ascii="宋体"/>
                <w:vanish/>
              </w:rPr>
            </w:pPr>
          </w:p>
        </w:tc>
        <w:tc>
          <w:tcPr>
            <w:tcW w:w="0" w:type="auto"/>
            <w:shd w:val="clear" w:color="auto" w:fill="auto"/>
            <w:vAlign w:val="center"/>
          </w:tcPr>
          <w:p w14:paraId="3693E803" w14:textId="77777777" w:rsidR="003734EC" w:rsidRDefault="003734EC">
            <w:pPr>
              <w:rPr>
                <w:rFonts w:ascii="宋体"/>
                <w:vanish/>
              </w:rPr>
            </w:pPr>
          </w:p>
        </w:tc>
        <w:tc>
          <w:tcPr>
            <w:tcW w:w="0" w:type="auto"/>
            <w:shd w:val="clear" w:color="auto" w:fill="auto"/>
            <w:vAlign w:val="center"/>
          </w:tcPr>
          <w:p w14:paraId="3693E804" w14:textId="77777777" w:rsidR="003734EC" w:rsidRDefault="003734EC">
            <w:pPr>
              <w:rPr>
                <w:rFonts w:ascii="宋体"/>
              </w:rPr>
            </w:pPr>
          </w:p>
        </w:tc>
        <w:tc>
          <w:tcPr>
            <w:tcW w:w="0" w:type="auto"/>
            <w:shd w:val="clear" w:color="auto" w:fill="auto"/>
            <w:vAlign w:val="center"/>
          </w:tcPr>
          <w:p w14:paraId="3693E805" w14:textId="77777777" w:rsidR="003734EC" w:rsidRDefault="003734EC">
            <w:pPr>
              <w:rPr>
                <w:rFonts w:ascii="宋体"/>
              </w:rPr>
            </w:pPr>
          </w:p>
        </w:tc>
        <w:tc>
          <w:tcPr>
            <w:tcW w:w="0" w:type="auto"/>
            <w:shd w:val="clear" w:color="auto" w:fill="auto"/>
            <w:vAlign w:val="center"/>
          </w:tcPr>
          <w:p w14:paraId="3693E806" w14:textId="77777777" w:rsidR="003734EC" w:rsidRDefault="003734EC">
            <w:pPr>
              <w:rPr>
                <w:rFonts w:ascii="宋体"/>
              </w:rPr>
            </w:pPr>
          </w:p>
        </w:tc>
        <w:tc>
          <w:tcPr>
            <w:tcW w:w="0" w:type="auto"/>
            <w:shd w:val="clear" w:color="auto" w:fill="auto"/>
            <w:vAlign w:val="center"/>
          </w:tcPr>
          <w:p w14:paraId="3693E807" w14:textId="77777777" w:rsidR="003734EC" w:rsidRDefault="003734EC">
            <w:pPr>
              <w:rPr>
                <w:rFonts w:ascii="宋体"/>
              </w:rPr>
            </w:pPr>
          </w:p>
        </w:tc>
        <w:tc>
          <w:tcPr>
            <w:tcW w:w="0" w:type="auto"/>
            <w:shd w:val="clear" w:color="auto" w:fill="auto"/>
            <w:vAlign w:val="center"/>
          </w:tcPr>
          <w:p w14:paraId="3693E808" w14:textId="77777777" w:rsidR="003734EC" w:rsidRDefault="003734EC">
            <w:pPr>
              <w:rPr>
                <w:rFonts w:ascii="宋体"/>
              </w:rPr>
            </w:pPr>
          </w:p>
        </w:tc>
        <w:tc>
          <w:tcPr>
            <w:tcW w:w="0" w:type="auto"/>
            <w:shd w:val="clear" w:color="auto" w:fill="auto"/>
            <w:vAlign w:val="center"/>
          </w:tcPr>
          <w:p w14:paraId="3693E809" w14:textId="77777777" w:rsidR="003734EC" w:rsidRDefault="003734EC">
            <w:pPr>
              <w:rPr>
                <w:rFonts w:ascii="宋体"/>
              </w:rPr>
            </w:pPr>
          </w:p>
        </w:tc>
      </w:tr>
      <w:tr w:rsidR="003734EC" w14:paraId="3693E81B" w14:textId="77777777">
        <w:tc>
          <w:tcPr>
            <w:tcW w:w="0" w:type="auto"/>
            <w:gridSpan w:val="3"/>
            <w:shd w:val="clear" w:color="auto" w:fill="E2EFD9"/>
            <w:tcMar>
              <w:top w:w="40" w:type="dxa"/>
              <w:left w:w="20" w:type="dxa"/>
              <w:bottom w:w="40" w:type="dxa"/>
              <w:right w:w="20" w:type="dxa"/>
            </w:tcMar>
            <w:vAlign w:val="bottom"/>
          </w:tcPr>
          <w:p w14:paraId="3693E80B" w14:textId="77777777" w:rsidR="003734EC" w:rsidRDefault="000E364E">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3693E80C" w14:textId="77777777" w:rsidR="003734EC" w:rsidRDefault="000E364E">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bottom w:w="40" w:type="dxa"/>
              <w:right w:w="20" w:type="dxa"/>
            </w:tcMar>
            <w:vAlign w:val="bottom"/>
          </w:tcPr>
          <w:p w14:paraId="3693E80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80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80F" w14:textId="77777777" w:rsidR="003734EC" w:rsidRDefault="000E364E">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bottom w:w="40" w:type="dxa"/>
              <w:right w:w="20" w:type="dxa"/>
            </w:tcMar>
            <w:vAlign w:val="bottom"/>
          </w:tcPr>
          <w:p w14:paraId="3693E81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11" w14:textId="77777777" w:rsidR="003734EC" w:rsidRDefault="003734EC">
            <w:pPr>
              <w:rPr>
                <w:rFonts w:ascii="宋体"/>
                <w:vanish/>
              </w:rPr>
            </w:pPr>
          </w:p>
        </w:tc>
        <w:tc>
          <w:tcPr>
            <w:tcW w:w="0" w:type="auto"/>
            <w:shd w:val="clear" w:color="auto" w:fill="auto"/>
            <w:vAlign w:val="center"/>
          </w:tcPr>
          <w:p w14:paraId="3693E812" w14:textId="77777777" w:rsidR="003734EC" w:rsidRDefault="003734EC">
            <w:pPr>
              <w:rPr>
                <w:rFonts w:ascii="宋体"/>
                <w:vanish/>
              </w:rPr>
            </w:pPr>
          </w:p>
        </w:tc>
        <w:tc>
          <w:tcPr>
            <w:tcW w:w="0" w:type="auto"/>
            <w:shd w:val="clear" w:color="auto" w:fill="auto"/>
            <w:vAlign w:val="center"/>
          </w:tcPr>
          <w:p w14:paraId="3693E813" w14:textId="77777777" w:rsidR="003734EC" w:rsidRDefault="003734EC">
            <w:pPr>
              <w:rPr>
                <w:rFonts w:ascii="宋体"/>
                <w:vanish/>
              </w:rPr>
            </w:pPr>
          </w:p>
        </w:tc>
        <w:tc>
          <w:tcPr>
            <w:tcW w:w="0" w:type="auto"/>
            <w:shd w:val="clear" w:color="auto" w:fill="auto"/>
            <w:vAlign w:val="center"/>
          </w:tcPr>
          <w:p w14:paraId="3693E814" w14:textId="77777777" w:rsidR="003734EC" w:rsidRDefault="003734EC">
            <w:pPr>
              <w:rPr>
                <w:rFonts w:ascii="宋体"/>
                <w:vanish/>
              </w:rPr>
            </w:pPr>
          </w:p>
        </w:tc>
        <w:tc>
          <w:tcPr>
            <w:tcW w:w="0" w:type="auto"/>
            <w:shd w:val="clear" w:color="auto" w:fill="auto"/>
            <w:vAlign w:val="center"/>
          </w:tcPr>
          <w:p w14:paraId="3693E815" w14:textId="77777777" w:rsidR="003734EC" w:rsidRDefault="003734EC">
            <w:pPr>
              <w:rPr>
                <w:rFonts w:ascii="宋体"/>
              </w:rPr>
            </w:pPr>
          </w:p>
        </w:tc>
        <w:tc>
          <w:tcPr>
            <w:tcW w:w="0" w:type="auto"/>
            <w:shd w:val="clear" w:color="auto" w:fill="auto"/>
            <w:vAlign w:val="center"/>
          </w:tcPr>
          <w:p w14:paraId="3693E816" w14:textId="77777777" w:rsidR="003734EC" w:rsidRDefault="003734EC">
            <w:pPr>
              <w:rPr>
                <w:rFonts w:ascii="宋体"/>
              </w:rPr>
            </w:pPr>
          </w:p>
        </w:tc>
        <w:tc>
          <w:tcPr>
            <w:tcW w:w="0" w:type="auto"/>
            <w:shd w:val="clear" w:color="auto" w:fill="auto"/>
            <w:vAlign w:val="center"/>
          </w:tcPr>
          <w:p w14:paraId="3693E817" w14:textId="77777777" w:rsidR="003734EC" w:rsidRDefault="003734EC">
            <w:pPr>
              <w:rPr>
                <w:rFonts w:ascii="宋体"/>
              </w:rPr>
            </w:pPr>
          </w:p>
        </w:tc>
        <w:tc>
          <w:tcPr>
            <w:tcW w:w="0" w:type="auto"/>
            <w:shd w:val="clear" w:color="auto" w:fill="auto"/>
            <w:vAlign w:val="center"/>
          </w:tcPr>
          <w:p w14:paraId="3693E818" w14:textId="77777777" w:rsidR="003734EC" w:rsidRDefault="003734EC">
            <w:pPr>
              <w:rPr>
                <w:rFonts w:ascii="宋体"/>
              </w:rPr>
            </w:pPr>
          </w:p>
        </w:tc>
        <w:tc>
          <w:tcPr>
            <w:tcW w:w="0" w:type="auto"/>
            <w:shd w:val="clear" w:color="auto" w:fill="auto"/>
            <w:vAlign w:val="center"/>
          </w:tcPr>
          <w:p w14:paraId="3693E819" w14:textId="77777777" w:rsidR="003734EC" w:rsidRDefault="003734EC">
            <w:pPr>
              <w:rPr>
                <w:rFonts w:ascii="宋体"/>
              </w:rPr>
            </w:pPr>
          </w:p>
        </w:tc>
        <w:tc>
          <w:tcPr>
            <w:tcW w:w="0" w:type="auto"/>
            <w:shd w:val="clear" w:color="auto" w:fill="auto"/>
            <w:vAlign w:val="center"/>
          </w:tcPr>
          <w:p w14:paraId="3693E81A" w14:textId="77777777" w:rsidR="003734EC" w:rsidRDefault="003734EC">
            <w:pPr>
              <w:rPr>
                <w:rFonts w:ascii="宋体"/>
              </w:rPr>
            </w:pPr>
          </w:p>
        </w:tc>
      </w:tr>
      <w:tr w:rsidR="003734EC" w14:paraId="3693E82A" w14:textId="77777777">
        <w:trPr>
          <w:hidden/>
        </w:trPr>
        <w:tc>
          <w:tcPr>
            <w:tcW w:w="0" w:type="auto"/>
            <w:gridSpan w:val="3"/>
            <w:shd w:val="clear" w:color="auto" w:fill="auto"/>
            <w:vAlign w:val="center"/>
          </w:tcPr>
          <w:p w14:paraId="3693E81C" w14:textId="77777777" w:rsidR="003734EC" w:rsidRDefault="003734EC">
            <w:pPr>
              <w:rPr>
                <w:rFonts w:ascii="宋体"/>
                <w:vanish/>
              </w:rPr>
            </w:pPr>
          </w:p>
        </w:tc>
        <w:tc>
          <w:tcPr>
            <w:tcW w:w="0" w:type="auto"/>
            <w:gridSpan w:val="3"/>
            <w:shd w:val="clear" w:color="auto" w:fill="auto"/>
            <w:vAlign w:val="center"/>
          </w:tcPr>
          <w:p w14:paraId="3693E81D" w14:textId="77777777" w:rsidR="003734EC" w:rsidRDefault="003734EC">
            <w:pPr>
              <w:rPr>
                <w:rFonts w:ascii="宋体"/>
                <w:vanish/>
              </w:rPr>
            </w:pPr>
          </w:p>
        </w:tc>
        <w:tc>
          <w:tcPr>
            <w:tcW w:w="0" w:type="auto"/>
            <w:gridSpan w:val="3"/>
            <w:shd w:val="clear" w:color="auto" w:fill="auto"/>
            <w:vAlign w:val="center"/>
          </w:tcPr>
          <w:p w14:paraId="3693E81E" w14:textId="77777777" w:rsidR="003734EC" w:rsidRDefault="003734EC">
            <w:pPr>
              <w:rPr>
                <w:rFonts w:ascii="宋体"/>
                <w:vanish/>
              </w:rPr>
            </w:pPr>
          </w:p>
        </w:tc>
        <w:tc>
          <w:tcPr>
            <w:tcW w:w="0" w:type="auto"/>
            <w:gridSpan w:val="3"/>
            <w:shd w:val="clear" w:color="auto" w:fill="auto"/>
            <w:vAlign w:val="center"/>
          </w:tcPr>
          <w:p w14:paraId="3693E81F" w14:textId="77777777" w:rsidR="003734EC" w:rsidRDefault="003734EC">
            <w:pPr>
              <w:rPr>
                <w:rFonts w:ascii="宋体"/>
                <w:vanish/>
              </w:rPr>
            </w:pPr>
          </w:p>
        </w:tc>
        <w:tc>
          <w:tcPr>
            <w:tcW w:w="0" w:type="auto"/>
            <w:shd w:val="clear" w:color="auto" w:fill="auto"/>
            <w:vAlign w:val="center"/>
          </w:tcPr>
          <w:p w14:paraId="3693E820" w14:textId="77777777" w:rsidR="003734EC" w:rsidRDefault="003734EC">
            <w:pPr>
              <w:rPr>
                <w:rFonts w:ascii="宋体"/>
                <w:vanish/>
              </w:rPr>
            </w:pPr>
          </w:p>
        </w:tc>
        <w:tc>
          <w:tcPr>
            <w:tcW w:w="0" w:type="auto"/>
            <w:shd w:val="clear" w:color="auto" w:fill="auto"/>
            <w:vAlign w:val="center"/>
          </w:tcPr>
          <w:p w14:paraId="3693E821" w14:textId="77777777" w:rsidR="003734EC" w:rsidRDefault="003734EC">
            <w:pPr>
              <w:rPr>
                <w:rFonts w:ascii="宋体"/>
                <w:vanish/>
              </w:rPr>
            </w:pPr>
          </w:p>
        </w:tc>
        <w:tc>
          <w:tcPr>
            <w:tcW w:w="0" w:type="auto"/>
            <w:shd w:val="clear" w:color="auto" w:fill="auto"/>
            <w:vAlign w:val="center"/>
          </w:tcPr>
          <w:p w14:paraId="3693E822" w14:textId="77777777" w:rsidR="003734EC" w:rsidRDefault="003734EC">
            <w:pPr>
              <w:rPr>
                <w:rFonts w:ascii="宋体"/>
                <w:vanish/>
              </w:rPr>
            </w:pPr>
          </w:p>
        </w:tc>
        <w:tc>
          <w:tcPr>
            <w:tcW w:w="0" w:type="auto"/>
            <w:shd w:val="clear" w:color="auto" w:fill="auto"/>
            <w:vAlign w:val="center"/>
          </w:tcPr>
          <w:p w14:paraId="3693E823" w14:textId="77777777" w:rsidR="003734EC" w:rsidRDefault="003734EC">
            <w:pPr>
              <w:rPr>
                <w:rFonts w:ascii="宋体"/>
                <w:vanish/>
              </w:rPr>
            </w:pPr>
          </w:p>
        </w:tc>
        <w:tc>
          <w:tcPr>
            <w:tcW w:w="0" w:type="auto"/>
            <w:shd w:val="clear" w:color="auto" w:fill="auto"/>
            <w:vAlign w:val="center"/>
          </w:tcPr>
          <w:p w14:paraId="3693E824" w14:textId="77777777" w:rsidR="003734EC" w:rsidRDefault="003734EC">
            <w:pPr>
              <w:rPr>
                <w:rFonts w:ascii="宋体"/>
              </w:rPr>
            </w:pPr>
          </w:p>
        </w:tc>
        <w:tc>
          <w:tcPr>
            <w:tcW w:w="0" w:type="auto"/>
            <w:shd w:val="clear" w:color="auto" w:fill="auto"/>
            <w:vAlign w:val="center"/>
          </w:tcPr>
          <w:p w14:paraId="3693E825" w14:textId="77777777" w:rsidR="003734EC" w:rsidRDefault="003734EC">
            <w:pPr>
              <w:rPr>
                <w:rFonts w:ascii="宋体"/>
              </w:rPr>
            </w:pPr>
          </w:p>
        </w:tc>
        <w:tc>
          <w:tcPr>
            <w:tcW w:w="0" w:type="auto"/>
            <w:shd w:val="clear" w:color="auto" w:fill="auto"/>
            <w:vAlign w:val="center"/>
          </w:tcPr>
          <w:p w14:paraId="3693E826" w14:textId="77777777" w:rsidR="003734EC" w:rsidRDefault="003734EC">
            <w:pPr>
              <w:rPr>
                <w:rFonts w:ascii="宋体"/>
              </w:rPr>
            </w:pPr>
          </w:p>
        </w:tc>
        <w:tc>
          <w:tcPr>
            <w:tcW w:w="0" w:type="auto"/>
            <w:shd w:val="clear" w:color="auto" w:fill="auto"/>
            <w:vAlign w:val="center"/>
          </w:tcPr>
          <w:p w14:paraId="3693E827" w14:textId="77777777" w:rsidR="003734EC" w:rsidRDefault="003734EC">
            <w:pPr>
              <w:rPr>
                <w:rFonts w:ascii="宋体"/>
              </w:rPr>
            </w:pPr>
          </w:p>
        </w:tc>
        <w:tc>
          <w:tcPr>
            <w:tcW w:w="0" w:type="auto"/>
            <w:shd w:val="clear" w:color="auto" w:fill="auto"/>
            <w:vAlign w:val="center"/>
          </w:tcPr>
          <w:p w14:paraId="3693E828" w14:textId="77777777" w:rsidR="003734EC" w:rsidRDefault="003734EC">
            <w:pPr>
              <w:rPr>
                <w:rFonts w:ascii="宋体"/>
              </w:rPr>
            </w:pPr>
          </w:p>
        </w:tc>
        <w:tc>
          <w:tcPr>
            <w:tcW w:w="0" w:type="auto"/>
            <w:shd w:val="clear" w:color="auto" w:fill="auto"/>
            <w:vAlign w:val="center"/>
          </w:tcPr>
          <w:p w14:paraId="3693E829" w14:textId="77777777" w:rsidR="003734EC" w:rsidRDefault="003734EC">
            <w:pPr>
              <w:rPr>
                <w:rFonts w:ascii="宋体"/>
              </w:rPr>
            </w:pPr>
          </w:p>
        </w:tc>
      </w:tr>
      <w:tr w:rsidR="003734EC" w14:paraId="3693E839" w14:textId="77777777">
        <w:trPr>
          <w:hidden/>
        </w:trPr>
        <w:tc>
          <w:tcPr>
            <w:tcW w:w="0" w:type="auto"/>
            <w:gridSpan w:val="3"/>
            <w:shd w:val="clear" w:color="auto" w:fill="auto"/>
            <w:vAlign w:val="center"/>
          </w:tcPr>
          <w:p w14:paraId="3693E82B" w14:textId="77777777" w:rsidR="003734EC" w:rsidRDefault="003734EC">
            <w:pPr>
              <w:rPr>
                <w:rFonts w:ascii="宋体"/>
                <w:vanish/>
              </w:rPr>
            </w:pPr>
          </w:p>
        </w:tc>
        <w:tc>
          <w:tcPr>
            <w:tcW w:w="0" w:type="auto"/>
            <w:gridSpan w:val="3"/>
            <w:shd w:val="clear" w:color="auto" w:fill="auto"/>
            <w:vAlign w:val="center"/>
          </w:tcPr>
          <w:p w14:paraId="3693E82C" w14:textId="77777777" w:rsidR="003734EC" w:rsidRDefault="003734EC">
            <w:pPr>
              <w:rPr>
                <w:rFonts w:ascii="宋体"/>
                <w:vanish/>
              </w:rPr>
            </w:pPr>
          </w:p>
        </w:tc>
        <w:tc>
          <w:tcPr>
            <w:tcW w:w="0" w:type="auto"/>
            <w:gridSpan w:val="3"/>
            <w:shd w:val="clear" w:color="auto" w:fill="auto"/>
            <w:vAlign w:val="center"/>
          </w:tcPr>
          <w:p w14:paraId="3693E82D" w14:textId="77777777" w:rsidR="003734EC" w:rsidRDefault="003734EC">
            <w:pPr>
              <w:rPr>
                <w:rFonts w:ascii="宋体"/>
                <w:vanish/>
              </w:rPr>
            </w:pPr>
          </w:p>
        </w:tc>
        <w:tc>
          <w:tcPr>
            <w:tcW w:w="0" w:type="auto"/>
            <w:gridSpan w:val="3"/>
            <w:shd w:val="clear" w:color="auto" w:fill="auto"/>
            <w:vAlign w:val="center"/>
          </w:tcPr>
          <w:p w14:paraId="3693E82E" w14:textId="77777777" w:rsidR="003734EC" w:rsidRDefault="003734EC">
            <w:pPr>
              <w:rPr>
                <w:rFonts w:ascii="宋体"/>
                <w:vanish/>
              </w:rPr>
            </w:pPr>
          </w:p>
        </w:tc>
        <w:tc>
          <w:tcPr>
            <w:tcW w:w="0" w:type="auto"/>
            <w:shd w:val="clear" w:color="auto" w:fill="auto"/>
            <w:vAlign w:val="center"/>
          </w:tcPr>
          <w:p w14:paraId="3693E82F" w14:textId="77777777" w:rsidR="003734EC" w:rsidRDefault="003734EC">
            <w:pPr>
              <w:rPr>
                <w:rFonts w:ascii="宋体"/>
                <w:vanish/>
              </w:rPr>
            </w:pPr>
          </w:p>
        </w:tc>
        <w:tc>
          <w:tcPr>
            <w:tcW w:w="0" w:type="auto"/>
            <w:shd w:val="clear" w:color="auto" w:fill="auto"/>
            <w:vAlign w:val="center"/>
          </w:tcPr>
          <w:p w14:paraId="3693E830" w14:textId="77777777" w:rsidR="003734EC" w:rsidRDefault="003734EC">
            <w:pPr>
              <w:rPr>
                <w:rFonts w:ascii="宋体"/>
                <w:vanish/>
              </w:rPr>
            </w:pPr>
          </w:p>
        </w:tc>
        <w:tc>
          <w:tcPr>
            <w:tcW w:w="0" w:type="auto"/>
            <w:shd w:val="clear" w:color="auto" w:fill="auto"/>
            <w:vAlign w:val="center"/>
          </w:tcPr>
          <w:p w14:paraId="3693E831" w14:textId="77777777" w:rsidR="003734EC" w:rsidRDefault="003734EC">
            <w:pPr>
              <w:rPr>
                <w:rFonts w:ascii="宋体"/>
                <w:vanish/>
              </w:rPr>
            </w:pPr>
          </w:p>
        </w:tc>
        <w:tc>
          <w:tcPr>
            <w:tcW w:w="0" w:type="auto"/>
            <w:shd w:val="clear" w:color="auto" w:fill="auto"/>
            <w:vAlign w:val="center"/>
          </w:tcPr>
          <w:p w14:paraId="3693E832" w14:textId="77777777" w:rsidR="003734EC" w:rsidRDefault="003734EC">
            <w:pPr>
              <w:rPr>
                <w:rFonts w:ascii="宋体"/>
                <w:vanish/>
              </w:rPr>
            </w:pPr>
          </w:p>
        </w:tc>
        <w:tc>
          <w:tcPr>
            <w:tcW w:w="0" w:type="auto"/>
            <w:shd w:val="clear" w:color="auto" w:fill="auto"/>
            <w:vAlign w:val="center"/>
          </w:tcPr>
          <w:p w14:paraId="3693E833" w14:textId="77777777" w:rsidR="003734EC" w:rsidRDefault="003734EC">
            <w:pPr>
              <w:rPr>
                <w:rFonts w:ascii="宋体"/>
              </w:rPr>
            </w:pPr>
          </w:p>
        </w:tc>
        <w:tc>
          <w:tcPr>
            <w:tcW w:w="0" w:type="auto"/>
            <w:shd w:val="clear" w:color="auto" w:fill="auto"/>
            <w:vAlign w:val="center"/>
          </w:tcPr>
          <w:p w14:paraId="3693E834" w14:textId="77777777" w:rsidR="003734EC" w:rsidRDefault="003734EC">
            <w:pPr>
              <w:rPr>
                <w:rFonts w:ascii="宋体"/>
              </w:rPr>
            </w:pPr>
          </w:p>
        </w:tc>
        <w:tc>
          <w:tcPr>
            <w:tcW w:w="0" w:type="auto"/>
            <w:shd w:val="clear" w:color="auto" w:fill="auto"/>
            <w:vAlign w:val="center"/>
          </w:tcPr>
          <w:p w14:paraId="3693E835" w14:textId="77777777" w:rsidR="003734EC" w:rsidRDefault="003734EC">
            <w:pPr>
              <w:rPr>
                <w:rFonts w:ascii="宋体"/>
              </w:rPr>
            </w:pPr>
          </w:p>
        </w:tc>
        <w:tc>
          <w:tcPr>
            <w:tcW w:w="0" w:type="auto"/>
            <w:shd w:val="clear" w:color="auto" w:fill="auto"/>
            <w:vAlign w:val="center"/>
          </w:tcPr>
          <w:p w14:paraId="3693E836" w14:textId="77777777" w:rsidR="003734EC" w:rsidRDefault="003734EC">
            <w:pPr>
              <w:rPr>
                <w:rFonts w:ascii="宋体"/>
              </w:rPr>
            </w:pPr>
          </w:p>
        </w:tc>
        <w:tc>
          <w:tcPr>
            <w:tcW w:w="0" w:type="auto"/>
            <w:shd w:val="clear" w:color="auto" w:fill="auto"/>
            <w:vAlign w:val="center"/>
          </w:tcPr>
          <w:p w14:paraId="3693E837" w14:textId="77777777" w:rsidR="003734EC" w:rsidRDefault="003734EC">
            <w:pPr>
              <w:rPr>
                <w:rFonts w:ascii="宋体"/>
              </w:rPr>
            </w:pPr>
          </w:p>
        </w:tc>
        <w:tc>
          <w:tcPr>
            <w:tcW w:w="0" w:type="auto"/>
            <w:shd w:val="clear" w:color="auto" w:fill="auto"/>
            <w:vAlign w:val="center"/>
          </w:tcPr>
          <w:p w14:paraId="3693E838" w14:textId="77777777" w:rsidR="003734EC" w:rsidRDefault="003734EC">
            <w:pPr>
              <w:rPr>
                <w:rFonts w:ascii="宋体"/>
              </w:rPr>
            </w:pPr>
          </w:p>
        </w:tc>
      </w:tr>
      <w:tr w:rsidR="003734EC" w14:paraId="3693E84A" w14:textId="77777777">
        <w:tc>
          <w:tcPr>
            <w:tcW w:w="0" w:type="auto"/>
            <w:gridSpan w:val="3"/>
            <w:shd w:val="clear" w:color="auto" w:fill="FFFFFF"/>
            <w:tcMar>
              <w:top w:w="40" w:type="dxa"/>
              <w:left w:w="20" w:type="dxa"/>
              <w:bottom w:w="40" w:type="dxa"/>
              <w:right w:w="20" w:type="dxa"/>
            </w:tcMar>
            <w:vAlign w:val="bottom"/>
          </w:tcPr>
          <w:p w14:paraId="3693E83A" w14:textId="77777777" w:rsidR="003734EC" w:rsidRDefault="000E364E">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83B" w14:textId="77777777" w:rsidR="003734EC" w:rsidRDefault="000E364E">
            <w:pPr>
              <w:jc w:val="right"/>
              <w:textAlignment w:val="bottom"/>
            </w:pPr>
            <w:r>
              <w:rPr>
                <w:rFonts w:ascii="sans-serif" w:eastAsia="sans-serif" w:hAnsi="sans-serif" w:cs="sans-serif"/>
                <w:color w:val="000000"/>
                <w:sz w:val="20"/>
                <w:szCs w:val="20"/>
              </w:rPr>
              <w:t>622 </w:t>
            </w:r>
          </w:p>
        </w:tc>
        <w:tc>
          <w:tcPr>
            <w:tcW w:w="0" w:type="auto"/>
            <w:tcBorders>
              <w:top w:val="single" w:sz="8" w:space="0" w:color="000000"/>
            </w:tcBorders>
            <w:shd w:val="clear" w:color="auto" w:fill="FFFFFF"/>
            <w:tcMar>
              <w:top w:w="40" w:type="dxa"/>
              <w:bottom w:w="40" w:type="dxa"/>
              <w:right w:w="20" w:type="dxa"/>
            </w:tcMar>
            <w:vAlign w:val="bottom"/>
          </w:tcPr>
          <w:p w14:paraId="3693E83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83D"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E83E" w14:textId="77777777" w:rsidR="003734EC" w:rsidRDefault="000E364E">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tcBorders>
            <w:shd w:val="clear" w:color="auto" w:fill="FFFFFF"/>
            <w:tcMar>
              <w:top w:w="40" w:type="dxa"/>
              <w:bottom w:w="40" w:type="dxa"/>
              <w:right w:w="20" w:type="dxa"/>
            </w:tcMar>
            <w:vAlign w:val="bottom"/>
          </w:tcPr>
          <w:p w14:paraId="3693E83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40" w14:textId="77777777" w:rsidR="003734EC" w:rsidRDefault="003734EC">
            <w:pPr>
              <w:rPr>
                <w:rFonts w:ascii="宋体"/>
                <w:vanish/>
              </w:rPr>
            </w:pPr>
          </w:p>
        </w:tc>
        <w:tc>
          <w:tcPr>
            <w:tcW w:w="0" w:type="auto"/>
            <w:shd w:val="clear" w:color="auto" w:fill="auto"/>
            <w:vAlign w:val="center"/>
          </w:tcPr>
          <w:p w14:paraId="3693E841" w14:textId="77777777" w:rsidR="003734EC" w:rsidRDefault="003734EC">
            <w:pPr>
              <w:rPr>
                <w:rFonts w:ascii="宋体"/>
                <w:vanish/>
              </w:rPr>
            </w:pPr>
          </w:p>
        </w:tc>
        <w:tc>
          <w:tcPr>
            <w:tcW w:w="0" w:type="auto"/>
            <w:shd w:val="clear" w:color="auto" w:fill="auto"/>
            <w:vAlign w:val="center"/>
          </w:tcPr>
          <w:p w14:paraId="3693E842" w14:textId="77777777" w:rsidR="003734EC" w:rsidRDefault="003734EC">
            <w:pPr>
              <w:rPr>
                <w:rFonts w:ascii="宋体"/>
                <w:vanish/>
              </w:rPr>
            </w:pPr>
          </w:p>
        </w:tc>
        <w:tc>
          <w:tcPr>
            <w:tcW w:w="0" w:type="auto"/>
            <w:shd w:val="clear" w:color="auto" w:fill="auto"/>
            <w:vAlign w:val="center"/>
          </w:tcPr>
          <w:p w14:paraId="3693E843" w14:textId="77777777" w:rsidR="003734EC" w:rsidRDefault="003734EC">
            <w:pPr>
              <w:rPr>
                <w:rFonts w:ascii="宋体"/>
                <w:vanish/>
              </w:rPr>
            </w:pPr>
          </w:p>
        </w:tc>
        <w:tc>
          <w:tcPr>
            <w:tcW w:w="0" w:type="auto"/>
            <w:shd w:val="clear" w:color="auto" w:fill="auto"/>
            <w:vAlign w:val="center"/>
          </w:tcPr>
          <w:p w14:paraId="3693E844" w14:textId="77777777" w:rsidR="003734EC" w:rsidRDefault="003734EC">
            <w:pPr>
              <w:rPr>
                <w:rFonts w:ascii="宋体"/>
              </w:rPr>
            </w:pPr>
          </w:p>
        </w:tc>
        <w:tc>
          <w:tcPr>
            <w:tcW w:w="0" w:type="auto"/>
            <w:shd w:val="clear" w:color="auto" w:fill="auto"/>
            <w:vAlign w:val="center"/>
          </w:tcPr>
          <w:p w14:paraId="3693E845" w14:textId="77777777" w:rsidR="003734EC" w:rsidRDefault="003734EC">
            <w:pPr>
              <w:rPr>
                <w:rFonts w:ascii="宋体"/>
              </w:rPr>
            </w:pPr>
          </w:p>
        </w:tc>
        <w:tc>
          <w:tcPr>
            <w:tcW w:w="0" w:type="auto"/>
            <w:shd w:val="clear" w:color="auto" w:fill="auto"/>
            <w:vAlign w:val="center"/>
          </w:tcPr>
          <w:p w14:paraId="3693E846" w14:textId="77777777" w:rsidR="003734EC" w:rsidRDefault="003734EC">
            <w:pPr>
              <w:rPr>
                <w:rFonts w:ascii="宋体"/>
              </w:rPr>
            </w:pPr>
          </w:p>
        </w:tc>
        <w:tc>
          <w:tcPr>
            <w:tcW w:w="0" w:type="auto"/>
            <w:shd w:val="clear" w:color="auto" w:fill="auto"/>
            <w:vAlign w:val="center"/>
          </w:tcPr>
          <w:p w14:paraId="3693E847" w14:textId="77777777" w:rsidR="003734EC" w:rsidRDefault="003734EC">
            <w:pPr>
              <w:rPr>
                <w:rFonts w:ascii="宋体"/>
              </w:rPr>
            </w:pPr>
          </w:p>
        </w:tc>
        <w:tc>
          <w:tcPr>
            <w:tcW w:w="0" w:type="auto"/>
            <w:shd w:val="clear" w:color="auto" w:fill="auto"/>
            <w:vAlign w:val="center"/>
          </w:tcPr>
          <w:p w14:paraId="3693E848" w14:textId="77777777" w:rsidR="003734EC" w:rsidRDefault="003734EC">
            <w:pPr>
              <w:rPr>
                <w:rFonts w:ascii="宋体"/>
              </w:rPr>
            </w:pPr>
          </w:p>
        </w:tc>
        <w:tc>
          <w:tcPr>
            <w:tcW w:w="0" w:type="auto"/>
            <w:shd w:val="clear" w:color="auto" w:fill="auto"/>
            <w:vAlign w:val="center"/>
          </w:tcPr>
          <w:p w14:paraId="3693E849" w14:textId="77777777" w:rsidR="003734EC" w:rsidRDefault="003734EC">
            <w:pPr>
              <w:rPr>
                <w:rFonts w:ascii="宋体"/>
              </w:rPr>
            </w:pPr>
          </w:p>
        </w:tc>
      </w:tr>
      <w:tr w:rsidR="003734EC" w14:paraId="3693E859" w14:textId="77777777">
        <w:tc>
          <w:tcPr>
            <w:tcW w:w="0" w:type="auto"/>
            <w:gridSpan w:val="3"/>
            <w:shd w:val="clear" w:color="auto" w:fill="E2EFD9"/>
            <w:tcMar>
              <w:top w:w="40" w:type="dxa"/>
              <w:left w:w="20" w:type="dxa"/>
              <w:bottom w:w="40" w:type="dxa"/>
              <w:right w:w="20" w:type="dxa"/>
            </w:tcMar>
            <w:vAlign w:val="bottom"/>
          </w:tcPr>
          <w:p w14:paraId="3693E84B" w14:textId="77777777" w:rsidR="003734EC" w:rsidRDefault="000E364E">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left w:w="20" w:type="dxa"/>
              <w:right w:w="20" w:type="dxa"/>
            </w:tcMar>
            <w:vAlign w:val="bottom"/>
          </w:tcPr>
          <w:p w14:paraId="3693E84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84D" w14:textId="77777777" w:rsidR="003734EC" w:rsidRDefault="003734EC">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3693E84E" w14:textId="77777777" w:rsidR="003734EC" w:rsidRDefault="003734EC">
            <w:pPr>
              <w:rPr>
                <w:rFonts w:ascii="宋体"/>
              </w:rPr>
            </w:pPr>
          </w:p>
        </w:tc>
        <w:tc>
          <w:tcPr>
            <w:tcW w:w="0" w:type="auto"/>
            <w:shd w:val="clear" w:color="auto" w:fill="auto"/>
            <w:vAlign w:val="center"/>
          </w:tcPr>
          <w:p w14:paraId="3693E84F" w14:textId="77777777" w:rsidR="003734EC" w:rsidRDefault="003734EC">
            <w:pPr>
              <w:rPr>
                <w:rFonts w:ascii="宋体"/>
                <w:vanish/>
              </w:rPr>
            </w:pPr>
          </w:p>
        </w:tc>
        <w:tc>
          <w:tcPr>
            <w:tcW w:w="0" w:type="auto"/>
            <w:shd w:val="clear" w:color="auto" w:fill="auto"/>
            <w:vAlign w:val="center"/>
          </w:tcPr>
          <w:p w14:paraId="3693E850" w14:textId="77777777" w:rsidR="003734EC" w:rsidRDefault="003734EC">
            <w:pPr>
              <w:rPr>
                <w:rFonts w:ascii="宋体"/>
                <w:vanish/>
              </w:rPr>
            </w:pPr>
          </w:p>
        </w:tc>
        <w:tc>
          <w:tcPr>
            <w:tcW w:w="0" w:type="auto"/>
            <w:shd w:val="clear" w:color="auto" w:fill="auto"/>
            <w:vAlign w:val="center"/>
          </w:tcPr>
          <w:p w14:paraId="3693E851" w14:textId="77777777" w:rsidR="003734EC" w:rsidRDefault="003734EC">
            <w:pPr>
              <w:rPr>
                <w:rFonts w:ascii="宋体"/>
                <w:vanish/>
              </w:rPr>
            </w:pPr>
          </w:p>
        </w:tc>
        <w:tc>
          <w:tcPr>
            <w:tcW w:w="0" w:type="auto"/>
            <w:shd w:val="clear" w:color="auto" w:fill="auto"/>
            <w:vAlign w:val="center"/>
          </w:tcPr>
          <w:p w14:paraId="3693E852" w14:textId="77777777" w:rsidR="003734EC" w:rsidRDefault="003734EC">
            <w:pPr>
              <w:rPr>
                <w:rFonts w:ascii="宋体"/>
                <w:vanish/>
              </w:rPr>
            </w:pPr>
          </w:p>
        </w:tc>
        <w:tc>
          <w:tcPr>
            <w:tcW w:w="0" w:type="auto"/>
            <w:shd w:val="clear" w:color="auto" w:fill="auto"/>
            <w:vAlign w:val="center"/>
          </w:tcPr>
          <w:p w14:paraId="3693E853" w14:textId="77777777" w:rsidR="003734EC" w:rsidRDefault="003734EC">
            <w:pPr>
              <w:rPr>
                <w:rFonts w:ascii="宋体"/>
              </w:rPr>
            </w:pPr>
          </w:p>
        </w:tc>
        <w:tc>
          <w:tcPr>
            <w:tcW w:w="0" w:type="auto"/>
            <w:shd w:val="clear" w:color="auto" w:fill="auto"/>
            <w:vAlign w:val="center"/>
          </w:tcPr>
          <w:p w14:paraId="3693E854" w14:textId="77777777" w:rsidR="003734EC" w:rsidRDefault="003734EC">
            <w:pPr>
              <w:rPr>
                <w:rFonts w:ascii="宋体"/>
              </w:rPr>
            </w:pPr>
          </w:p>
        </w:tc>
        <w:tc>
          <w:tcPr>
            <w:tcW w:w="0" w:type="auto"/>
            <w:shd w:val="clear" w:color="auto" w:fill="auto"/>
            <w:vAlign w:val="center"/>
          </w:tcPr>
          <w:p w14:paraId="3693E855" w14:textId="77777777" w:rsidR="003734EC" w:rsidRDefault="003734EC">
            <w:pPr>
              <w:rPr>
                <w:rFonts w:ascii="宋体"/>
              </w:rPr>
            </w:pPr>
          </w:p>
        </w:tc>
        <w:tc>
          <w:tcPr>
            <w:tcW w:w="0" w:type="auto"/>
            <w:shd w:val="clear" w:color="auto" w:fill="auto"/>
            <w:vAlign w:val="center"/>
          </w:tcPr>
          <w:p w14:paraId="3693E856" w14:textId="77777777" w:rsidR="003734EC" w:rsidRDefault="003734EC">
            <w:pPr>
              <w:rPr>
                <w:rFonts w:ascii="宋体"/>
              </w:rPr>
            </w:pPr>
          </w:p>
        </w:tc>
        <w:tc>
          <w:tcPr>
            <w:tcW w:w="0" w:type="auto"/>
            <w:shd w:val="clear" w:color="auto" w:fill="auto"/>
            <w:vAlign w:val="center"/>
          </w:tcPr>
          <w:p w14:paraId="3693E857" w14:textId="77777777" w:rsidR="003734EC" w:rsidRDefault="003734EC">
            <w:pPr>
              <w:rPr>
                <w:rFonts w:ascii="宋体"/>
              </w:rPr>
            </w:pPr>
          </w:p>
        </w:tc>
        <w:tc>
          <w:tcPr>
            <w:tcW w:w="0" w:type="auto"/>
            <w:shd w:val="clear" w:color="auto" w:fill="auto"/>
            <w:vAlign w:val="center"/>
          </w:tcPr>
          <w:p w14:paraId="3693E858" w14:textId="77777777" w:rsidR="003734EC" w:rsidRDefault="003734EC">
            <w:pPr>
              <w:rPr>
                <w:rFonts w:ascii="宋体"/>
              </w:rPr>
            </w:pPr>
          </w:p>
        </w:tc>
      </w:tr>
      <w:tr w:rsidR="003734EC" w14:paraId="3693E86C" w14:textId="77777777">
        <w:tc>
          <w:tcPr>
            <w:tcW w:w="0" w:type="auto"/>
            <w:gridSpan w:val="3"/>
            <w:shd w:val="clear" w:color="auto" w:fill="FFFFFF"/>
            <w:tcMar>
              <w:top w:w="40" w:type="dxa"/>
              <w:left w:w="20" w:type="dxa"/>
              <w:bottom w:w="40" w:type="dxa"/>
              <w:right w:w="20" w:type="dxa"/>
            </w:tcMar>
            <w:vAlign w:val="bottom"/>
          </w:tcPr>
          <w:p w14:paraId="3693E85A" w14:textId="77777777" w:rsidR="003734EC" w:rsidRDefault="000E364E">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tcMar>
            <w:vAlign w:val="bottom"/>
          </w:tcPr>
          <w:p w14:paraId="3693E85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85C" w14:textId="77777777" w:rsidR="003734EC" w:rsidRDefault="000E364E">
            <w:pPr>
              <w:jc w:val="right"/>
              <w:textAlignment w:val="bottom"/>
            </w:pPr>
            <w:r>
              <w:rPr>
                <w:rFonts w:ascii="sans-serif" w:eastAsia="sans-serif" w:hAnsi="sans-serif" w:cs="sans-serif"/>
                <w:color w:val="000000"/>
                <w:sz w:val="20"/>
                <w:szCs w:val="20"/>
              </w:rPr>
              <w:t>1.49 </w:t>
            </w:r>
          </w:p>
        </w:tc>
        <w:tc>
          <w:tcPr>
            <w:tcW w:w="0" w:type="auto"/>
            <w:shd w:val="clear" w:color="auto" w:fill="FFFFFF"/>
            <w:tcMar>
              <w:top w:w="40" w:type="dxa"/>
              <w:bottom w:w="40" w:type="dxa"/>
              <w:right w:w="20" w:type="dxa"/>
            </w:tcMar>
            <w:vAlign w:val="bottom"/>
          </w:tcPr>
          <w:p w14:paraId="3693E85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85E"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85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860" w14:textId="77777777" w:rsidR="003734EC" w:rsidRDefault="000E364E">
            <w:pPr>
              <w:jc w:val="right"/>
              <w:textAlignment w:val="bottom"/>
            </w:pPr>
            <w:r>
              <w:rPr>
                <w:rFonts w:ascii="sans-serif" w:eastAsia="sans-serif" w:hAnsi="sans-serif" w:cs="sans-serif"/>
                <w:color w:val="000000"/>
                <w:sz w:val="20"/>
                <w:szCs w:val="20"/>
              </w:rPr>
              <w:t>0.65 </w:t>
            </w:r>
          </w:p>
        </w:tc>
        <w:tc>
          <w:tcPr>
            <w:tcW w:w="0" w:type="auto"/>
            <w:shd w:val="clear" w:color="auto" w:fill="FFFFFF"/>
            <w:tcMar>
              <w:top w:w="40" w:type="dxa"/>
              <w:bottom w:w="40" w:type="dxa"/>
              <w:right w:w="20" w:type="dxa"/>
            </w:tcMar>
            <w:vAlign w:val="bottom"/>
          </w:tcPr>
          <w:p w14:paraId="3693E86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62" w14:textId="77777777" w:rsidR="003734EC" w:rsidRDefault="003734EC">
            <w:pPr>
              <w:rPr>
                <w:rFonts w:ascii="宋体"/>
                <w:vanish/>
              </w:rPr>
            </w:pPr>
          </w:p>
        </w:tc>
        <w:tc>
          <w:tcPr>
            <w:tcW w:w="0" w:type="auto"/>
            <w:shd w:val="clear" w:color="auto" w:fill="auto"/>
            <w:vAlign w:val="center"/>
          </w:tcPr>
          <w:p w14:paraId="3693E863" w14:textId="77777777" w:rsidR="003734EC" w:rsidRDefault="003734EC">
            <w:pPr>
              <w:rPr>
                <w:rFonts w:ascii="宋体"/>
                <w:vanish/>
              </w:rPr>
            </w:pPr>
          </w:p>
        </w:tc>
        <w:tc>
          <w:tcPr>
            <w:tcW w:w="0" w:type="auto"/>
            <w:shd w:val="clear" w:color="auto" w:fill="auto"/>
            <w:vAlign w:val="center"/>
          </w:tcPr>
          <w:p w14:paraId="3693E864" w14:textId="77777777" w:rsidR="003734EC" w:rsidRDefault="003734EC">
            <w:pPr>
              <w:rPr>
                <w:rFonts w:ascii="宋体"/>
                <w:vanish/>
              </w:rPr>
            </w:pPr>
          </w:p>
        </w:tc>
        <w:tc>
          <w:tcPr>
            <w:tcW w:w="0" w:type="auto"/>
            <w:shd w:val="clear" w:color="auto" w:fill="auto"/>
            <w:vAlign w:val="center"/>
          </w:tcPr>
          <w:p w14:paraId="3693E865" w14:textId="77777777" w:rsidR="003734EC" w:rsidRDefault="003734EC">
            <w:pPr>
              <w:rPr>
                <w:rFonts w:ascii="宋体"/>
                <w:vanish/>
              </w:rPr>
            </w:pPr>
          </w:p>
        </w:tc>
        <w:tc>
          <w:tcPr>
            <w:tcW w:w="0" w:type="auto"/>
            <w:shd w:val="clear" w:color="auto" w:fill="auto"/>
            <w:vAlign w:val="center"/>
          </w:tcPr>
          <w:p w14:paraId="3693E866" w14:textId="77777777" w:rsidR="003734EC" w:rsidRDefault="003734EC">
            <w:pPr>
              <w:rPr>
                <w:rFonts w:ascii="宋体"/>
              </w:rPr>
            </w:pPr>
          </w:p>
        </w:tc>
        <w:tc>
          <w:tcPr>
            <w:tcW w:w="0" w:type="auto"/>
            <w:shd w:val="clear" w:color="auto" w:fill="auto"/>
            <w:vAlign w:val="center"/>
          </w:tcPr>
          <w:p w14:paraId="3693E867" w14:textId="77777777" w:rsidR="003734EC" w:rsidRDefault="003734EC">
            <w:pPr>
              <w:rPr>
                <w:rFonts w:ascii="宋体"/>
              </w:rPr>
            </w:pPr>
          </w:p>
        </w:tc>
        <w:tc>
          <w:tcPr>
            <w:tcW w:w="0" w:type="auto"/>
            <w:shd w:val="clear" w:color="auto" w:fill="auto"/>
            <w:vAlign w:val="center"/>
          </w:tcPr>
          <w:p w14:paraId="3693E868" w14:textId="77777777" w:rsidR="003734EC" w:rsidRDefault="003734EC">
            <w:pPr>
              <w:rPr>
                <w:rFonts w:ascii="宋体"/>
              </w:rPr>
            </w:pPr>
          </w:p>
        </w:tc>
        <w:tc>
          <w:tcPr>
            <w:tcW w:w="0" w:type="auto"/>
            <w:shd w:val="clear" w:color="auto" w:fill="auto"/>
            <w:vAlign w:val="center"/>
          </w:tcPr>
          <w:p w14:paraId="3693E869" w14:textId="77777777" w:rsidR="003734EC" w:rsidRDefault="003734EC">
            <w:pPr>
              <w:rPr>
                <w:rFonts w:ascii="宋体"/>
              </w:rPr>
            </w:pPr>
          </w:p>
        </w:tc>
        <w:tc>
          <w:tcPr>
            <w:tcW w:w="0" w:type="auto"/>
            <w:shd w:val="clear" w:color="auto" w:fill="auto"/>
            <w:vAlign w:val="center"/>
          </w:tcPr>
          <w:p w14:paraId="3693E86A" w14:textId="77777777" w:rsidR="003734EC" w:rsidRDefault="003734EC">
            <w:pPr>
              <w:rPr>
                <w:rFonts w:ascii="宋体"/>
              </w:rPr>
            </w:pPr>
          </w:p>
        </w:tc>
        <w:tc>
          <w:tcPr>
            <w:tcW w:w="0" w:type="auto"/>
            <w:shd w:val="clear" w:color="auto" w:fill="auto"/>
            <w:vAlign w:val="center"/>
          </w:tcPr>
          <w:p w14:paraId="3693E86B" w14:textId="77777777" w:rsidR="003734EC" w:rsidRDefault="003734EC">
            <w:pPr>
              <w:rPr>
                <w:rFonts w:ascii="宋体"/>
              </w:rPr>
            </w:pPr>
          </w:p>
        </w:tc>
      </w:tr>
      <w:tr w:rsidR="003734EC" w14:paraId="3693E87F" w14:textId="77777777">
        <w:tc>
          <w:tcPr>
            <w:tcW w:w="0" w:type="auto"/>
            <w:gridSpan w:val="3"/>
            <w:shd w:val="clear" w:color="auto" w:fill="E2EFD9"/>
            <w:tcMar>
              <w:top w:w="40" w:type="dxa"/>
              <w:left w:w="20" w:type="dxa"/>
              <w:bottom w:w="40" w:type="dxa"/>
              <w:right w:w="20" w:type="dxa"/>
            </w:tcMar>
            <w:vAlign w:val="bottom"/>
          </w:tcPr>
          <w:p w14:paraId="3693E86D" w14:textId="77777777" w:rsidR="003734EC" w:rsidRDefault="000E364E">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tcMar>
            <w:vAlign w:val="bottom"/>
          </w:tcPr>
          <w:p w14:paraId="3693E86E"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3693E86F" w14:textId="77777777" w:rsidR="003734EC" w:rsidRDefault="000E364E">
            <w:pPr>
              <w:jc w:val="right"/>
              <w:textAlignment w:val="bottom"/>
            </w:pPr>
            <w:r>
              <w:rPr>
                <w:rFonts w:ascii="sans-serif" w:eastAsia="sans-serif" w:hAnsi="sans-serif" w:cs="sans-serif"/>
                <w:color w:val="000000"/>
                <w:sz w:val="20"/>
                <w:szCs w:val="20"/>
              </w:rPr>
              <w:t>1.47 </w:t>
            </w:r>
          </w:p>
        </w:tc>
        <w:tc>
          <w:tcPr>
            <w:tcW w:w="0" w:type="auto"/>
            <w:tcBorders>
              <w:top w:val="double" w:sz="6" w:space="0" w:color="000000"/>
            </w:tcBorders>
            <w:shd w:val="clear" w:color="auto" w:fill="E2EFD9"/>
            <w:tcMar>
              <w:top w:w="40" w:type="dxa"/>
              <w:bottom w:w="40" w:type="dxa"/>
              <w:right w:w="20" w:type="dxa"/>
            </w:tcMar>
            <w:vAlign w:val="bottom"/>
          </w:tcPr>
          <w:p w14:paraId="3693E87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871" w14:textId="77777777" w:rsidR="003734EC" w:rsidRDefault="003734EC">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3693E872"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3693E873" w14:textId="77777777" w:rsidR="003734EC" w:rsidRDefault="000E364E">
            <w:pPr>
              <w:jc w:val="right"/>
              <w:textAlignment w:val="bottom"/>
            </w:pPr>
            <w:r>
              <w:rPr>
                <w:rFonts w:ascii="sans-serif" w:eastAsia="sans-serif" w:hAnsi="sans-serif" w:cs="sans-serif"/>
                <w:color w:val="000000"/>
                <w:sz w:val="20"/>
                <w:szCs w:val="20"/>
              </w:rPr>
              <w:t>0.64 </w:t>
            </w:r>
          </w:p>
        </w:tc>
        <w:tc>
          <w:tcPr>
            <w:tcW w:w="0" w:type="auto"/>
            <w:tcBorders>
              <w:top w:val="double" w:sz="6" w:space="0" w:color="000000"/>
            </w:tcBorders>
            <w:shd w:val="clear" w:color="auto" w:fill="E2EFD9"/>
            <w:tcMar>
              <w:top w:w="40" w:type="dxa"/>
              <w:bottom w:w="40" w:type="dxa"/>
              <w:right w:w="20" w:type="dxa"/>
            </w:tcMar>
            <w:vAlign w:val="bottom"/>
          </w:tcPr>
          <w:p w14:paraId="3693E87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75" w14:textId="77777777" w:rsidR="003734EC" w:rsidRDefault="003734EC">
            <w:pPr>
              <w:rPr>
                <w:rFonts w:ascii="宋体"/>
                <w:vanish/>
              </w:rPr>
            </w:pPr>
          </w:p>
        </w:tc>
        <w:tc>
          <w:tcPr>
            <w:tcW w:w="0" w:type="auto"/>
            <w:shd w:val="clear" w:color="auto" w:fill="auto"/>
            <w:vAlign w:val="center"/>
          </w:tcPr>
          <w:p w14:paraId="3693E876" w14:textId="77777777" w:rsidR="003734EC" w:rsidRDefault="003734EC">
            <w:pPr>
              <w:rPr>
                <w:rFonts w:ascii="宋体"/>
                <w:vanish/>
              </w:rPr>
            </w:pPr>
          </w:p>
        </w:tc>
        <w:tc>
          <w:tcPr>
            <w:tcW w:w="0" w:type="auto"/>
            <w:shd w:val="clear" w:color="auto" w:fill="auto"/>
            <w:vAlign w:val="center"/>
          </w:tcPr>
          <w:p w14:paraId="3693E877" w14:textId="77777777" w:rsidR="003734EC" w:rsidRDefault="003734EC">
            <w:pPr>
              <w:rPr>
                <w:rFonts w:ascii="宋体"/>
                <w:vanish/>
              </w:rPr>
            </w:pPr>
          </w:p>
        </w:tc>
        <w:tc>
          <w:tcPr>
            <w:tcW w:w="0" w:type="auto"/>
            <w:shd w:val="clear" w:color="auto" w:fill="auto"/>
            <w:vAlign w:val="center"/>
          </w:tcPr>
          <w:p w14:paraId="3693E878" w14:textId="77777777" w:rsidR="003734EC" w:rsidRDefault="003734EC">
            <w:pPr>
              <w:rPr>
                <w:rFonts w:ascii="宋体"/>
                <w:vanish/>
              </w:rPr>
            </w:pPr>
          </w:p>
        </w:tc>
        <w:tc>
          <w:tcPr>
            <w:tcW w:w="0" w:type="auto"/>
            <w:shd w:val="clear" w:color="auto" w:fill="auto"/>
            <w:vAlign w:val="center"/>
          </w:tcPr>
          <w:p w14:paraId="3693E879" w14:textId="77777777" w:rsidR="003734EC" w:rsidRDefault="003734EC">
            <w:pPr>
              <w:rPr>
                <w:rFonts w:ascii="宋体"/>
              </w:rPr>
            </w:pPr>
          </w:p>
        </w:tc>
        <w:tc>
          <w:tcPr>
            <w:tcW w:w="0" w:type="auto"/>
            <w:shd w:val="clear" w:color="auto" w:fill="auto"/>
            <w:vAlign w:val="center"/>
          </w:tcPr>
          <w:p w14:paraId="3693E87A" w14:textId="77777777" w:rsidR="003734EC" w:rsidRDefault="003734EC">
            <w:pPr>
              <w:rPr>
                <w:rFonts w:ascii="宋体"/>
              </w:rPr>
            </w:pPr>
          </w:p>
        </w:tc>
        <w:tc>
          <w:tcPr>
            <w:tcW w:w="0" w:type="auto"/>
            <w:shd w:val="clear" w:color="auto" w:fill="auto"/>
            <w:vAlign w:val="center"/>
          </w:tcPr>
          <w:p w14:paraId="3693E87B" w14:textId="77777777" w:rsidR="003734EC" w:rsidRDefault="003734EC">
            <w:pPr>
              <w:rPr>
                <w:rFonts w:ascii="宋体"/>
              </w:rPr>
            </w:pPr>
          </w:p>
        </w:tc>
        <w:tc>
          <w:tcPr>
            <w:tcW w:w="0" w:type="auto"/>
            <w:shd w:val="clear" w:color="auto" w:fill="auto"/>
            <w:vAlign w:val="center"/>
          </w:tcPr>
          <w:p w14:paraId="3693E87C" w14:textId="77777777" w:rsidR="003734EC" w:rsidRDefault="003734EC">
            <w:pPr>
              <w:rPr>
                <w:rFonts w:ascii="宋体"/>
              </w:rPr>
            </w:pPr>
          </w:p>
        </w:tc>
        <w:tc>
          <w:tcPr>
            <w:tcW w:w="0" w:type="auto"/>
            <w:shd w:val="clear" w:color="auto" w:fill="auto"/>
            <w:vAlign w:val="center"/>
          </w:tcPr>
          <w:p w14:paraId="3693E87D" w14:textId="77777777" w:rsidR="003734EC" w:rsidRDefault="003734EC">
            <w:pPr>
              <w:rPr>
                <w:rFonts w:ascii="宋体"/>
              </w:rPr>
            </w:pPr>
          </w:p>
        </w:tc>
        <w:tc>
          <w:tcPr>
            <w:tcW w:w="0" w:type="auto"/>
            <w:shd w:val="clear" w:color="auto" w:fill="auto"/>
            <w:vAlign w:val="center"/>
          </w:tcPr>
          <w:p w14:paraId="3693E87E" w14:textId="77777777" w:rsidR="003734EC" w:rsidRDefault="003734EC">
            <w:pPr>
              <w:rPr>
                <w:rFonts w:ascii="宋体"/>
              </w:rPr>
            </w:pPr>
          </w:p>
        </w:tc>
      </w:tr>
      <w:tr w:rsidR="003734EC" w14:paraId="3693E890" w14:textId="77777777">
        <w:tc>
          <w:tcPr>
            <w:tcW w:w="0" w:type="auto"/>
            <w:gridSpan w:val="3"/>
            <w:shd w:val="clear" w:color="auto" w:fill="FFFFFF"/>
            <w:tcMar>
              <w:top w:w="40" w:type="dxa"/>
              <w:left w:w="20" w:type="dxa"/>
              <w:bottom w:w="40" w:type="dxa"/>
              <w:right w:w="20" w:type="dxa"/>
            </w:tcMar>
            <w:vAlign w:val="bottom"/>
          </w:tcPr>
          <w:p w14:paraId="3693E880" w14:textId="77777777" w:rsidR="003734EC" w:rsidRDefault="000E364E">
            <w:pPr>
              <w:textAlignment w:val="bottom"/>
            </w:pPr>
            <w:r>
              <w:rPr>
                <w:rFonts w:ascii="sans-serif" w:eastAsia="sans-serif" w:hAnsi="sans-serif" w:cs="sans-serif"/>
                <w:color w:val="000000"/>
                <w:sz w:val="20"/>
                <w:szCs w:val="20"/>
              </w:rPr>
              <w:t xml:space="preserve">Equity awards excluded from diluted net </w:t>
            </w:r>
            <w:r>
              <w:rPr>
                <w:rFonts w:ascii="sans-serif" w:eastAsia="sans-serif" w:hAnsi="sans-serif" w:cs="sans-serif"/>
                <w:color w:val="000000"/>
                <w:sz w:val="20"/>
                <w:szCs w:val="20"/>
              </w:rPr>
              <w:t>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93E881"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tcBorders>
              <w:top w:val="double" w:sz="6" w:space="0" w:color="000000"/>
            </w:tcBorders>
            <w:shd w:val="clear" w:color="auto" w:fill="FFFFFF"/>
            <w:tcMar>
              <w:top w:w="40" w:type="dxa"/>
              <w:bottom w:w="40" w:type="dxa"/>
              <w:right w:w="20" w:type="dxa"/>
            </w:tcMar>
            <w:vAlign w:val="bottom"/>
          </w:tcPr>
          <w:p w14:paraId="3693E88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883" w14:textId="77777777" w:rsidR="003734EC" w:rsidRDefault="003734EC">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93E884" w14:textId="77777777" w:rsidR="003734EC" w:rsidRDefault="000E364E">
            <w:pPr>
              <w:jc w:val="right"/>
              <w:textAlignment w:val="bottom"/>
            </w:pPr>
            <w:r>
              <w:rPr>
                <w:rFonts w:ascii="sans-serif" w:eastAsia="sans-serif" w:hAnsi="sans-serif" w:cs="sans-serif"/>
                <w:color w:val="000000"/>
                <w:sz w:val="20"/>
                <w:szCs w:val="20"/>
              </w:rPr>
              <w:t>11 </w:t>
            </w:r>
          </w:p>
        </w:tc>
        <w:tc>
          <w:tcPr>
            <w:tcW w:w="0" w:type="auto"/>
            <w:tcBorders>
              <w:top w:val="double" w:sz="6" w:space="0" w:color="000000"/>
            </w:tcBorders>
            <w:shd w:val="clear" w:color="auto" w:fill="FFFFFF"/>
            <w:tcMar>
              <w:top w:w="40" w:type="dxa"/>
              <w:bottom w:w="40" w:type="dxa"/>
              <w:right w:w="20" w:type="dxa"/>
            </w:tcMar>
            <w:vAlign w:val="bottom"/>
          </w:tcPr>
          <w:p w14:paraId="3693E88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886" w14:textId="77777777" w:rsidR="003734EC" w:rsidRDefault="003734EC">
            <w:pPr>
              <w:rPr>
                <w:rFonts w:ascii="宋体"/>
                <w:vanish/>
              </w:rPr>
            </w:pPr>
          </w:p>
        </w:tc>
        <w:tc>
          <w:tcPr>
            <w:tcW w:w="0" w:type="auto"/>
            <w:shd w:val="clear" w:color="auto" w:fill="auto"/>
            <w:vAlign w:val="center"/>
          </w:tcPr>
          <w:p w14:paraId="3693E887" w14:textId="77777777" w:rsidR="003734EC" w:rsidRDefault="003734EC">
            <w:pPr>
              <w:rPr>
                <w:rFonts w:ascii="宋体"/>
                <w:vanish/>
              </w:rPr>
            </w:pPr>
          </w:p>
        </w:tc>
        <w:tc>
          <w:tcPr>
            <w:tcW w:w="0" w:type="auto"/>
            <w:shd w:val="clear" w:color="auto" w:fill="auto"/>
            <w:vAlign w:val="center"/>
          </w:tcPr>
          <w:p w14:paraId="3693E888" w14:textId="77777777" w:rsidR="003734EC" w:rsidRDefault="003734EC">
            <w:pPr>
              <w:rPr>
                <w:rFonts w:ascii="宋体"/>
                <w:vanish/>
              </w:rPr>
            </w:pPr>
          </w:p>
        </w:tc>
        <w:tc>
          <w:tcPr>
            <w:tcW w:w="0" w:type="auto"/>
            <w:shd w:val="clear" w:color="auto" w:fill="auto"/>
            <w:vAlign w:val="center"/>
          </w:tcPr>
          <w:p w14:paraId="3693E889" w14:textId="77777777" w:rsidR="003734EC" w:rsidRDefault="003734EC">
            <w:pPr>
              <w:rPr>
                <w:rFonts w:ascii="宋体"/>
                <w:vanish/>
              </w:rPr>
            </w:pPr>
          </w:p>
        </w:tc>
        <w:tc>
          <w:tcPr>
            <w:tcW w:w="0" w:type="auto"/>
            <w:shd w:val="clear" w:color="auto" w:fill="auto"/>
            <w:vAlign w:val="center"/>
          </w:tcPr>
          <w:p w14:paraId="3693E88A" w14:textId="77777777" w:rsidR="003734EC" w:rsidRDefault="003734EC">
            <w:pPr>
              <w:rPr>
                <w:rFonts w:ascii="宋体"/>
              </w:rPr>
            </w:pPr>
          </w:p>
        </w:tc>
        <w:tc>
          <w:tcPr>
            <w:tcW w:w="0" w:type="auto"/>
            <w:shd w:val="clear" w:color="auto" w:fill="auto"/>
            <w:vAlign w:val="center"/>
          </w:tcPr>
          <w:p w14:paraId="3693E88B" w14:textId="77777777" w:rsidR="003734EC" w:rsidRDefault="003734EC">
            <w:pPr>
              <w:rPr>
                <w:rFonts w:ascii="宋体"/>
              </w:rPr>
            </w:pPr>
          </w:p>
        </w:tc>
        <w:tc>
          <w:tcPr>
            <w:tcW w:w="0" w:type="auto"/>
            <w:shd w:val="clear" w:color="auto" w:fill="auto"/>
            <w:vAlign w:val="center"/>
          </w:tcPr>
          <w:p w14:paraId="3693E88C" w14:textId="77777777" w:rsidR="003734EC" w:rsidRDefault="003734EC">
            <w:pPr>
              <w:rPr>
                <w:rFonts w:ascii="宋体"/>
              </w:rPr>
            </w:pPr>
          </w:p>
        </w:tc>
        <w:tc>
          <w:tcPr>
            <w:tcW w:w="0" w:type="auto"/>
            <w:shd w:val="clear" w:color="auto" w:fill="auto"/>
            <w:vAlign w:val="center"/>
          </w:tcPr>
          <w:p w14:paraId="3693E88D" w14:textId="77777777" w:rsidR="003734EC" w:rsidRDefault="003734EC">
            <w:pPr>
              <w:rPr>
                <w:rFonts w:ascii="宋体"/>
              </w:rPr>
            </w:pPr>
          </w:p>
        </w:tc>
        <w:tc>
          <w:tcPr>
            <w:tcW w:w="0" w:type="auto"/>
            <w:shd w:val="clear" w:color="auto" w:fill="auto"/>
            <w:vAlign w:val="center"/>
          </w:tcPr>
          <w:p w14:paraId="3693E88E" w14:textId="77777777" w:rsidR="003734EC" w:rsidRDefault="003734EC">
            <w:pPr>
              <w:rPr>
                <w:rFonts w:ascii="宋体"/>
              </w:rPr>
            </w:pPr>
          </w:p>
        </w:tc>
        <w:tc>
          <w:tcPr>
            <w:tcW w:w="0" w:type="auto"/>
            <w:shd w:val="clear" w:color="auto" w:fill="auto"/>
            <w:vAlign w:val="center"/>
          </w:tcPr>
          <w:p w14:paraId="3693E88F" w14:textId="77777777" w:rsidR="003734EC" w:rsidRDefault="003734EC">
            <w:pPr>
              <w:rPr>
                <w:rFonts w:ascii="宋体"/>
              </w:rPr>
            </w:pPr>
          </w:p>
        </w:tc>
      </w:tr>
    </w:tbl>
    <w:p w14:paraId="3693E891" w14:textId="77777777" w:rsidR="003734EC" w:rsidRDefault="000E364E">
      <w:pPr>
        <w:spacing w:after="60"/>
        <w:ind w:hanging="360"/>
        <w:jc w:val="both"/>
      </w:pPr>
      <w:r>
        <w:rPr>
          <w:rFonts w:ascii="sans-serif" w:eastAsia="sans-serif" w:hAnsi="sans-serif" w:cs="sans-serif"/>
          <w:color w:val="000000"/>
          <w:sz w:val="16"/>
          <w:szCs w:val="16"/>
        </w:rPr>
        <w:t>(1) Calculated as net income divided by basic weighted average shares.</w:t>
      </w:r>
    </w:p>
    <w:p w14:paraId="3693E892" w14:textId="77777777" w:rsidR="003734EC" w:rsidRDefault="000E364E">
      <w:pPr>
        <w:spacing w:after="180"/>
        <w:ind w:hanging="360"/>
        <w:jc w:val="both"/>
      </w:pPr>
      <w:r>
        <w:rPr>
          <w:rFonts w:ascii="sans-serif" w:eastAsia="sans-serif" w:hAnsi="sans-serif" w:cs="sans-serif"/>
          <w:color w:val="000000"/>
          <w:sz w:val="16"/>
          <w:szCs w:val="16"/>
        </w:rPr>
        <w:t>(2) Calculated as net income divided by diluted weighted average shares.</w:t>
      </w:r>
    </w:p>
    <w:p w14:paraId="3693E893" w14:textId="77777777" w:rsidR="003734EC" w:rsidRDefault="000E364E">
      <w:pPr>
        <w:spacing w:before="240" w:after="120"/>
        <w:jc w:val="both"/>
      </w:pPr>
      <w:r>
        <w:rPr>
          <w:rFonts w:ascii="sans-serif" w:eastAsia="sans-serif" w:hAnsi="sans-serif" w:cs="sans-serif"/>
          <w:b/>
          <w:bCs/>
          <w:color w:val="76B900"/>
          <w:sz w:val="22"/>
          <w:szCs w:val="22"/>
        </w:rPr>
        <w:t xml:space="preserve">Note 6 – Income </w:t>
      </w:r>
      <w:r>
        <w:rPr>
          <w:rFonts w:ascii="sans-serif" w:eastAsia="sans-serif" w:hAnsi="sans-serif" w:cs="sans-serif"/>
          <w:b/>
          <w:bCs/>
          <w:color w:val="76B900"/>
          <w:sz w:val="22"/>
          <w:szCs w:val="22"/>
        </w:rPr>
        <w:t>Taxes</w:t>
      </w:r>
    </w:p>
    <w:p w14:paraId="3693E894" w14:textId="77777777" w:rsidR="003734EC" w:rsidRDefault="000E364E">
      <w:pPr>
        <w:spacing w:after="180"/>
        <w:jc w:val="both"/>
      </w:pPr>
      <w:r>
        <w:rPr>
          <w:rFonts w:ascii="sans-serif" w:eastAsia="sans-serif" w:hAnsi="sans-serif" w:cs="sans-serif"/>
          <w:color w:val="000000"/>
          <w:sz w:val="20"/>
          <w:szCs w:val="20"/>
        </w:rPr>
        <w:t>We recognized an income tax expense of $64 million for the first quarter of fiscal year 2021 and income tax benefit of $5 million for the first quarter of fiscal year 2020. The income tax expense as a percentage of income before income tax was 6.6% f</w:t>
      </w:r>
      <w:r>
        <w:rPr>
          <w:rFonts w:ascii="sans-serif" w:eastAsia="sans-serif" w:hAnsi="sans-serif" w:cs="sans-serif"/>
          <w:color w:val="000000"/>
          <w:sz w:val="20"/>
          <w:szCs w:val="20"/>
        </w:rPr>
        <w:t>or the first quarter of fiscal year 2021 and income tax benefit as a percentage of income before income tax was 1.3% for the first quarter of fiscal year 2020.</w:t>
      </w:r>
    </w:p>
    <w:p w14:paraId="3693E895" w14:textId="77777777" w:rsidR="003734EC" w:rsidRDefault="000E364E">
      <w:pPr>
        <w:spacing w:after="180"/>
        <w:jc w:val="both"/>
      </w:pPr>
      <w:r>
        <w:rPr>
          <w:rFonts w:ascii="sans-serif" w:eastAsia="sans-serif" w:hAnsi="sans-serif" w:cs="sans-serif"/>
          <w:color w:val="000000"/>
          <w:sz w:val="20"/>
          <w:szCs w:val="20"/>
        </w:rPr>
        <w:t xml:space="preserve">The increase in our effective tax rate for the first quarter of fiscal year 2021 as compared to </w:t>
      </w:r>
      <w:r>
        <w:rPr>
          <w:rFonts w:ascii="sans-serif" w:eastAsia="sans-serif" w:hAnsi="sans-serif" w:cs="sans-serif"/>
          <w:color w:val="000000"/>
          <w:sz w:val="20"/>
          <w:szCs w:val="20"/>
        </w:rPr>
        <w:t>the first quarter of fiscal year 2020 was primarily due to a decrease of tax benefits from stock-based compensation.</w:t>
      </w:r>
    </w:p>
    <w:p w14:paraId="3693E896" w14:textId="77777777" w:rsidR="003734EC" w:rsidRDefault="000E364E">
      <w:pPr>
        <w:spacing w:after="180"/>
        <w:jc w:val="both"/>
      </w:pPr>
      <w:r>
        <w:rPr>
          <w:rFonts w:ascii="sans-serif" w:eastAsia="sans-serif" w:hAnsi="sans-serif" w:cs="sans-serif"/>
          <w:color w:val="000000"/>
          <w:sz w:val="20"/>
          <w:szCs w:val="20"/>
        </w:rPr>
        <w:t>Our effective tax rates for the first quarter of fiscal years 2021 and 2020 were lower than the U.S. federal statutory rate of 21% due to i</w:t>
      </w:r>
      <w:r>
        <w:rPr>
          <w:rFonts w:ascii="sans-serif" w:eastAsia="sans-serif" w:hAnsi="sans-serif" w:cs="sans-serif"/>
          <w:color w:val="000000"/>
          <w:sz w:val="20"/>
          <w:szCs w:val="20"/>
        </w:rPr>
        <w:t>ncome earned in jurisdictions that are subject to taxes lower than the U.S. federal statutory tax rate, tax benefits related to stock-based compensation, and the benefit of the U.S. federal research tax credit.</w:t>
      </w:r>
    </w:p>
    <w:p w14:paraId="3693E897" w14:textId="77777777" w:rsidR="003734EC" w:rsidRDefault="000E364E">
      <w:pPr>
        <w:spacing w:after="180"/>
        <w:jc w:val="both"/>
      </w:pPr>
      <w:r>
        <w:rPr>
          <w:rFonts w:ascii="sans-serif" w:eastAsia="sans-serif" w:hAnsi="sans-serif" w:cs="sans-serif"/>
          <w:color w:val="000000"/>
          <w:sz w:val="20"/>
          <w:szCs w:val="20"/>
        </w:rPr>
        <w:t>For the first quarter of fiscal year 2021, th</w:t>
      </w:r>
      <w:r>
        <w:rPr>
          <w:rFonts w:ascii="sans-serif" w:eastAsia="sans-serif" w:hAnsi="sans-serif" w:cs="sans-serif"/>
          <w:color w:val="000000"/>
          <w:sz w:val="20"/>
          <w:szCs w:val="20"/>
        </w:rPr>
        <w:t>ere have been no material changes to our tax years that remain subject to examination by major tax jurisdictions. Additionally, there have been no material changes to our unrecognized tax benefits and any related interest or penalties since the fiscal year</w:t>
      </w:r>
      <w:r>
        <w:rPr>
          <w:rFonts w:ascii="sans-serif" w:eastAsia="sans-serif" w:hAnsi="sans-serif" w:cs="sans-serif"/>
          <w:color w:val="000000"/>
          <w:sz w:val="20"/>
          <w:szCs w:val="20"/>
        </w:rPr>
        <w:t xml:space="preserve"> ended January 26, 2020.</w:t>
      </w:r>
    </w:p>
    <w:p w14:paraId="3693E898" w14:textId="77777777" w:rsidR="003734EC" w:rsidRDefault="000E364E">
      <w:pPr>
        <w:spacing w:after="180"/>
        <w:jc w:val="both"/>
      </w:pPr>
      <w:r>
        <w:rPr>
          <w:rFonts w:ascii="sans-serif" w:eastAsia="sans-serif" w:hAnsi="sans-serif" w:cs="sans-serif"/>
          <w:color w:val="000000"/>
          <w:sz w:val="20"/>
          <w:szCs w:val="20"/>
        </w:rPr>
        <w:t>While we believe that we have adequately provided for all uncertain tax positions, or tax positions where we believe it is not more-likely-than-not that the position will be sustained upon review, amounts asserted by tax authoritie</w:t>
      </w:r>
      <w:r>
        <w:rPr>
          <w:rFonts w:ascii="sans-serif" w:eastAsia="sans-serif" w:hAnsi="sans-serif" w:cs="sans-serif"/>
          <w:color w:val="000000"/>
          <w:sz w:val="20"/>
          <w:szCs w:val="20"/>
        </w:rPr>
        <w:t>s could be greater or less than our accrued position. Accordingly, our provisions on federal, state and foreign tax related matters to be recorded in the future may change as revised estimates are made or the underlying matters are settled or otherwise res</w:t>
      </w:r>
      <w:r>
        <w:rPr>
          <w:rFonts w:ascii="sans-serif" w:eastAsia="sans-serif" w:hAnsi="sans-serif" w:cs="sans-serif"/>
          <w:color w:val="000000"/>
          <w:sz w:val="20"/>
          <w:szCs w:val="20"/>
        </w:rPr>
        <w:t>olved with the respective tax authorities. As of April 26, 2020, we do not believe that our estimates, as otherwise provided for, on such tax positions will significantly increase or decrease within the next twelve months.</w:t>
      </w:r>
    </w:p>
    <w:p w14:paraId="3693E899" w14:textId="77777777" w:rsidR="003734EC" w:rsidRDefault="003734EC">
      <w:pPr>
        <w:spacing w:before="240" w:after="120"/>
        <w:jc w:val="both"/>
      </w:pPr>
    </w:p>
    <w:p w14:paraId="3693E89A" w14:textId="77777777" w:rsidR="003734EC" w:rsidRDefault="000E364E">
      <w:pPr>
        <w:spacing w:before="240" w:after="120"/>
        <w:jc w:val="both"/>
      </w:pPr>
      <w:r>
        <w:rPr>
          <w:rFonts w:ascii="sans-serif" w:eastAsia="sans-serif" w:hAnsi="sans-serif" w:cs="sans-serif"/>
          <w:b/>
          <w:bCs/>
          <w:color w:val="76B900"/>
          <w:sz w:val="22"/>
          <w:szCs w:val="22"/>
        </w:rPr>
        <w:t>Note 7 - Cash Equivalents and Ma</w:t>
      </w:r>
      <w:r>
        <w:rPr>
          <w:rFonts w:ascii="sans-serif" w:eastAsia="sans-serif" w:hAnsi="sans-serif" w:cs="sans-serif"/>
          <w:b/>
          <w:bCs/>
          <w:color w:val="76B900"/>
          <w:sz w:val="22"/>
          <w:szCs w:val="22"/>
        </w:rPr>
        <w:t>rketable Securities</w:t>
      </w:r>
      <w:r>
        <w:rPr>
          <w:rFonts w:ascii="sans-serif" w:eastAsia="sans-serif" w:hAnsi="sans-serif" w:cs="sans-serif"/>
          <w:color w:val="000000"/>
          <w:sz w:val="20"/>
          <w:szCs w:val="20"/>
        </w:rPr>
        <w:t> </w:t>
      </w:r>
    </w:p>
    <w:p w14:paraId="3693E89B" w14:textId="77777777" w:rsidR="003734EC" w:rsidRDefault="000E364E">
      <w:pPr>
        <w:spacing w:after="180"/>
        <w:jc w:val="both"/>
      </w:pPr>
      <w:r>
        <w:rPr>
          <w:rFonts w:ascii="sans-serif" w:eastAsia="sans-serif" w:hAnsi="sans-serif" w:cs="sans-serif"/>
          <w:color w:val="000000"/>
          <w:sz w:val="20"/>
          <w:szCs w:val="20"/>
        </w:rPr>
        <w:t>Our cash equivalents and marketable securities are classified as “available-for-sale” debt securities.</w:t>
      </w:r>
    </w:p>
    <w:p w14:paraId="3693E89C" w14:textId="77777777" w:rsidR="003734EC" w:rsidRDefault="000E364E">
      <w:pPr>
        <w:spacing w:after="180"/>
        <w:jc w:val="both"/>
      </w:pPr>
      <w:r>
        <w:rPr>
          <w:rFonts w:ascii="sans-serif" w:eastAsia="sans-serif" w:hAnsi="sans-serif" w:cs="sans-serif"/>
          <w:color w:val="000000"/>
          <w:sz w:val="20"/>
          <w:szCs w:val="20"/>
        </w:rPr>
        <w:t>The following is a summary of cash equivalents and marketable securities as of April 26, 2020 and January 26, 2020:</w:t>
      </w:r>
    </w:p>
    <w:tbl>
      <w:tblPr>
        <w:tblW w:w="4971" w:type="pct"/>
        <w:tblCellMar>
          <w:top w:w="15" w:type="dxa"/>
          <w:left w:w="15" w:type="dxa"/>
          <w:bottom w:w="15" w:type="dxa"/>
          <w:right w:w="15" w:type="dxa"/>
        </w:tblCellMar>
        <w:tblLook w:val="04A0" w:firstRow="1" w:lastRow="0" w:firstColumn="1" w:lastColumn="0" w:noHBand="0" w:noVBand="1"/>
      </w:tblPr>
      <w:tblGrid>
        <w:gridCol w:w="39"/>
        <w:gridCol w:w="807"/>
        <w:gridCol w:w="37"/>
        <w:gridCol w:w="121"/>
        <w:gridCol w:w="618"/>
        <w:gridCol w:w="76"/>
        <w:gridCol w:w="37"/>
        <w:gridCol w:w="35"/>
        <w:gridCol w:w="35"/>
        <w:gridCol w:w="121"/>
        <w:gridCol w:w="639"/>
        <w:gridCol w:w="76"/>
        <w:gridCol w:w="37"/>
        <w:gridCol w:w="35"/>
        <w:gridCol w:w="35"/>
        <w:gridCol w:w="121"/>
        <w:gridCol w:w="634"/>
        <w:gridCol w:w="78"/>
        <w:gridCol w:w="37"/>
        <w:gridCol w:w="35"/>
        <w:gridCol w:w="35"/>
        <w:gridCol w:w="121"/>
        <w:gridCol w:w="595"/>
        <w:gridCol w:w="73"/>
        <w:gridCol w:w="37"/>
        <w:gridCol w:w="35"/>
        <w:gridCol w:w="35"/>
        <w:gridCol w:w="120"/>
        <w:gridCol w:w="516"/>
        <w:gridCol w:w="73"/>
        <w:gridCol w:w="37"/>
        <w:gridCol w:w="35"/>
        <w:gridCol w:w="35"/>
        <w:gridCol w:w="119"/>
        <w:gridCol w:w="307"/>
        <w:gridCol w:w="73"/>
        <w:gridCol w:w="37"/>
        <w:gridCol w:w="35"/>
        <w:gridCol w:w="35"/>
        <w:gridCol w:w="283"/>
        <w:gridCol w:w="282"/>
        <w:gridCol w:w="282"/>
        <w:gridCol w:w="37"/>
        <w:gridCol w:w="35"/>
        <w:gridCol w:w="35"/>
        <w:gridCol w:w="285"/>
        <w:gridCol w:w="283"/>
        <w:gridCol w:w="283"/>
        <w:gridCol w:w="35"/>
        <w:gridCol w:w="35"/>
        <w:gridCol w:w="35"/>
        <w:gridCol w:w="35"/>
        <w:gridCol w:w="35"/>
        <w:gridCol w:w="35"/>
        <w:gridCol w:w="35"/>
        <w:gridCol w:w="35"/>
        <w:gridCol w:w="35"/>
        <w:gridCol w:w="35"/>
        <w:gridCol w:w="35"/>
        <w:gridCol w:w="35"/>
        <w:gridCol w:w="35"/>
        <w:gridCol w:w="35"/>
        <w:gridCol w:w="35"/>
      </w:tblGrid>
      <w:tr w:rsidR="003734EC" w14:paraId="3693E8C1" w14:textId="77777777">
        <w:trPr>
          <w:gridAfter w:val="27"/>
        </w:trPr>
        <w:tc>
          <w:tcPr>
            <w:tcW w:w="50" w:type="pct"/>
            <w:shd w:val="clear" w:color="auto" w:fill="auto"/>
            <w:vAlign w:val="center"/>
          </w:tcPr>
          <w:p w14:paraId="3693E89D" w14:textId="77777777" w:rsidR="003734EC" w:rsidRDefault="003734EC">
            <w:pPr>
              <w:rPr>
                <w:rFonts w:ascii="宋体"/>
              </w:rPr>
            </w:pPr>
          </w:p>
        </w:tc>
        <w:tc>
          <w:tcPr>
            <w:tcW w:w="1436" w:type="pct"/>
            <w:shd w:val="clear" w:color="auto" w:fill="auto"/>
            <w:vAlign w:val="center"/>
          </w:tcPr>
          <w:p w14:paraId="3693E89E" w14:textId="77777777" w:rsidR="003734EC" w:rsidRDefault="003734EC">
            <w:pPr>
              <w:rPr>
                <w:rFonts w:ascii="宋体"/>
              </w:rPr>
            </w:pPr>
          </w:p>
        </w:tc>
        <w:tc>
          <w:tcPr>
            <w:tcW w:w="50" w:type="pct"/>
            <w:shd w:val="clear" w:color="auto" w:fill="auto"/>
            <w:vAlign w:val="center"/>
          </w:tcPr>
          <w:p w14:paraId="3693E89F" w14:textId="77777777" w:rsidR="003734EC" w:rsidRDefault="003734EC">
            <w:pPr>
              <w:rPr>
                <w:rFonts w:ascii="宋体"/>
              </w:rPr>
            </w:pPr>
          </w:p>
        </w:tc>
        <w:tc>
          <w:tcPr>
            <w:tcW w:w="50" w:type="pct"/>
            <w:shd w:val="clear" w:color="auto" w:fill="auto"/>
            <w:vAlign w:val="center"/>
          </w:tcPr>
          <w:p w14:paraId="3693E8A0" w14:textId="77777777" w:rsidR="003734EC" w:rsidRDefault="003734EC">
            <w:pPr>
              <w:rPr>
                <w:rFonts w:ascii="宋体"/>
              </w:rPr>
            </w:pPr>
          </w:p>
        </w:tc>
        <w:tc>
          <w:tcPr>
            <w:tcW w:w="436" w:type="pct"/>
            <w:shd w:val="clear" w:color="auto" w:fill="auto"/>
            <w:vAlign w:val="center"/>
          </w:tcPr>
          <w:p w14:paraId="3693E8A1" w14:textId="77777777" w:rsidR="003734EC" w:rsidRDefault="003734EC">
            <w:pPr>
              <w:rPr>
                <w:rFonts w:ascii="宋体"/>
              </w:rPr>
            </w:pPr>
          </w:p>
        </w:tc>
        <w:tc>
          <w:tcPr>
            <w:tcW w:w="50" w:type="pct"/>
            <w:shd w:val="clear" w:color="auto" w:fill="auto"/>
            <w:vAlign w:val="center"/>
          </w:tcPr>
          <w:p w14:paraId="3693E8A2" w14:textId="77777777" w:rsidR="003734EC" w:rsidRDefault="003734EC">
            <w:pPr>
              <w:rPr>
                <w:rFonts w:ascii="宋体"/>
              </w:rPr>
            </w:pPr>
          </w:p>
        </w:tc>
        <w:tc>
          <w:tcPr>
            <w:tcW w:w="5" w:type="pct"/>
            <w:shd w:val="clear" w:color="auto" w:fill="auto"/>
            <w:vAlign w:val="center"/>
          </w:tcPr>
          <w:p w14:paraId="3693E8A3" w14:textId="77777777" w:rsidR="003734EC" w:rsidRDefault="003734EC">
            <w:pPr>
              <w:rPr>
                <w:rFonts w:ascii="宋体"/>
              </w:rPr>
            </w:pPr>
          </w:p>
        </w:tc>
        <w:tc>
          <w:tcPr>
            <w:tcW w:w="26" w:type="pct"/>
            <w:shd w:val="clear" w:color="auto" w:fill="auto"/>
            <w:vAlign w:val="center"/>
          </w:tcPr>
          <w:p w14:paraId="3693E8A4" w14:textId="77777777" w:rsidR="003734EC" w:rsidRDefault="003734EC">
            <w:pPr>
              <w:rPr>
                <w:rFonts w:ascii="宋体"/>
              </w:rPr>
            </w:pPr>
          </w:p>
        </w:tc>
        <w:tc>
          <w:tcPr>
            <w:tcW w:w="5" w:type="pct"/>
            <w:shd w:val="clear" w:color="auto" w:fill="auto"/>
            <w:vAlign w:val="center"/>
          </w:tcPr>
          <w:p w14:paraId="3693E8A5" w14:textId="77777777" w:rsidR="003734EC" w:rsidRDefault="003734EC">
            <w:pPr>
              <w:rPr>
                <w:rFonts w:ascii="宋体"/>
              </w:rPr>
            </w:pPr>
          </w:p>
        </w:tc>
        <w:tc>
          <w:tcPr>
            <w:tcW w:w="50" w:type="pct"/>
            <w:shd w:val="clear" w:color="auto" w:fill="auto"/>
            <w:vAlign w:val="center"/>
          </w:tcPr>
          <w:p w14:paraId="3693E8A6" w14:textId="77777777" w:rsidR="003734EC" w:rsidRDefault="003734EC">
            <w:pPr>
              <w:rPr>
                <w:rFonts w:ascii="宋体"/>
              </w:rPr>
            </w:pPr>
          </w:p>
        </w:tc>
        <w:tc>
          <w:tcPr>
            <w:tcW w:w="451" w:type="pct"/>
            <w:shd w:val="clear" w:color="auto" w:fill="auto"/>
            <w:vAlign w:val="center"/>
          </w:tcPr>
          <w:p w14:paraId="3693E8A7" w14:textId="77777777" w:rsidR="003734EC" w:rsidRDefault="003734EC">
            <w:pPr>
              <w:rPr>
                <w:rFonts w:ascii="宋体"/>
              </w:rPr>
            </w:pPr>
          </w:p>
        </w:tc>
        <w:tc>
          <w:tcPr>
            <w:tcW w:w="50" w:type="pct"/>
            <w:shd w:val="clear" w:color="auto" w:fill="auto"/>
            <w:vAlign w:val="center"/>
          </w:tcPr>
          <w:p w14:paraId="3693E8A8" w14:textId="77777777" w:rsidR="003734EC" w:rsidRDefault="003734EC">
            <w:pPr>
              <w:rPr>
                <w:rFonts w:ascii="宋体"/>
              </w:rPr>
            </w:pPr>
          </w:p>
        </w:tc>
        <w:tc>
          <w:tcPr>
            <w:tcW w:w="5" w:type="pct"/>
            <w:shd w:val="clear" w:color="auto" w:fill="auto"/>
            <w:vAlign w:val="center"/>
          </w:tcPr>
          <w:p w14:paraId="3693E8A9" w14:textId="77777777" w:rsidR="003734EC" w:rsidRDefault="003734EC">
            <w:pPr>
              <w:rPr>
                <w:rFonts w:ascii="宋体"/>
              </w:rPr>
            </w:pPr>
          </w:p>
        </w:tc>
        <w:tc>
          <w:tcPr>
            <w:tcW w:w="26" w:type="pct"/>
            <w:shd w:val="clear" w:color="auto" w:fill="auto"/>
            <w:vAlign w:val="center"/>
          </w:tcPr>
          <w:p w14:paraId="3693E8AA" w14:textId="77777777" w:rsidR="003734EC" w:rsidRDefault="003734EC">
            <w:pPr>
              <w:rPr>
                <w:rFonts w:ascii="宋体"/>
              </w:rPr>
            </w:pPr>
          </w:p>
        </w:tc>
        <w:tc>
          <w:tcPr>
            <w:tcW w:w="5" w:type="pct"/>
            <w:shd w:val="clear" w:color="auto" w:fill="auto"/>
            <w:vAlign w:val="center"/>
          </w:tcPr>
          <w:p w14:paraId="3693E8AB" w14:textId="77777777" w:rsidR="003734EC" w:rsidRDefault="003734EC">
            <w:pPr>
              <w:rPr>
                <w:rFonts w:ascii="宋体"/>
              </w:rPr>
            </w:pPr>
          </w:p>
        </w:tc>
        <w:tc>
          <w:tcPr>
            <w:tcW w:w="50" w:type="pct"/>
            <w:shd w:val="clear" w:color="auto" w:fill="auto"/>
            <w:vAlign w:val="center"/>
          </w:tcPr>
          <w:p w14:paraId="3693E8AC" w14:textId="77777777" w:rsidR="003734EC" w:rsidRDefault="003734EC">
            <w:pPr>
              <w:rPr>
                <w:rFonts w:ascii="宋体"/>
              </w:rPr>
            </w:pPr>
          </w:p>
        </w:tc>
        <w:tc>
          <w:tcPr>
            <w:tcW w:w="436" w:type="pct"/>
            <w:shd w:val="clear" w:color="auto" w:fill="auto"/>
            <w:vAlign w:val="center"/>
          </w:tcPr>
          <w:p w14:paraId="3693E8AD" w14:textId="77777777" w:rsidR="003734EC" w:rsidRDefault="003734EC">
            <w:pPr>
              <w:rPr>
                <w:rFonts w:ascii="宋体"/>
              </w:rPr>
            </w:pPr>
          </w:p>
        </w:tc>
        <w:tc>
          <w:tcPr>
            <w:tcW w:w="50" w:type="pct"/>
            <w:shd w:val="clear" w:color="auto" w:fill="auto"/>
            <w:vAlign w:val="center"/>
          </w:tcPr>
          <w:p w14:paraId="3693E8AE" w14:textId="77777777" w:rsidR="003734EC" w:rsidRDefault="003734EC">
            <w:pPr>
              <w:rPr>
                <w:rFonts w:ascii="宋体"/>
              </w:rPr>
            </w:pPr>
          </w:p>
        </w:tc>
        <w:tc>
          <w:tcPr>
            <w:tcW w:w="5" w:type="pct"/>
            <w:shd w:val="clear" w:color="auto" w:fill="auto"/>
            <w:vAlign w:val="center"/>
          </w:tcPr>
          <w:p w14:paraId="3693E8AF" w14:textId="77777777" w:rsidR="003734EC" w:rsidRDefault="003734EC">
            <w:pPr>
              <w:rPr>
                <w:rFonts w:ascii="宋体"/>
              </w:rPr>
            </w:pPr>
          </w:p>
        </w:tc>
        <w:tc>
          <w:tcPr>
            <w:tcW w:w="26" w:type="pct"/>
            <w:shd w:val="clear" w:color="auto" w:fill="auto"/>
            <w:vAlign w:val="center"/>
          </w:tcPr>
          <w:p w14:paraId="3693E8B0" w14:textId="77777777" w:rsidR="003734EC" w:rsidRDefault="003734EC">
            <w:pPr>
              <w:rPr>
                <w:rFonts w:ascii="宋体"/>
              </w:rPr>
            </w:pPr>
          </w:p>
        </w:tc>
        <w:tc>
          <w:tcPr>
            <w:tcW w:w="5" w:type="pct"/>
            <w:shd w:val="clear" w:color="auto" w:fill="auto"/>
            <w:vAlign w:val="center"/>
          </w:tcPr>
          <w:p w14:paraId="3693E8B1" w14:textId="77777777" w:rsidR="003734EC" w:rsidRDefault="003734EC">
            <w:pPr>
              <w:rPr>
                <w:rFonts w:ascii="宋体"/>
              </w:rPr>
            </w:pPr>
          </w:p>
        </w:tc>
        <w:tc>
          <w:tcPr>
            <w:tcW w:w="50" w:type="pct"/>
            <w:shd w:val="clear" w:color="auto" w:fill="auto"/>
            <w:vAlign w:val="center"/>
          </w:tcPr>
          <w:p w14:paraId="3693E8B2" w14:textId="77777777" w:rsidR="003734EC" w:rsidRDefault="003734EC">
            <w:pPr>
              <w:rPr>
                <w:rFonts w:ascii="宋体"/>
              </w:rPr>
            </w:pPr>
          </w:p>
        </w:tc>
        <w:tc>
          <w:tcPr>
            <w:tcW w:w="436" w:type="pct"/>
            <w:shd w:val="clear" w:color="auto" w:fill="auto"/>
            <w:vAlign w:val="center"/>
          </w:tcPr>
          <w:p w14:paraId="3693E8B3" w14:textId="77777777" w:rsidR="003734EC" w:rsidRDefault="003734EC">
            <w:pPr>
              <w:rPr>
                <w:rFonts w:ascii="宋体"/>
              </w:rPr>
            </w:pPr>
          </w:p>
        </w:tc>
        <w:tc>
          <w:tcPr>
            <w:tcW w:w="50" w:type="pct"/>
            <w:shd w:val="clear" w:color="auto" w:fill="auto"/>
            <w:vAlign w:val="center"/>
          </w:tcPr>
          <w:p w14:paraId="3693E8B4" w14:textId="77777777" w:rsidR="003734EC" w:rsidRDefault="003734EC">
            <w:pPr>
              <w:rPr>
                <w:rFonts w:ascii="宋体"/>
              </w:rPr>
            </w:pPr>
          </w:p>
        </w:tc>
        <w:tc>
          <w:tcPr>
            <w:tcW w:w="5" w:type="pct"/>
            <w:shd w:val="clear" w:color="auto" w:fill="auto"/>
            <w:vAlign w:val="center"/>
          </w:tcPr>
          <w:p w14:paraId="3693E8B5" w14:textId="77777777" w:rsidR="003734EC" w:rsidRDefault="003734EC">
            <w:pPr>
              <w:rPr>
                <w:rFonts w:ascii="宋体"/>
              </w:rPr>
            </w:pPr>
          </w:p>
        </w:tc>
        <w:tc>
          <w:tcPr>
            <w:tcW w:w="26" w:type="pct"/>
            <w:shd w:val="clear" w:color="auto" w:fill="auto"/>
            <w:vAlign w:val="center"/>
          </w:tcPr>
          <w:p w14:paraId="3693E8B6" w14:textId="77777777" w:rsidR="003734EC" w:rsidRDefault="003734EC">
            <w:pPr>
              <w:rPr>
                <w:rFonts w:ascii="宋体"/>
              </w:rPr>
            </w:pPr>
          </w:p>
        </w:tc>
        <w:tc>
          <w:tcPr>
            <w:tcW w:w="5" w:type="pct"/>
            <w:shd w:val="clear" w:color="auto" w:fill="auto"/>
            <w:vAlign w:val="center"/>
          </w:tcPr>
          <w:p w14:paraId="3693E8B7" w14:textId="77777777" w:rsidR="003734EC" w:rsidRDefault="003734EC">
            <w:pPr>
              <w:rPr>
                <w:rFonts w:ascii="宋体"/>
              </w:rPr>
            </w:pPr>
          </w:p>
        </w:tc>
        <w:tc>
          <w:tcPr>
            <w:tcW w:w="50" w:type="pct"/>
            <w:shd w:val="clear" w:color="auto" w:fill="auto"/>
            <w:vAlign w:val="center"/>
          </w:tcPr>
          <w:p w14:paraId="3693E8B8" w14:textId="77777777" w:rsidR="003734EC" w:rsidRDefault="003734EC">
            <w:pPr>
              <w:rPr>
                <w:rFonts w:ascii="宋体"/>
              </w:rPr>
            </w:pPr>
          </w:p>
        </w:tc>
        <w:tc>
          <w:tcPr>
            <w:tcW w:w="466" w:type="pct"/>
            <w:shd w:val="clear" w:color="auto" w:fill="auto"/>
            <w:vAlign w:val="center"/>
          </w:tcPr>
          <w:p w14:paraId="3693E8B9" w14:textId="77777777" w:rsidR="003734EC" w:rsidRDefault="003734EC">
            <w:pPr>
              <w:rPr>
                <w:rFonts w:ascii="宋体"/>
              </w:rPr>
            </w:pPr>
          </w:p>
        </w:tc>
        <w:tc>
          <w:tcPr>
            <w:tcW w:w="50" w:type="pct"/>
            <w:shd w:val="clear" w:color="auto" w:fill="auto"/>
            <w:vAlign w:val="center"/>
          </w:tcPr>
          <w:p w14:paraId="3693E8BA" w14:textId="77777777" w:rsidR="003734EC" w:rsidRDefault="003734EC">
            <w:pPr>
              <w:rPr>
                <w:rFonts w:ascii="宋体"/>
              </w:rPr>
            </w:pPr>
          </w:p>
        </w:tc>
        <w:tc>
          <w:tcPr>
            <w:tcW w:w="5" w:type="pct"/>
            <w:shd w:val="clear" w:color="auto" w:fill="auto"/>
            <w:vAlign w:val="center"/>
          </w:tcPr>
          <w:p w14:paraId="3693E8BB" w14:textId="77777777" w:rsidR="003734EC" w:rsidRDefault="003734EC">
            <w:pPr>
              <w:rPr>
                <w:rFonts w:ascii="宋体"/>
              </w:rPr>
            </w:pPr>
          </w:p>
        </w:tc>
        <w:tc>
          <w:tcPr>
            <w:tcW w:w="26" w:type="pct"/>
            <w:shd w:val="clear" w:color="auto" w:fill="auto"/>
            <w:vAlign w:val="center"/>
          </w:tcPr>
          <w:p w14:paraId="3693E8BC" w14:textId="77777777" w:rsidR="003734EC" w:rsidRDefault="003734EC">
            <w:pPr>
              <w:rPr>
                <w:rFonts w:ascii="宋体"/>
              </w:rPr>
            </w:pPr>
          </w:p>
        </w:tc>
        <w:tc>
          <w:tcPr>
            <w:tcW w:w="5" w:type="pct"/>
            <w:shd w:val="clear" w:color="auto" w:fill="auto"/>
            <w:vAlign w:val="center"/>
          </w:tcPr>
          <w:p w14:paraId="3693E8BD" w14:textId="77777777" w:rsidR="003734EC" w:rsidRDefault="003734EC">
            <w:pPr>
              <w:rPr>
                <w:rFonts w:ascii="宋体"/>
              </w:rPr>
            </w:pPr>
          </w:p>
        </w:tc>
        <w:tc>
          <w:tcPr>
            <w:tcW w:w="50" w:type="pct"/>
            <w:shd w:val="clear" w:color="auto" w:fill="auto"/>
            <w:vAlign w:val="center"/>
          </w:tcPr>
          <w:p w14:paraId="3693E8BE" w14:textId="77777777" w:rsidR="003734EC" w:rsidRDefault="003734EC">
            <w:pPr>
              <w:rPr>
                <w:rFonts w:ascii="宋体"/>
              </w:rPr>
            </w:pPr>
          </w:p>
        </w:tc>
        <w:tc>
          <w:tcPr>
            <w:tcW w:w="451" w:type="pct"/>
            <w:shd w:val="clear" w:color="auto" w:fill="auto"/>
            <w:vAlign w:val="center"/>
          </w:tcPr>
          <w:p w14:paraId="3693E8BF" w14:textId="77777777" w:rsidR="003734EC" w:rsidRDefault="003734EC">
            <w:pPr>
              <w:rPr>
                <w:rFonts w:ascii="宋体"/>
              </w:rPr>
            </w:pPr>
          </w:p>
        </w:tc>
        <w:tc>
          <w:tcPr>
            <w:tcW w:w="50" w:type="pct"/>
            <w:shd w:val="clear" w:color="auto" w:fill="auto"/>
            <w:vAlign w:val="center"/>
          </w:tcPr>
          <w:p w14:paraId="3693E8C0" w14:textId="77777777" w:rsidR="003734EC" w:rsidRDefault="003734EC">
            <w:pPr>
              <w:rPr>
                <w:rFonts w:ascii="宋体"/>
              </w:rPr>
            </w:pPr>
          </w:p>
        </w:tc>
      </w:tr>
      <w:tr w:rsidR="003734EC" w14:paraId="3693E8CE" w14:textId="77777777">
        <w:tc>
          <w:tcPr>
            <w:tcW w:w="0" w:type="auto"/>
            <w:gridSpan w:val="3"/>
            <w:shd w:val="clear" w:color="auto" w:fill="auto"/>
            <w:tcMar>
              <w:top w:w="40" w:type="dxa"/>
              <w:left w:w="20" w:type="dxa"/>
              <w:bottom w:w="40" w:type="dxa"/>
              <w:right w:w="20" w:type="dxa"/>
            </w:tcMar>
            <w:vAlign w:val="bottom"/>
          </w:tcPr>
          <w:p w14:paraId="3693E8C2" w14:textId="77777777" w:rsidR="003734EC" w:rsidRDefault="000E364E">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93E8C3"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vAlign w:val="center"/>
          </w:tcPr>
          <w:p w14:paraId="3693E8C4" w14:textId="77777777" w:rsidR="003734EC" w:rsidRDefault="003734EC">
            <w:pPr>
              <w:rPr>
                <w:rFonts w:ascii="宋体"/>
                <w:vanish/>
              </w:rPr>
            </w:pPr>
          </w:p>
        </w:tc>
        <w:tc>
          <w:tcPr>
            <w:tcW w:w="0" w:type="auto"/>
            <w:gridSpan w:val="3"/>
            <w:shd w:val="clear" w:color="auto" w:fill="auto"/>
            <w:vAlign w:val="center"/>
          </w:tcPr>
          <w:p w14:paraId="3693E8C5" w14:textId="77777777" w:rsidR="003734EC" w:rsidRDefault="003734EC">
            <w:pPr>
              <w:rPr>
                <w:rFonts w:ascii="宋体"/>
                <w:vanish/>
              </w:rPr>
            </w:pPr>
          </w:p>
        </w:tc>
        <w:tc>
          <w:tcPr>
            <w:tcW w:w="0" w:type="auto"/>
            <w:gridSpan w:val="3"/>
            <w:shd w:val="clear" w:color="auto" w:fill="auto"/>
            <w:vAlign w:val="center"/>
          </w:tcPr>
          <w:p w14:paraId="3693E8C6" w14:textId="77777777" w:rsidR="003734EC" w:rsidRDefault="003734EC">
            <w:pPr>
              <w:rPr>
                <w:rFonts w:ascii="宋体"/>
                <w:vanish/>
              </w:rPr>
            </w:pPr>
          </w:p>
        </w:tc>
        <w:tc>
          <w:tcPr>
            <w:tcW w:w="0" w:type="auto"/>
            <w:gridSpan w:val="3"/>
            <w:shd w:val="clear" w:color="auto" w:fill="auto"/>
            <w:vAlign w:val="center"/>
          </w:tcPr>
          <w:p w14:paraId="3693E8C7" w14:textId="77777777" w:rsidR="003734EC" w:rsidRDefault="003734EC">
            <w:pPr>
              <w:rPr>
                <w:rFonts w:ascii="宋体"/>
                <w:vanish/>
              </w:rPr>
            </w:pPr>
          </w:p>
        </w:tc>
        <w:tc>
          <w:tcPr>
            <w:tcW w:w="0" w:type="auto"/>
            <w:gridSpan w:val="3"/>
            <w:shd w:val="clear" w:color="auto" w:fill="auto"/>
            <w:vAlign w:val="center"/>
          </w:tcPr>
          <w:p w14:paraId="3693E8C8" w14:textId="77777777" w:rsidR="003734EC" w:rsidRDefault="003734EC">
            <w:pPr>
              <w:rPr>
                <w:rFonts w:ascii="宋体"/>
                <w:vanish/>
              </w:rPr>
            </w:pPr>
          </w:p>
        </w:tc>
        <w:tc>
          <w:tcPr>
            <w:tcW w:w="0" w:type="auto"/>
            <w:gridSpan w:val="3"/>
            <w:shd w:val="clear" w:color="auto" w:fill="auto"/>
            <w:vAlign w:val="center"/>
          </w:tcPr>
          <w:p w14:paraId="3693E8C9" w14:textId="77777777" w:rsidR="003734EC" w:rsidRDefault="003734EC">
            <w:pPr>
              <w:rPr>
                <w:rFonts w:ascii="宋体"/>
                <w:vanish/>
              </w:rPr>
            </w:pPr>
          </w:p>
        </w:tc>
        <w:tc>
          <w:tcPr>
            <w:tcW w:w="0" w:type="auto"/>
            <w:gridSpan w:val="3"/>
            <w:shd w:val="clear" w:color="auto" w:fill="auto"/>
            <w:vAlign w:val="center"/>
          </w:tcPr>
          <w:p w14:paraId="3693E8CA" w14:textId="77777777" w:rsidR="003734EC" w:rsidRDefault="003734EC">
            <w:pPr>
              <w:rPr>
                <w:rFonts w:ascii="宋体"/>
                <w:vanish/>
              </w:rPr>
            </w:pPr>
          </w:p>
        </w:tc>
        <w:tc>
          <w:tcPr>
            <w:tcW w:w="0" w:type="auto"/>
            <w:gridSpan w:val="3"/>
            <w:shd w:val="clear" w:color="auto" w:fill="auto"/>
            <w:vAlign w:val="center"/>
          </w:tcPr>
          <w:p w14:paraId="3693E8CB" w14:textId="77777777" w:rsidR="003734EC" w:rsidRDefault="003734EC">
            <w:pPr>
              <w:rPr>
                <w:rFonts w:ascii="宋体"/>
                <w:vanish/>
              </w:rPr>
            </w:pPr>
          </w:p>
        </w:tc>
        <w:tc>
          <w:tcPr>
            <w:tcW w:w="0" w:type="auto"/>
            <w:gridSpan w:val="2"/>
            <w:shd w:val="clear" w:color="auto" w:fill="auto"/>
            <w:vAlign w:val="center"/>
          </w:tcPr>
          <w:p w14:paraId="3693E8CC" w14:textId="77777777" w:rsidR="003734EC" w:rsidRDefault="003734EC">
            <w:pPr>
              <w:rPr>
                <w:rFonts w:ascii="宋体"/>
                <w:vanish/>
              </w:rPr>
            </w:pPr>
          </w:p>
        </w:tc>
        <w:tc>
          <w:tcPr>
            <w:tcW w:w="0" w:type="auto"/>
            <w:shd w:val="clear" w:color="auto" w:fill="auto"/>
            <w:vAlign w:val="center"/>
          </w:tcPr>
          <w:p w14:paraId="3693E8CD" w14:textId="77777777" w:rsidR="003734EC" w:rsidRDefault="003734EC">
            <w:pPr>
              <w:rPr>
                <w:rFonts w:ascii="宋体"/>
                <w:vanish/>
              </w:rPr>
            </w:pPr>
          </w:p>
        </w:tc>
      </w:tr>
      <w:tr w:rsidR="003734EC" w14:paraId="3693E8F0" w14:textId="77777777">
        <w:tc>
          <w:tcPr>
            <w:tcW w:w="0" w:type="auto"/>
            <w:gridSpan w:val="3"/>
            <w:shd w:val="clear" w:color="auto" w:fill="auto"/>
            <w:tcMar>
              <w:left w:w="20" w:type="dxa"/>
              <w:right w:w="20" w:type="dxa"/>
            </w:tcMar>
            <w:vAlign w:val="bottom"/>
          </w:tcPr>
          <w:p w14:paraId="3693E8CF" w14:textId="77777777" w:rsidR="003734EC" w:rsidRDefault="003734EC">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93E8D0" w14:textId="77777777" w:rsidR="003734EC" w:rsidRDefault="000E364E">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left w:w="20" w:type="dxa"/>
              <w:right w:w="20" w:type="dxa"/>
            </w:tcMar>
            <w:vAlign w:val="bottom"/>
          </w:tcPr>
          <w:p w14:paraId="3693E8D1"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D2" w14:textId="77777777" w:rsidR="003734EC" w:rsidRDefault="000E364E">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left w:w="20" w:type="dxa"/>
              <w:right w:w="20" w:type="dxa"/>
            </w:tcMar>
            <w:vAlign w:val="bottom"/>
          </w:tcPr>
          <w:p w14:paraId="3693E8D3"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D4" w14:textId="77777777" w:rsidR="003734EC" w:rsidRDefault="000E364E">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left w:w="20" w:type="dxa"/>
              <w:right w:w="20" w:type="dxa"/>
            </w:tcMar>
            <w:vAlign w:val="bottom"/>
          </w:tcPr>
          <w:p w14:paraId="3693E8D5"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D6" w14:textId="77777777" w:rsidR="003734EC" w:rsidRDefault="000E364E">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left w:w="20" w:type="dxa"/>
              <w:right w:w="20" w:type="dxa"/>
            </w:tcMar>
            <w:vAlign w:val="bottom"/>
          </w:tcPr>
          <w:p w14:paraId="3693E8D7"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8D8" w14:textId="77777777" w:rsidR="003734EC" w:rsidRDefault="000E364E">
            <w:pPr>
              <w:jc w:val="center"/>
              <w:textAlignment w:val="bottom"/>
            </w:pPr>
            <w:r>
              <w:rPr>
                <w:rFonts w:ascii="sans-serif" w:eastAsia="sans-serif" w:hAnsi="sans-serif" w:cs="sans-serif"/>
                <w:b/>
                <w:bCs/>
                <w:color w:val="000000"/>
                <w:sz w:val="20"/>
                <w:szCs w:val="20"/>
              </w:rPr>
              <w:t>Reported as</w:t>
            </w:r>
          </w:p>
        </w:tc>
        <w:tc>
          <w:tcPr>
            <w:tcW w:w="0" w:type="auto"/>
            <w:gridSpan w:val="3"/>
            <w:shd w:val="clear" w:color="auto" w:fill="auto"/>
            <w:vAlign w:val="center"/>
          </w:tcPr>
          <w:p w14:paraId="3693E8D9" w14:textId="77777777" w:rsidR="003734EC" w:rsidRDefault="003734EC">
            <w:pPr>
              <w:rPr>
                <w:rFonts w:ascii="宋体"/>
                <w:vanish/>
              </w:rPr>
            </w:pPr>
          </w:p>
        </w:tc>
        <w:tc>
          <w:tcPr>
            <w:tcW w:w="0" w:type="auto"/>
            <w:gridSpan w:val="3"/>
            <w:shd w:val="clear" w:color="auto" w:fill="auto"/>
            <w:vAlign w:val="center"/>
          </w:tcPr>
          <w:p w14:paraId="3693E8DA" w14:textId="77777777" w:rsidR="003734EC" w:rsidRDefault="003734EC">
            <w:pPr>
              <w:rPr>
                <w:rFonts w:ascii="宋体"/>
                <w:vanish/>
              </w:rPr>
            </w:pPr>
          </w:p>
        </w:tc>
        <w:tc>
          <w:tcPr>
            <w:tcW w:w="0" w:type="auto"/>
            <w:shd w:val="clear" w:color="auto" w:fill="auto"/>
            <w:vAlign w:val="center"/>
          </w:tcPr>
          <w:p w14:paraId="3693E8DB" w14:textId="77777777" w:rsidR="003734EC" w:rsidRDefault="003734EC">
            <w:pPr>
              <w:rPr>
                <w:rFonts w:ascii="宋体"/>
              </w:rPr>
            </w:pPr>
          </w:p>
        </w:tc>
        <w:tc>
          <w:tcPr>
            <w:tcW w:w="0" w:type="auto"/>
            <w:shd w:val="clear" w:color="auto" w:fill="auto"/>
            <w:vAlign w:val="center"/>
          </w:tcPr>
          <w:p w14:paraId="3693E8DC" w14:textId="77777777" w:rsidR="003734EC" w:rsidRDefault="003734EC">
            <w:pPr>
              <w:rPr>
                <w:rFonts w:ascii="宋体"/>
              </w:rPr>
            </w:pPr>
          </w:p>
        </w:tc>
        <w:tc>
          <w:tcPr>
            <w:tcW w:w="0" w:type="auto"/>
            <w:shd w:val="clear" w:color="auto" w:fill="auto"/>
            <w:vAlign w:val="center"/>
          </w:tcPr>
          <w:p w14:paraId="3693E8DD" w14:textId="77777777" w:rsidR="003734EC" w:rsidRDefault="003734EC">
            <w:pPr>
              <w:rPr>
                <w:rFonts w:ascii="宋体"/>
              </w:rPr>
            </w:pPr>
          </w:p>
        </w:tc>
        <w:tc>
          <w:tcPr>
            <w:tcW w:w="0" w:type="auto"/>
            <w:shd w:val="clear" w:color="auto" w:fill="auto"/>
            <w:vAlign w:val="center"/>
          </w:tcPr>
          <w:p w14:paraId="3693E8DE" w14:textId="77777777" w:rsidR="003734EC" w:rsidRDefault="003734EC">
            <w:pPr>
              <w:rPr>
                <w:rFonts w:ascii="宋体"/>
              </w:rPr>
            </w:pPr>
          </w:p>
        </w:tc>
        <w:tc>
          <w:tcPr>
            <w:tcW w:w="0" w:type="auto"/>
            <w:shd w:val="clear" w:color="auto" w:fill="auto"/>
            <w:vAlign w:val="center"/>
          </w:tcPr>
          <w:p w14:paraId="3693E8DF" w14:textId="77777777" w:rsidR="003734EC" w:rsidRDefault="003734EC">
            <w:pPr>
              <w:rPr>
                <w:rFonts w:ascii="宋体"/>
              </w:rPr>
            </w:pPr>
          </w:p>
        </w:tc>
        <w:tc>
          <w:tcPr>
            <w:tcW w:w="0" w:type="auto"/>
            <w:shd w:val="clear" w:color="auto" w:fill="auto"/>
            <w:vAlign w:val="center"/>
          </w:tcPr>
          <w:p w14:paraId="3693E8E0" w14:textId="77777777" w:rsidR="003734EC" w:rsidRDefault="003734EC">
            <w:pPr>
              <w:rPr>
                <w:rFonts w:ascii="宋体"/>
              </w:rPr>
            </w:pPr>
          </w:p>
        </w:tc>
        <w:tc>
          <w:tcPr>
            <w:tcW w:w="0" w:type="auto"/>
            <w:shd w:val="clear" w:color="auto" w:fill="auto"/>
            <w:vAlign w:val="center"/>
          </w:tcPr>
          <w:p w14:paraId="3693E8E1" w14:textId="77777777" w:rsidR="003734EC" w:rsidRDefault="003734EC">
            <w:pPr>
              <w:rPr>
                <w:rFonts w:ascii="宋体"/>
              </w:rPr>
            </w:pPr>
          </w:p>
        </w:tc>
        <w:tc>
          <w:tcPr>
            <w:tcW w:w="0" w:type="auto"/>
            <w:shd w:val="clear" w:color="auto" w:fill="auto"/>
            <w:vAlign w:val="center"/>
          </w:tcPr>
          <w:p w14:paraId="3693E8E2" w14:textId="77777777" w:rsidR="003734EC" w:rsidRDefault="003734EC">
            <w:pPr>
              <w:rPr>
                <w:rFonts w:ascii="宋体"/>
              </w:rPr>
            </w:pPr>
          </w:p>
        </w:tc>
        <w:tc>
          <w:tcPr>
            <w:tcW w:w="0" w:type="auto"/>
            <w:shd w:val="clear" w:color="auto" w:fill="auto"/>
            <w:vAlign w:val="center"/>
          </w:tcPr>
          <w:p w14:paraId="3693E8E3" w14:textId="77777777" w:rsidR="003734EC" w:rsidRDefault="003734EC">
            <w:pPr>
              <w:rPr>
                <w:rFonts w:ascii="宋体"/>
              </w:rPr>
            </w:pPr>
          </w:p>
        </w:tc>
        <w:tc>
          <w:tcPr>
            <w:tcW w:w="0" w:type="auto"/>
            <w:shd w:val="clear" w:color="auto" w:fill="auto"/>
            <w:vAlign w:val="center"/>
          </w:tcPr>
          <w:p w14:paraId="3693E8E4" w14:textId="77777777" w:rsidR="003734EC" w:rsidRDefault="003734EC">
            <w:pPr>
              <w:rPr>
                <w:rFonts w:ascii="宋体"/>
              </w:rPr>
            </w:pPr>
          </w:p>
        </w:tc>
        <w:tc>
          <w:tcPr>
            <w:tcW w:w="0" w:type="auto"/>
            <w:shd w:val="clear" w:color="auto" w:fill="auto"/>
            <w:vAlign w:val="center"/>
          </w:tcPr>
          <w:p w14:paraId="3693E8E5" w14:textId="77777777" w:rsidR="003734EC" w:rsidRDefault="003734EC">
            <w:pPr>
              <w:rPr>
                <w:rFonts w:ascii="宋体"/>
              </w:rPr>
            </w:pPr>
          </w:p>
        </w:tc>
        <w:tc>
          <w:tcPr>
            <w:tcW w:w="0" w:type="auto"/>
            <w:shd w:val="clear" w:color="auto" w:fill="auto"/>
            <w:vAlign w:val="center"/>
          </w:tcPr>
          <w:p w14:paraId="3693E8E6" w14:textId="77777777" w:rsidR="003734EC" w:rsidRDefault="003734EC">
            <w:pPr>
              <w:rPr>
                <w:rFonts w:ascii="宋体"/>
              </w:rPr>
            </w:pPr>
          </w:p>
        </w:tc>
        <w:tc>
          <w:tcPr>
            <w:tcW w:w="0" w:type="auto"/>
            <w:shd w:val="clear" w:color="auto" w:fill="auto"/>
            <w:vAlign w:val="center"/>
          </w:tcPr>
          <w:p w14:paraId="3693E8E7" w14:textId="77777777" w:rsidR="003734EC" w:rsidRDefault="003734EC">
            <w:pPr>
              <w:rPr>
                <w:rFonts w:ascii="宋体"/>
              </w:rPr>
            </w:pPr>
          </w:p>
        </w:tc>
        <w:tc>
          <w:tcPr>
            <w:tcW w:w="0" w:type="auto"/>
            <w:shd w:val="clear" w:color="auto" w:fill="auto"/>
            <w:vAlign w:val="center"/>
          </w:tcPr>
          <w:p w14:paraId="3693E8E8" w14:textId="77777777" w:rsidR="003734EC" w:rsidRDefault="003734EC">
            <w:pPr>
              <w:rPr>
                <w:rFonts w:ascii="宋体"/>
              </w:rPr>
            </w:pPr>
          </w:p>
        </w:tc>
        <w:tc>
          <w:tcPr>
            <w:tcW w:w="0" w:type="auto"/>
            <w:shd w:val="clear" w:color="auto" w:fill="auto"/>
            <w:vAlign w:val="center"/>
          </w:tcPr>
          <w:p w14:paraId="3693E8E9" w14:textId="77777777" w:rsidR="003734EC" w:rsidRDefault="003734EC">
            <w:pPr>
              <w:rPr>
                <w:rFonts w:ascii="宋体"/>
              </w:rPr>
            </w:pPr>
          </w:p>
        </w:tc>
        <w:tc>
          <w:tcPr>
            <w:tcW w:w="0" w:type="auto"/>
            <w:shd w:val="clear" w:color="auto" w:fill="auto"/>
            <w:vAlign w:val="center"/>
          </w:tcPr>
          <w:p w14:paraId="3693E8EA" w14:textId="77777777" w:rsidR="003734EC" w:rsidRDefault="003734EC">
            <w:pPr>
              <w:rPr>
                <w:rFonts w:ascii="宋体"/>
              </w:rPr>
            </w:pPr>
          </w:p>
        </w:tc>
        <w:tc>
          <w:tcPr>
            <w:tcW w:w="0" w:type="auto"/>
            <w:shd w:val="clear" w:color="auto" w:fill="auto"/>
            <w:vAlign w:val="center"/>
          </w:tcPr>
          <w:p w14:paraId="3693E8EB" w14:textId="77777777" w:rsidR="003734EC" w:rsidRDefault="003734EC">
            <w:pPr>
              <w:rPr>
                <w:rFonts w:ascii="宋体"/>
              </w:rPr>
            </w:pPr>
          </w:p>
        </w:tc>
        <w:tc>
          <w:tcPr>
            <w:tcW w:w="0" w:type="auto"/>
            <w:shd w:val="clear" w:color="auto" w:fill="auto"/>
            <w:vAlign w:val="center"/>
          </w:tcPr>
          <w:p w14:paraId="3693E8EC" w14:textId="77777777" w:rsidR="003734EC" w:rsidRDefault="003734EC">
            <w:pPr>
              <w:rPr>
                <w:rFonts w:ascii="宋体"/>
              </w:rPr>
            </w:pPr>
          </w:p>
        </w:tc>
        <w:tc>
          <w:tcPr>
            <w:tcW w:w="0" w:type="auto"/>
            <w:shd w:val="clear" w:color="auto" w:fill="auto"/>
            <w:vAlign w:val="center"/>
          </w:tcPr>
          <w:p w14:paraId="3693E8ED" w14:textId="77777777" w:rsidR="003734EC" w:rsidRDefault="003734EC">
            <w:pPr>
              <w:rPr>
                <w:rFonts w:ascii="宋体"/>
              </w:rPr>
            </w:pPr>
          </w:p>
        </w:tc>
        <w:tc>
          <w:tcPr>
            <w:tcW w:w="0" w:type="auto"/>
            <w:shd w:val="clear" w:color="auto" w:fill="auto"/>
            <w:vAlign w:val="center"/>
          </w:tcPr>
          <w:p w14:paraId="3693E8EE" w14:textId="77777777" w:rsidR="003734EC" w:rsidRDefault="003734EC">
            <w:pPr>
              <w:rPr>
                <w:rFonts w:ascii="宋体"/>
              </w:rPr>
            </w:pPr>
          </w:p>
        </w:tc>
        <w:tc>
          <w:tcPr>
            <w:tcW w:w="0" w:type="auto"/>
            <w:shd w:val="clear" w:color="auto" w:fill="auto"/>
            <w:vAlign w:val="center"/>
          </w:tcPr>
          <w:p w14:paraId="3693E8EF" w14:textId="77777777" w:rsidR="003734EC" w:rsidRDefault="003734EC">
            <w:pPr>
              <w:rPr>
                <w:rFonts w:ascii="宋体"/>
              </w:rPr>
            </w:pPr>
          </w:p>
        </w:tc>
      </w:tr>
      <w:tr w:rsidR="003734EC" w14:paraId="3693E910" w14:textId="77777777">
        <w:tc>
          <w:tcPr>
            <w:tcW w:w="0" w:type="auto"/>
            <w:gridSpan w:val="3"/>
            <w:shd w:val="clear" w:color="auto" w:fill="auto"/>
            <w:tcMar>
              <w:top w:w="40" w:type="dxa"/>
              <w:left w:w="20" w:type="dxa"/>
              <w:bottom w:w="40" w:type="dxa"/>
              <w:right w:w="20" w:type="dxa"/>
            </w:tcMar>
            <w:vAlign w:val="bottom"/>
          </w:tcPr>
          <w:p w14:paraId="3693E8F1"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93E8F2" w14:textId="77777777" w:rsidR="003734EC" w:rsidRDefault="003734EC">
            <w:pPr>
              <w:jc w:val="center"/>
              <w:rPr>
                <w:rFonts w:ascii="宋体"/>
              </w:rPr>
            </w:pPr>
          </w:p>
        </w:tc>
        <w:tc>
          <w:tcPr>
            <w:tcW w:w="0" w:type="auto"/>
            <w:gridSpan w:val="3"/>
            <w:shd w:val="clear" w:color="auto" w:fill="auto"/>
            <w:vAlign w:val="center"/>
          </w:tcPr>
          <w:p w14:paraId="3693E8F3" w14:textId="77777777" w:rsidR="003734EC" w:rsidRDefault="003734EC">
            <w:pPr>
              <w:rPr>
                <w:rFonts w:ascii="宋体"/>
                <w:vanish/>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F4"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8F5" w14:textId="77777777" w:rsidR="003734EC" w:rsidRDefault="003734EC">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F6" w14:textId="77777777" w:rsidR="003734EC" w:rsidRDefault="003734EC">
            <w:pPr>
              <w:jc w:val="center"/>
              <w:rPr>
                <w:rFonts w:ascii="宋体"/>
              </w:rPr>
            </w:pPr>
          </w:p>
        </w:tc>
        <w:tc>
          <w:tcPr>
            <w:tcW w:w="0" w:type="auto"/>
            <w:gridSpan w:val="3"/>
            <w:shd w:val="clear" w:color="auto" w:fill="auto"/>
            <w:vAlign w:val="center"/>
          </w:tcPr>
          <w:p w14:paraId="3693E8F7" w14:textId="77777777" w:rsidR="003734EC" w:rsidRDefault="003734EC">
            <w:pPr>
              <w:rPr>
                <w:rFonts w:ascii="宋体"/>
                <w:vanish/>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F8"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8F9" w14:textId="77777777" w:rsidR="003734EC" w:rsidRDefault="003734EC">
            <w:pPr>
              <w:rPr>
                <w:rFonts w:ascii="宋体"/>
              </w:rPr>
            </w:pPr>
          </w:p>
        </w:tc>
        <w:tc>
          <w:tcPr>
            <w:tcW w:w="0" w:type="auto"/>
            <w:gridSpan w:val="3"/>
            <w:shd w:val="clear" w:color="auto" w:fill="auto"/>
            <w:vAlign w:val="center"/>
          </w:tcPr>
          <w:p w14:paraId="3693E8FA"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8FB" w14:textId="77777777" w:rsidR="003734EC" w:rsidRDefault="003734EC">
            <w:pPr>
              <w:rPr>
                <w:rFonts w:ascii="宋体"/>
              </w:rPr>
            </w:pPr>
          </w:p>
        </w:tc>
        <w:tc>
          <w:tcPr>
            <w:tcW w:w="0" w:type="auto"/>
            <w:gridSpan w:val="3"/>
            <w:shd w:val="clear" w:color="auto" w:fill="auto"/>
            <w:vAlign w:val="center"/>
          </w:tcPr>
          <w:p w14:paraId="3693E8FC"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8FD"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8FE" w14:textId="77777777" w:rsidR="003734EC" w:rsidRDefault="000E364E">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left w:w="20" w:type="dxa"/>
              <w:right w:w="20" w:type="dxa"/>
            </w:tcMar>
            <w:vAlign w:val="bottom"/>
          </w:tcPr>
          <w:p w14:paraId="3693E8FF"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900" w14:textId="77777777" w:rsidR="003734EC" w:rsidRDefault="000E364E">
            <w:pPr>
              <w:jc w:val="center"/>
              <w:textAlignment w:val="bottom"/>
            </w:pPr>
            <w:r>
              <w:rPr>
                <w:rFonts w:ascii="sans-serif" w:eastAsia="sans-serif" w:hAnsi="sans-serif" w:cs="sans-serif"/>
                <w:b/>
                <w:bCs/>
                <w:color w:val="000000"/>
                <w:sz w:val="20"/>
                <w:szCs w:val="20"/>
              </w:rPr>
              <w:t>Marketable Securities</w:t>
            </w:r>
          </w:p>
        </w:tc>
        <w:tc>
          <w:tcPr>
            <w:tcW w:w="0" w:type="auto"/>
            <w:shd w:val="clear" w:color="auto" w:fill="auto"/>
            <w:vAlign w:val="center"/>
          </w:tcPr>
          <w:p w14:paraId="3693E901" w14:textId="77777777" w:rsidR="003734EC" w:rsidRDefault="003734EC">
            <w:pPr>
              <w:rPr>
                <w:rFonts w:ascii="宋体"/>
              </w:rPr>
            </w:pPr>
          </w:p>
        </w:tc>
        <w:tc>
          <w:tcPr>
            <w:tcW w:w="0" w:type="auto"/>
            <w:shd w:val="clear" w:color="auto" w:fill="auto"/>
            <w:vAlign w:val="center"/>
          </w:tcPr>
          <w:p w14:paraId="3693E902" w14:textId="77777777" w:rsidR="003734EC" w:rsidRDefault="003734EC">
            <w:pPr>
              <w:rPr>
                <w:rFonts w:ascii="宋体"/>
              </w:rPr>
            </w:pPr>
          </w:p>
        </w:tc>
        <w:tc>
          <w:tcPr>
            <w:tcW w:w="0" w:type="auto"/>
            <w:shd w:val="clear" w:color="auto" w:fill="auto"/>
            <w:vAlign w:val="center"/>
          </w:tcPr>
          <w:p w14:paraId="3693E903" w14:textId="77777777" w:rsidR="003734EC" w:rsidRDefault="003734EC">
            <w:pPr>
              <w:rPr>
                <w:rFonts w:ascii="宋体"/>
              </w:rPr>
            </w:pPr>
          </w:p>
        </w:tc>
        <w:tc>
          <w:tcPr>
            <w:tcW w:w="0" w:type="auto"/>
            <w:shd w:val="clear" w:color="auto" w:fill="auto"/>
            <w:vAlign w:val="center"/>
          </w:tcPr>
          <w:p w14:paraId="3693E904" w14:textId="77777777" w:rsidR="003734EC" w:rsidRDefault="003734EC">
            <w:pPr>
              <w:rPr>
                <w:rFonts w:ascii="宋体"/>
              </w:rPr>
            </w:pPr>
          </w:p>
        </w:tc>
        <w:tc>
          <w:tcPr>
            <w:tcW w:w="0" w:type="auto"/>
            <w:shd w:val="clear" w:color="auto" w:fill="auto"/>
            <w:vAlign w:val="center"/>
          </w:tcPr>
          <w:p w14:paraId="3693E905" w14:textId="77777777" w:rsidR="003734EC" w:rsidRDefault="003734EC">
            <w:pPr>
              <w:rPr>
                <w:rFonts w:ascii="宋体"/>
              </w:rPr>
            </w:pPr>
          </w:p>
        </w:tc>
        <w:tc>
          <w:tcPr>
            <w:tcW w:w="0" w:type="auto"/>
            <w:shd w:val="clear" w:color="auto" w:fill="auto"/>
            <w:vAlign w:val="center"/>
          </w:tcPr>
          <w:p w14:paraId="3693E906" w14:textId="77777777" w:rsidR="003734EC" w:rsidRDefault="003734EC">
            <w:pPr>
              <w:rPr>
                <w:rFonts w:ascii="宋体"/>
              </w:rPr>
            </w:pPr>
          </w:p>
        </w:tc>
        <w:tc>
          <w:tcPr>
            <w:tcW w:w="0" w:type="auto"/>
            <w:shd w:val="clear" w:color="auto" w:fill="auto"/>
            <w:vAlign w:val="center"/>
          </w:tcPr>
          <w:p w14:paraId="3693E907" w14:textId="77777777" w:rsidR="003734EC" w:rsidRDefault="003734EC">
            <w:pPr>
              <w:rPr>
                <w:rFonts w:ascii="宋体"/>
              </w:rPr>
            </w:pPr>
          </w:p>
        </w:tc>
        <w:tc>
          <w:tcPr>
            <w:tcW w:w="0" w:type="auto"/>
            <w:shd w:val="clear" w:color="auto" w:fill="auto"/>
            <w:vAlign w:val="center"/>
          </w:tcPr>
          <w:p w14:paraId="3693E908" w14:textId="77777777" w:rsidR="003734EC" w:rsidRDefault="003734EC">
            <w:pPr>
              <w:rPr>
                <w:rFonts w:ascii="宋体"/>
              </w:rPr>
            </w:pPr>
          </w:p>
        </w:tc>
        <w:tc>
          <w:tcPr>
            <w:tcW w:w="0" w:type="auto"/>
            <w:shd w:val="clear" w:color="auto" w:fill="auto"/>
            <w:vAlign w:val="center"/>
          </w:tcPr>
          <w:p w14:paraId="3693E909" w14:textId="77777777" w:rsidR="003734EC" w:rsidRDefault="003734EC">
            <w:pPr>
              <w:rPr>
                <w:rFonts w:ascii="宋体"/>
              </w:rPr>
            </w:pPr>
          </w:p>
        </w:tc>
        <w:tc>
          <w:tcPr>
            <w:tcW w:w="0" w:type="auto"/>
            <w:shd w:val="clear" w:color="auto" w:fill="auto"/>
            <w:vAlign w:val="center"/>
          </w:tcPr>
          <w:p w14:paraId="3693E90A" w14:textId="77777777" w:rsidR="003734EC" w:rsidRDefault="003734EC">
            <w:pPr>
              <w:rPr>
                <w:rFonts w:ascii="宋体"/>
              </w:rPr>
            </w:pPr>
          </w:p>
        </w:tc>
        <w:tc>
          <w:tcPr>
            <w:tcW w:w="0" w:type="auto"/>
            <w:shd w:val="clear" w:color="auto" w:fill="auto"/>
            <w:vAlign w:val="center"/>
          </w:tcPr>
          <w:p w14:paraId="3693E90B" w14:textId="77777777" w:rsidR="003734EC" w:rsidRDefault="003734EC">
            <w:pPr>
              <w:rPr>
                <w:rFonts w:ascii="宋体"/>
              </w:rPr>
            </w:pPr>
          </w:p>
        </w:tc>
        <w:tc>
          <w:tcPr>
            <w:tcW w:w="0" w:type="auto"/>
            <w:shd w:val="clear" w:color="auto" w:fill="auto"/>
            <w:vAlign w:val="center"/>
          </w:tcPr>
          <w:p w14:paraId="3693E90C" w14:textId="77777777" w:rsidR="003734EC" w:rsidRDefault="003734EC">
            <w:pPr>
              <w:rPr>
                <w:rFonts w:ascii="宋体"/>
              </w:rPr>
            </w:pPr>
          </w:p>
        </w:tc>
        <w:tc>
          <w:tcPr>
            <w:tcW w:w="0" w:type="auto"/>
            <w:shd w:val="clear" w:color="auto" w:fill="auto"/>
            <w:vAlign w:val="center"/>
          </w:tcPr>
          <w:p w14:paraId="3693E90D" w14:textId="77777777" w:rsidR="003734EC" w:rsidRDefault="003734EC">
            <w:pPr>
              <w:rPr>
                <w:rFonts w:ascii="宋体"/>
              </w:rPr>
            </w:pPr>
          </w:p>
        </w:tc>
        <w:tc>
          <w:tcPr>
            <w:tcW w:w="0" w:type="auto"/>
            <w:shd w:val="clear" w:color="auto" w:fill="auto"/>
            <w:vAlign w:val="center"/>
          </w:tcPr>
          <w:p w14:paraId="3693E90E" w14:textId="77777777" w:rsidR="003734EC" w:rsidRDefault="003734EC">
            <w:pPr>
              <w:rPr>
                <w:rFonts w:ascii="宋体"/>
              </w:rPr>
            </w:pPr>
          </w:p>
        </w:tc>
        <w:tc>
          <w:tcPr>
            <w:tcW w:w="0" w:type="auto"/>
            <w:shd w:val="clear" w:color="auto" w:fill="auto"/>
            <w:vAlign w:val="center"/>
          </w:tcPr>
          <w:p w14:paraId="3693E90F" w14:textId="77777777" w:rsidR="003734EC" w:rsidRDefault="003734EC">
            <w:pPr>
              <w:rPr>
                <w:rFonts w:ascii="宋体"/>
              </w:rPr>
            </w:pPr>
          </w:p>
        </w:tc>
      </w:tr>
      <w:tr w:rsidR="003734EC" w14:paraId="3693E91D" w14:textId="77777777">
        <w:tc>
          <w:tcPr>
            <w:tcW w:w="0" w:type="auto"/>
            <w:gridSpan w:val="3"/>
            <w:shd w:val="clear" w:color="auto" w:fill="auto"/>
            <w:tcMar>
              <w:top w:w="40" w:type="dxa"/>
              <w:left w:w="20" w:type="dxa"/>
              <w:bottom w:w="40" w:type="dxa"/>
              <w:right w:w="20" w:type="dxa"/>
            </w:tcMar>
            <w:vAlign w:val="bottom"/>
          </w:tcPr>
          <w:p w14:paraId="3693E911" w14:textId="77777777" w:rsidR="003734EC" w:rsidRDefault="000E364E">
            <w:pPr>
              <w:textAlignment w:val="bottom"/>
            </w:pPr>
            <w:r>
              <w:rPr>
                <w:rFonts w:ascii="sans-serif" w:eastAsia="sans-serif" w:hAnsi="sans-serif" w:cs="sans-serif"/>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693E912"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913" w14:textId="77777777" w:rsidR="003734EC" w:rsidRDefault="003734EC">
            <w:pPr>
              <w:rPr>
                <w:rFonts w:ascii="宋体"/>
                <w:vanish/>
              </w:rPr>
            </w:pPr>
          </w:p>
        </w:tc>
        <w:tc>
          <w:tcPr>
            <w:tcW w:w="0" w:type="auto"/>
            <w:gridSpan w:val="3"/>
            <w:shd w:val="clear" w:color="auto" w:fill="auto"/>
            <w:vAlign w:val="center"/>
          </w:tcPr>
          <w:p w14:paraId="3693E914" w14:textId="77777777" w:rsidR="003734EC" w:rsidRDefault="003734EC">
            <w:pPr>
              <w:rPr>
                <w:rFonts w:ascii="宋体"/>
                <w:vanish/>
              </w:rPr>
            </w:pPr>
          </w:p>
        </w:tc>
        <w:tc>
          <w:tcPr>
            <w:tcW w:w="0" w:type="auto"/>
            <w:gridSpan w:val="3"/>
            <w:shd w:val="clear" w:color="auto" w:fill="auto"/>
            <w:vAlign w:val="center"/>
          </w:tcPr>
          <w:p w14:paraId="3693E915" w14:textId="77777777" w:rsidR="003734EC" w:rsidRDefault="003734EC">
            <w:pPr>
              <w:rPr>
                <w:rFonts w:ascii="宋体"/>
                <w:vanish/>
              </w:rPr>
            </w:pPr>
          </w:p>
        </w:tc>
        <w:tc>
          <w:tcPr>
            <w:tcW w:w="0" w:type="auto"/>
            <w:gridSpan w:val="3"/>
            <w:shd w:val="clear" w:color="auto" w:fill="auto"/>
            <w:vAlign w:val="center"/>
          </w:tcPr>
          <w:p w14:paraId="3693E916" w14:textId="77777777" w:rsidR="003734EC" w:rsidRDefault="003734EC">
            <w:pPr>
              <w:rPr>
                <w:rFonts w:ascii="宋体"/>
                <w:vanish/>
              </w:rPr>
            </w:pPr>
          </w:p>
        </w:tc>
        <w:tc>
          <w:tcPr>
            <w:tcW w:w="0" w:type="auto"/>
            <w:gridSpan w:val="3"/>
            <w:shd w:val="clear" w:color="auto" w:fill="auto"/>
            <w:vAlign w:val="center"/>
          </w:tcPr>
          <w:p w14:paraId="3693E917" w14:textId="77777777" w:rsidR="003734EC" w:rsidRDefault="003734EC">
            <w:pPr>
              <w:rPr>
                <w:rFonts w:ascii="宋体"/>
                <w:vanish/>
              </w:rPr>
            </w:pPr>
          </w:p>
        </w:tc>
        <w:tc>
          <w:tcPr>
            <w:tcW w:w="0" w:type="auto"/>
            <w:gridSpan w:val="3"/>
            <w:shd w:val="clear" w:color="auto" w:fill="auto"/>
            <w:vAlign w:val="center"/>
          </w:tcPr>
          <w:p w14:paraId="3693E918" w14:textId="77777777" w:rsidR="003734EC" w:rsidRDefault="003734EC">
            <w:pPr>
              <w:rPr>
                <w:rFonts w:ascii="宋体"/>
                <w:vanish/>
              </w:rPr>
            </w:pPr>
          </w:p>
        </w:tc>
        <w:tc>
          <w:tcPr>
            <w:tcW w:w="0" w:type="auto"/>
            <w:gridSpan w:val="3"/>
            <w:shd w:val="clear" w:color="auto" w:fill="auto"/>
            <w:vAlign w:val="center"/>
          </w:tcPr>
          <w:p w14:paraId="3693E919" w14:textId="77777777" w:rsidR="003734EC" w:rsidRDefault="003734EC">
            <w:pPr>
              <w:rPr>
                <w:rFonts w:ascii="宋体"/>
                <w:vanish/>
              </w:rPr>
            </w:pPr>
          </w:p>
        </w:tc>
        <w:tc>
          <w:tcPr>
            <w:tcW w:w="0" w:type="auto"/>
            <w:gridSpan w:val="3"/>
            <w:shd w:val="clear" w:color="auto" w:fill="auto"/>
            <w:vAlign w:val="center"/>
          </w:tcPr>
          <w:p w14:paraId="3693E91A" w14:textId="77777777" w:rsidR="003734EC" w:rsidRDefault="003734EC">
            <w:pPr>
              <w:rPr>
                <w:rFonts w:ascii="宋体"/>
                <w:vanish/>
              </w:rPr>
            </w:pPr>
          </w:p>
        </w:tc>
        <w:tc>
          <w:tcPr>
            <w:tcW w:w="0" w:type="auto"/>
            <w:gridSpan w:val="2"/>
            <w:shd w:val="clear" w:color="auto" w:fill="auto"/>
            <w:vAlign w:val="center"/>
          </w:tcPr>
          <w:p w14:paraId="3693E91B" w14:textId="77777777" w:rsidR="003734EC" w:rsidRDefault="003734EC">
            <w:pPr>
              <w:rPr>
                <w:rFonts w:ascii="宋体"/>
                <w:vanish/>
              </w:rPr>
            </w:pPr>
          </w:p>
        </w:tc>
        <w:tc>
          <w:tcPr>
            <w:tcW w:w="0" w:type="auto"/>
            <w:shd w:val="clear" w:color="auto" w:fill="auto"/>
            <w:vAlign w:val="center"/>
          </w:tcPr>
          <w:p w14:paraId="3693E91C" w14:textId="77777777" w:rsidR="003734EC" w:rsidRDefault="003734EC">
            <w:pPr>
              <w:rPr>
                <w:rFonts w:ascii="宋体"/>
                <w:vanish/>
              </w:rPr>
            </w:pPr>
          </w:p>
        </w:tc>
      </w:tr>
      <w:tr w:rsidR="003734EC" w14:paraId="3693E945" w14:textId="77777777">
        <w:trPr>
          <w:hidden/>
        </w:trPr>
        <w:tc>
          <w:tcPr>
            <w:tcW w:w="0" w:type="auto"/>
            <w:gridSpan w:val="3"/>
            <w:shd w:val="clear" w:color="auto" w:fill="auto"/>
            <w:vAlign w:val="center"/>
          </w:tcPr>
          <w:p w14:paraId="3693E91E" w14:textId="77777777" w:rsidR="003734EC" w:rsidRDefault="003734EC">
            <w:pPr>
              <w:rPr>
                <w:rFonts w:ascii="宋体"/>
                <w:vanish/>
              </w:rPr>
            </w:pPr>
          </w:p>
        </w:tc>
        <w:tc>
          <w:tcPr>
            <w:tcW w:w="0" w:type="auto"/>
            <w:gridSpan w:val="3"/>
            <w:shd w:val="clear" w:color="auto" w:fill="auto"/>
            <w:vAlign w:val="center"/>
          </w:tcPr>
          <w:p w14:paraId="3693E91F" w14:textId="77777777" w:rsidR="003734EC" w:rsidRDefault="003734EC">
            <w:pPr>
              <w:rPr>
                <w:rFonts w:ascii="宋体"/>
                <w:vanish/>
              </w:rPr>
            </w:pPr>
          </w:p>
        </w:tc>
        <w:tc>
          <w:tcPr>
            <w:tcW w:w="0" w:type="auto"/>
            <w:gridSpan w:val="3"/>
            <w:shd w:val="clear" w:color="auto" w:fill="auto"/>
            <w:vAlign w:val="center"/>
          </w:tcPr>
          <w:p w14:paraId="3693E920" w14:textId="77777777" w:rsidR="003734EC" w:rsidRDefault="003734EC">
            <w:pPr>
              <w:rPr>
                <w:rFonts w:ascii="宋体"/>
                <w:vanish/>
              </w:rPr>
            </w:pPr>
          </w:p>
        </w:tc>
        <w:tc>
          <w:tcPr>
            <w:tcW w:w="0" w:type="auto"/>
            <w:gridSpan w:val="3"/>
            <w:shd w:val="clear" w:color="auto" w:fill="auto"/>
            <w:vAlign w:val="center"/>
          </w:tcPr>
          <w:p w14:paraId="3693E921" w14:textId="77777777" w:rsidR="003734EC" w:rsidRDefault="003734EC">
            <w:pPr>
              <w:rPr>
                <w:rFonts w:ascii="宋体"/>
                <w:vanish/>
              </w:rPr>
            </w:pPr>
          </w:p>
        </w:tc>
        <w:tc>
          <w:tcPr>
            <w:tcW w:w="0" w:type="auto"/>
            <w:gridSpan w:val="3"/>
            <w:shd w:val="clear" w:color="auto" w:fill="auto"/>
            <w:vAlign w:val="center"/>
          </w:tcPr>
          <w:p w14:paraId="3693E922" w14:textId="77777777" w:rsidR="003734EC" w:rsidRDefault="003734EC">
            <w:pPr>
              <w:rPr>
                <w:rFonts w:ascii="宋体"/>
                <w:vanish/>
              </w:rPr>
            </w:pPr>
          </w:p>
        </w:tc>
        <w:tc>
          <w:tcPr>
            <w:tcW w:w="0" w:type="auto"/>
            <w:gridSpan w:val="3"/>
            <w:shd w:val="clear" w:color="auto" w:fill="auto"/>
            <w:vAlign w:val="center"/>
          </w:tcPr>
          <w:p w14:paraId="3693E923" w14:textId="77777777" w:rsidR="003734EC" w:rsidRDefault="003734EC">
            <w:pPr>
              <w:rPr>
                <w:rFonts w:ascii="宋体"/>
                <w:vanish/>
              </w:rPr>
            </w:pPr>
          </w:p>
        </w:tc>
        <w:tc>
          <w:tcPr>
            <w:tcW w:w="0" w:type="auto"/>
            <w:gridSpan w:val="3"/>
            <w:shd w:val="clear" w:color="auto" w:fill="auto"/>
            <w:vAlign w:val="center"/>
          </w:tcPr>
          <w:p w14:paraId="3693E924" w14:textId="77777777" w:rsidR="003734EC" w:rsidRDefault="003734EC">
            <w:pPr>
              <w:rPr>
                <w:rFonts w:ascii="宋体"/>
                <w:vanish/>
              </w:rPr>
            </w:pPr>
          </w:p>
        </w:tc>
        <w:tc>
          <w:tcPr>
            <w:tcW w:w="0" w:type="auto"/>
            <w:gridSpan w:val="3"/>
            <w:shd w:val="clear" w:color="auto" w:fill="auto"/>
            <w:vAlign w:val="center"/>
          </w:tcPr>
          <w:p w14:paraId="3693E925" w14:textId="77777777" w:rsidR="003734EC" w:rsidRDefault="003734EC">
            <w:pPr>
              <w:rPr>
                <w:rFonts w:ascii="宋体"/>
                <w:vanish/>
              </w:rPr>
            </w:pPr>
          </w:p>
        </w:tc>
        <w:tc>
          <w:tcPr>
            <w:tcW w:w="0" w:type="auto"/>
            <w:gridSpan w:val="3"/>
            <w:shd w:val="clear" w:color="auto" w:fill="auto"/>
            <w:vAlign w:val="center"/>
          </w:tcPr>
          <w:p w14:paraId="3693E926" w14:textId="77777777" w:rsidR="003734EC" w:rsidRDefault="003734EC">
            <w:pPr>
              <w:rPr>
                <w:rFonts w:ascii="宋体"/>
                <w:vanish/>
              </w:rPr>
            </w:pPr>
          </w:p>
        </w:tc>
        <w:tc>
          <w:tcPr>
            <w:tcW w:w="0" w:type="auto"/>
            <w:gridSpan w:val="3"/>
            <w:shd w:val="clear" w:color="auto" w:fill="auto"/>
            <w:vAlign w:val="center"/>
          </w:tcPr>
          <w:p w14:paraId="3693E927" w14:textId="77777777" w:rsidR="003734EC" w:rsidRDefault="003734EC">
            <w:pPr>
              <w:rPr>
                <w:rFonts w:ascii="宋体"/>
                <w:vanish/>
              </w:rPr>
            </w:pPr>
          </w:p>
        </w:tc>
        <w:tc>
          <w:tcPr>
            <w:tcW w:w="0" w:type="auto"/>
            <w:gridSpan w:val="3"/>
            <w:shd w:val="clear" w:color="auto" w:fill="auto"/>
            <w:vAlign w:val="center"/>
          </w:tcPr>
          <w:p w14:paraId="3693E928" w14:textId="77777777" w:rsidR="003734EC" w:rsidRDefault="003734EC">
            <w:pPr>
              <w:rPr>
                <w:rFonts w:ascii="宋体"/>
                <w:vanish/>
              </w:rPr>
            </w:pPr>
          </w:p>
        </w:tc>
        <w:tc>
          <w:tcPr>
            <w:tcW w:w="0" w:type="auto"/>
            <w:gridSpan w:val="3"/>
            <w:shd w:val="clear" w:color="auto" w:fill="auto"/>
            <w:vAlign w:val="center"/>
          </w:tcPr>
          <w:p w14:paraId="3693E929" w14:textId="77777777" w:rsidR="003734EC" w:rsidRDefault="003734EC">
            <w:pPr>
              <w:rPr>
                <w:rFonts w:ascii="宋体"/>
                <w:vanish/>
              </w:rPr>
            </w:pPr>
          </w:p>
        </w:tc>
        <w:tc>
          <w:tcPr>
            <w:tcW w:w="0" w:type="auto"/>
            <w:shd w:val="clear" w:color="auto" w:fill="auto"/>
            <w:vAlign w:val="center"/>
          </w:tcPr>
          <w:p w14:paraId="3693E92A" w14:textId="77777777" w:rsidR="003734EC" w:rsidRDefault="003734EC">
            <w:pPr>
              <w:rPr>
                <w:rFonts w:ascii="宋体"/>
              </w:rPr>
            </w:pPr>
          </w:p>
        </w:tc>
        <w:tc>
          <w:tcPr>
            <w:tcW w:w="0" w:type="auto"/>
            <w:shd w:val="clear" w:color="auto" w:fill="auto"/>
            <w:vAlign w:val="center"/>
          </w:tcPr>
          <w:p w14:paraId="3693E92B" w14:textId="77777777" w:rsidR="003734EC" w:rsidRDefault="003734EC">
            <w:pPr>
              <w:rPr>
                <w:rFonts w:ascii="宋体"/>
              </w:rPr>
            </w:pPr>
          </w:p>
        </w:tc>
        <w:tc>
          <w:tcPr>
            <w:tcW w:w="0" w:type="auto"/>
            <w:shd w:val="clear" w:color="auto" w:fill="auto"/>
            <w:vAlign w:val="center"/>
          </w:tcPr>
          <w:p w14:paraId="3693E92C" w14:textId="77777777" w:rsidR="003734EC" w:rsidRDefault="003734EC">
            <w:pPr>
              <w:rPr>
                <w:rFonts w:ascii="宋体"/>
              </w:rPr>
            </w:pPr>
          </w:p>
        </w:tc>
        <w:tc>
          <w:tcPr>
            <w:tcW w:w="0" w:type="auto"/>
            <w:shd w:val="clear" w:color="auto" w:fill="auto"/>
            <w:vAlign w:val="center"/>
          </w:tcPr>
          <w:p w14:paraId="3693E92D" w14:textId="77777777" w:rsidR="003734EC" w:rsidRDefault="003734EC">
            <w:pPr>
              <w:rPr>
                <w:rFonts w:ascii="宋体"/>
              </w:rPr>
            </w:pPr>
          </w:p>
        </w:tc>
        <w:tc>
          <w:tcPr>
            <w:tcW w:w="0" w:type="auto"/>
            <w:shd w:val="clear" w:color="auto" w:fill="auto"/>
            <w:vAlign w:val="center"/>
          </w:tcPr>
          <w:p w14:paraId="3693E92E" w14:textId="77777777" w:rsidR="003734EC" w:rsidRDefault="003734EC">
            <w:pPr>
              <w:rPr>
                <w:rFonts w:ascii="宋体"/>
              </w:rPr>
            </w:pPr>
          </w:p>
        </w:tc>
        <w:tc>
          <w:tcPr>
            <w:tcW w:w="0" w:type="auto"/>
            <w:shd w:val="clear" w:color="auto" w:fill="auto"/>
            <w:vAlign w:val="center"/>
          </w:tcPr>
          <w:p w14:paraId="3693E92F" w14:textId="77777777" w:rsidR="003734EC" w:rsidRDefault="003734EC">
            <w:pPr>
              <w:rPr>
                <w:rFonts w:ascii="宋体"/>
              </w:rPr>
            </w:pPr>
          </w:p>
        </w:tc>
        <w:tc>
          <w:tcPr>
            <w:tcW w:w="0" w:type="auto"/>
            <w:shd w:val="clear" w:color="auto" w:fill="auto"/>
            <w:vAlign w:val="center"/>
          </w:tcPr>
          <w:p w14:paraId="3693E930" w14:textId="77777777" w:rsidR="003734EC" w:rsidRDefault="003734EC">
            <w:pPr>
              <w:rPr>
                <w:rFonts w:ascii="宋体"/>
              </w:rPr>
            </w:pPr>
          </w:p>
        </w:tc>
        <w:tc>
          <w:tcPr>
            <w:tcW w:w="0" w:type="auto"/>
            <w:shd w:val="clear" w:color="auto" w:fill="auto"/>
            <w:vAlign w:val="center"/>
          </w:tcPr>
          <w:p w14:paraId="3693E931" w14:textId="77777777" w:rsidR="003734EC" w:rsidRDefault="003734EC">
            <w:pPr>
              <w:rPr>
                <w:rFonts w:ascii="宋体"/>
              </w:rPr>
            </w:pPr>
          </w:p>
        </w:tc>
        <w:tc>
          <w:tcPr>
            <w:tcW w:w="0" w:type="auto"/>
            <w:shd w:val="clear" w:color="auto" w:fill="auto"/>
            <w:vAlign w:val="center"/>
          </w:tcPr>
          <w:p w14:paraId="3693E932" w14:textId="77777777" w:rsidR="003734EC" w:rsidRDefault="003734EC">
            <w:pPr>
              <w:rPr>
                <w:rFonts w:ascii="宋体"/>
              </w:rPr>
            </w:pPr>
          </w:p>
        </w:tc>
        <w:tc>
          <w:tcPr>
            <w:tcW w:w="0" w:type="auto"/>
            <w:shd w:val="clear" w:color="auto" w:fill="auto"/>
            <w:vAlign w:val="center"/>
          </w:tcPr>
          <w:p w14:paraId="3693E933" w14:textId="77777777" w:rsidR="003734EC" w:rsidRDefault="003734EC">
            <w:pPr>
              <w:rPr>
                <w:rFonts w:ascii="宋体"/>
              </w:rPr>
            </w:pPr>
          </w:p>
        </w:tc>
        <w:tc>
          <w:tcPr>
            <w:tcW w:w="0" w:type="auto"/>
            <w:shd w:val="clear" w:color="auto" w:fill="auto"/>
            <w:vAlign w:val="center"/>
          </w:tcPr>
          <w:p w14:paraId="3693E934" w14:textId="77777777" w:rsidR="003734EC" w:rsidRDefault="003734EC">
            <w:pPr>
              <w:rPr>
                <w:rFonts w:ascii="宋体"/>
              </w:rPr>
            </w:pPr>
          </w:p>
        </w:tc>
        <w:tc>
          <w:tcPr>
            <w:tcW w:w="0" w:type="auto"/>
            <w:shd w:val="clear" w:color="auto" w:fill="auto"/>
            <w:vAlign w:val="center"/>
          </w:tcPr>
          <w:p w14:paraId="3693E935" w14:textId="77777777" w:rsidR="003734EC" w:rsidRDefault="003734EC">
            <w:pPr>
              <w:rPr>
                <w:rFonts w:ascii="宋体"/>
              </w:rPr>
            </w:pPr>
          </w:p>
        </w:tc>
        <w:tc>
          <w:tcPr>
            <w:tcW w:w="0" w:type="auto"/>
            <w:shd w:val="clear" w:color="auto" w:fill="auto"/>
            <w:vAlign w:val="center"/>
          </w:tcPr>
          <w:p w14:paraId="3693E936" w14:textId="77777777" w:rsidR="003734EC" w:rsidRDefault="003734EC">
            <w:pPr>
              <w:rPr>
                <w:rFonts w:ascii="宋体"/>
              </w:rPr>
            </w:pPr>
          </w:p>
        </w:tc>
        <w:tc>
          <w:tcPr>
            <w:tcW w:w="0" w:type="auto"/>
            <w:shd w:val="clear" w:color="auto" w:fill="auto"/>
            <w:vAlign w:val="center"/>
          </w:tcPr>
          <w:p w14:paraId="3693E937" w14:textId="77777777" w:rsidR="003734EC" w:rsidRDefault="003734EC">
            <w:pPr>
              <w:rPr>
                <w:rFonts w:ascii="宋体"/>
              </w:rPr>
            </w:pPr>
          </w:p>
        </w:tc>
        <w:tc>
          <w:tcPr>
            <w:tcW w:w="0" w:type="auto"/>
            <w:shd w:val="clear" w:color="auto" w:fill="auto"/>
            <w:vAlign w:val="center"/>
          </w:tcPr>
          <w:p w14:paraId="3693E938" w14:textId="77777777" w:rsidR="003734EC" w:rsidRDefault="003734EC">
            <w:pPr>
              <w:rPr>
                <w:rFonts w:ascii="宋体"/>
              </w:rPr>
            </w:pPr>
          </w:p>
        </w:tc>
        <w:tc>
          <w:tcPr>
            <w:tcW w:w="0" w:type="auto"/>
            <w:shd w:val="clear" w:color="auto" w:fill="auto"/>
            <w:vAlign w:val="center"/>
          </w:tcPr>
          <w:p w14:paraId="3693E939" w14:textId="77777777" w:rsidR="003734EC" w:rsidRDefault="003734EC">
            <w:pPr>
              <w:rPr>
                <w:rFonts w:ascii="宋体"/>
              </w:rPr>
            </w:pPr>
          </w:p>
        </w:tc>
        <w:tc>
          <w:tcPr>
            <w:tcW w:w="0" w:type="auto"/>
            <w:shd w:val="clear" w:color="auto" w:fill="auto"/>
            <w:vAlign w:val="center"/>
          </w:tcPr>
          <w:p w14:paraId="3693E93A" w14:textId="77777777" w:rsidR="003734EC" w:rsidRDefault="003734EC">
            <w:pPr>
              <w:rPr>
                <w:rFonts w:ascii="宋体"/>
              </w:rPr>
            </w:pPr>
          </w:p>
        </w:tc>
        <w:tc>
          <w:tcPr>
            <w:tcW w:w="0" w:type="auto"/>
            <w:shd w:val="clear" w:color="auto" w:fill="auto"/>
            <w:vAlign w:val="center"/>
          </w:tcPr>
          <w:p w14:paraId="3693E93B" w14:textId="77777777" w:rsidR="003734EC" w:rsidRDefault="003734EC">
            <w:pPr>
              <w:rPr>
                <w:rFonts w:ascii="宋体"/>
              </w:rPr>
            </w:pPr>
          </w:p>
        </w:tc>
        <w:tc>
          <w:tcPr>
            <w:tcW w:w="0" w:type="auto"/>
            <w:shd w:val="clear" w:color="auto" w:fill="auto"/>
            <w:vAlign w:val="center"/>
          </w:tcPr>
          <w:p w14:paraId="3693E93C" w14:textId="77777777" w:rsidR="003734EC" w:rsidRDefault="003734EC">
            <w:pPr>
              <w:rPr>
                <w:rFonts w:ascii="宋体"/>
              </w:rPr>
            </w:pPr>
          </w:p>
        </w:tc>
        <w:tc>
          <w:tcPr>
            <w:tcW w:w="0" w:type="auto"/>
            <w:shd w:val="clear" w:color="auto" w:fill="auto"/>
            <w:vAlign w:val="center"/>
          </w:tcPr>
          <w:p w14:paraId="3693E93D" w14:textId="77777777" w:rsidR="003734EC" w:rsidRDefault="003734EC">
            <w:pPr>
              <w:rPr>
                <w:rFonts w:ascii="宋体"/>
              </w:rPr>
            </w:pPr>
          </w:p>
        </w:tc>
        <w:tc>
          <w:tcPr>
            <w:tcW w:w="0" w:type="auto"/>
            <w:shd w:val="clear" w:color="auto" w:fill="auto"/>
            <w:vAlign w:val="center"/>
          </w:tcPr>
          <w:p w14:paraId="3693E93E" w14:textId="77777777" w:rsidR="003734EC" w:rsidRDefault="003734EC">
            <w:pPr>
              <w:rPr>
                <w:rFonts w:ascii="宋体"/>
              </w:rPr>
            </w:pPr>
          </w:p>
        </w:tc>
        <w:tc>
          <w:tcPr>
            <w:tcW w:w="0" w:type="auto"/>
            <w:shd w:val="clear" w:color="auto" w:fill="auto"/>
            <w:vAlign w:val="center"/>
          </w:tcPr>
          <w:p w14:paraId="3693E93F" w14:textId="77777777" w:rsidR="003734EC" w:rsidRDefault="003734EC">
            <w:pPr>
              <w:rPr>
                <w:rFonts w:ascii="宋体"/>
              </w:rPr>
            </w:pPr>
          </w:p>
        </w:tc>
        <w:tc>
          <w:tcPr>
            <w:tcW w:w="0" w:type="auto"/>
            <w:shd w:val="clear" w:color="auto" w:fill="auto"/>
            <w:vAlign w:val="center"/>
          </w:tcPr>
          <w:p w14:paraId="3693E940" w14:textId="77777777" w:rsidR="003734EC" w:rsidRDefault="003734EC">
            <w:pPr>
              <w:rPr>
                <w:rFonts w:ascii="宋体"/>
              </w:rPr>
            </w:pPr>
          </w:p>
        </w:tc>
        <w:tc>
          <w:tcPr>
            <w:tcW w:w="0" w:type="auto"/>
            <w:shd w:val="clear" w:color="auto" w:fill="auto"/>
            <w:vAlign w:val="center"/>
          </w:tcPr>
          <w:p w14:paraId="3693E941" w14:textId="77777777" w:rsidR="003734EC" w:rsidRDefault="003734EC">
            <w:pPr>
              <w:rPr>
                <w:rFonts w:ascii="宋体"/>
              </w:rPr>
            </w:pPr>
          </w:p>
        </w:tc>
        <w:tc>
          <w:tcPr>
            <w:tcW w:w="0" w:type="auto"/>
            <w:shd w:val="clear" w:color="auto" w:fill="auto"/>
            <w:vAlign w:val="center"/>
          </w:tcPr>
          <w:p w14:paraId="3693E942" w14:textId="77777777" w:rsidR="003734EC" w:rsidRDefault="003734EC">
            <w:pPr>
              <w:rPr>
                <w:rFonts w:ascii="宋体"/>
              </w:rPr>
            </w:pPr>
          </w:p>
        </w:tc>
        <w:tc>
          <w:tcPr>
            <w:tcW w:w="0" w:type="auto"/>
            <w:shd w:val="clear" w:color="auto" w:fill="auto"/>
            <w:vAlign w:val="center"/>
          </w:tcPr>
          <w:p w14:paraId="3693E943" w14:textId="77777777" w:rsidR="003734EC" w:rsidRDefault="003734EC">
            <w:pPr>
              <w:rPr>
                <w:rFonts w:ascii="宋体"/>
              </w:rPr>
            </w:pPr>
          </w:p>
        </w:tc>
        <w:tc>
          <w:tcPr>
            <w:tcW w:w="0" w:type="auto"/>
            <w:shd w:val="clear" w:color="auto" w:fill="auto"/>
            <w:vAlign w:val="center"/>
          </w:tcPr>
          <w:p w14:paraId="3693E944" w14:textId="77777777" w:rsidR="003734EC" w:rsidRDefault="003734EC">
            <w:pPr>
              <w:rPr>
                <w:rFonts w:ascii="宋体"/>
              </w:rPr>
            </w:pPr>
          </w:p>
        </w:tc>
      </w:tr>
      <w:tr w:rsidR="000E364E" w14:paraId="3693E979" w14:textId="77777777">
        <w:tc>
          <w:tcPr>
            <w:tcW w:w="0" w:type="auto"/>
            <w:gridSpan w:val="3"/>
            <w:shd w:val="clear" w:color="auto" w:fill="E2EFD9"/>
            <w:tcMar>
              <w:top w:w="40" w:type="dxa"/>
              <w:left w:w="20" w:type="dxa"/>
              <w:bottom w:w="40" w:type="dxa"/>
              <w:right w:w="20" w:type="dxa"/>
            </w:tcMar>
            <w:vAlign w:val="bottom"/>
          </w:tcPr>
          <w:p w14:paraId="3693E946" w14:textId="77777777" w:rsidR="003734EC" w:rsidRDefault="000E364E">
            <w:pPr>
              <w:textAlignment w:val="bottom"/>
            </w:pPr>
            <w:r>
              <w:rPr>
                <w:rFonts w:ascii="sans-serif" w:eastAsia="sans-serif" w:hAnsi="sans-serif" w:cs="sans-serif"/>
                <w:color w:val="000000"/>
                <w:sz w:val="20"/>
                <w:szCs w:val="20"/>
              </w:rPr>
              <w:t>Money market funds</w:t>
            </w:r>
          </w:p>
        </w:tc>
        <w:tc>
          <w:tcPr>
            <w:tcW w:w="0" w:type="auto"/>
            <w:shd w:val="clear" w:color="auto" w:fill="E2EFD9"/>
            <w:tcMar>
              <w:top w:w="40" w:type="dxa"/>
              <w:left w:w="20" w:type="dxa"/>
              <w:bottom w:w="40" w:type="dxa"/>
            </w:tcMar>
            <w:vAlign w:val="bottom"/>
          </w:tcPr>
          <w:p w14:paraId="3693E947"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48" w14:textId="77777777" w:rsidR="003734EC" w:rsidRDefault="000E364E">
            <w:pPr>
              <w:jc w:val="right"/>
              <w:textAlignment w:val="bottom"/>
            </w:pPr>
            <w:r>
              <w:rPr>
                <w:rFonts w:ascii="sans-serif" w:eastAsia="sans-serif" w:hAnsi="sans-serif" w:cs="sans-serif"/>
                <w:color w:val="000000"/>
                <w:sz w:val="20"/>
                <w:szCs w:val="20"/>
              </w:rPr>
              <w:t>11,128 </w:t>
            </w:r>
          </w:p>
        </w:tc>
        <w:tc>
          <w:tcPr>
            <w:tcW w:w="0" w:type="auto"/>
            <w:shd w:val="clear" w:color="auto" w:fill="E2EFD9"/>
            <w:tcMar>
              <w:top w:w="40" w:type="dxa"/>
              <w:bottom w:w="40" w:type="dxa"/>
              <w:right w:w="20" w:type="dxa"/>
            </w:tcMar>
            <w:vAlign w:val="bottom"/>
          </w:tcPr>
          <w:p w14:paraId="3693E94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4A"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94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4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4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4E"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94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5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5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52"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953"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54" w14:textId="77777777" w:rsidR="003734EC" w:rsidRDefault="000E364E">
            <w:pPr>
              <w:jc w:val="right"/>
              <w:textAlignment w:val="bottom"/>
            </w:pPr>
            <w:r>
              <w:rPr>
                <w:rFonts w:ascii="sans-serif" w:eastAsia="sans-serif" w:hAnsi="sans-serif" w:cs="sans-serif"/>
                <w:color w:val="000000"/>
                <w:sz w:val="20"/>
                <w:szCs w:val="20"/>
              </w:rPr>
              <w:t>11,128 </w:t>
            </w:r>
          </w:p>
        </w:tc>
        <w:tc>
          <w:tcPr>
            <w:tcW w:w="0" w:type="auto"/>
            <w:shd w:val="clear" w:color="auto" w:fill="E2EFD9"/>
            <w:tcMar>
              <w:top w:w="40" w:type="dxa"/>
              <w:bottom w:w="40" w:type="dxa"/>
              <w:right w:w="20" w:type="dxa"/>
            </w:tcMar>
            <w:vAlign w:val="bottom"/>
          </w:tcPr>
          <w:p w14:paraId="3693E95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56"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957"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58" w14:textId="77777777" w:rsidR="003734EC" w:rsidRDefault="000E364E">
            <w:pPr>
              <w:jc w:val="right"/>
              <w:textAlignment w:val="bottom"/>
            </w:pPr>
            <w:r>
              <w:rPr>
                <w:rFonts w:ascii="sans-serif" w:eastAsia="sans-serif" w:hAnsi="sans-serif" w:cs="sans-serif"/>
                <w:color w:val="000000"/>
                <w:sz w:val="20"/>
                <w:szCs w:val="20"/>
              </w:rPr>
              <w:t>11,128 </w:t>
            </w:r>
          </w:p>
        </w:tc>
        <w:tc>
          <w:tcPr>
            <w:tcW w:w="0" w:type="auto"/>
            <w:shd w:val="clear" w:color="auto" w:fill="E2EFD9"/>
            <w:tcMar>
              <w:top w:w="40" w:type="dxa"/>
              <w:bottom w:w="40" w:type="dxa"/>
              <w:right w:w="20" w:type="dxa"/>
            </w:tcMar>
            <w:vAlign w:val="bottom"/>
          </w:tcPr>
          <w:p w14:paraId="3693E95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5A"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95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95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5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95E" w14:textId="77777777" w:rsidR="003734EC" w:rsidRDefault="003734EC">
            <w:pPr>
              <w:rPr>
                <w:rFonts w:ascii="宋体"/>
              </w:rPr>
            </w:pPr>
          </w:p>
        </w:tc>
        <w:tc>
          <w:tcPr>
            <w:tcW w:w="0" w:type="auto"/>
            <w:shd w:val="clear" w:color="auto" w:fill="auto"/>
            <w:vAlign w:val="center"/>
          </w:tcPr>
          <w:p w14:paraId="3693E95F" w14:textId="77777777" w:rsidR="003734EC" w:rsidRDefault="003734EC">
            <w:pPr>
              <w:rPr>
                <w:rFonts w:ascii="宋体"/>
              </w:rPr>
            </w:pPr>
          </w:p>
        </w:tc>
        <w:tc>
          <w:tcPr>
            <w:tcW w:w="0" w:type="auto"/>
            <w:shd w:val="clear" w:color="auto" w:fill="auto"/>
            <w:vAlign w:val="center"/>
          </w:tcPr>
          <w:p w14:paraId="3693E960" w14:textId="77777777" w:rsidR="003734EC" w:rsidRDefault="003734EC">
            <w:pPr>
              <w:rPr>
                <w:rFonts w:ascii="宋体"/>
              </w:rPr>
            </w:pPr>
          </w:p>
        </w:tc>
        <w:tc>
          <w:tcPr>
            <w:tcW w:w="0" w:type="auto"/>
            <w:shd w:val="clear" w:color="auto" w:fill="auto"/>
            <w:vAlign w:val="center"/>
          </w:tcPr>
          <w:p w14:paraId="3693E961" w14:textId="77777777" w:rsidR="003734EC" w:rsidRDefault="003734EC">
            <w:pPr>
              <w:rPr>
                <w:rFonts w:ascii="宋体"/>
              </w:rPr>
            </w:pPr>
          </w:p>
        </w:tc>
        <w:tc>
          <w:tcPr>
            <w:tcW w:w="0" w:type="auto"/>
            <w:shd w:val="clear" w:color="auto" w:fill="auto"/>
            <w:vAlign w:val="center"/>
          </w:tcPr>
          <w:p w14:paraId="3693E962" w14:textId="77777777" w:rsidR="003734EC" w:rsidRDefault="003734EC">
            <w:pPr>
              <w:rPr>
                <w:rFonts w:ascii="宋体"/>
              </w:rPr>
            </w:pPr>
          </w:p>
        </w:tc>
        <w:tc>
          <w:tcPr>
            <w:tcW w:w="0" w:type="auto"/>
            <w:shd w:val="clear" w:color="auto" w:fill="auto"/>
            <w:vAlign w:val="center"/>
          </w:tcPr>
          <w:p w14:paraId="3693E963" w14:textId="77777777" w:rsidR="003734EC" w:rsidRDefault="003734EC">
            <w:pPr>
              <w:rPr>
                <w:rFonts w:ascii="宋体"/>
              </w:rPr>
            </w:pPr>
          </w:p>
        </w:tc>
        <w:tc>
          <w:tcPr>
            <w:tcW w:w="0" w:type="auto"/>
            <w:shd w:val="clear" w:color="auto" w:fill="auto"/>
            <w:vAlign w:val="center"/>
          </w:tcPr>
          <w:p w14:paraId="3693E964" w14:textId="77777777" w:rsidR="003734EC" w:rsidRDefault="003734EC">
            <w:pPr>
              <w:rPr>
                <w:rFonts w:ascii="宋体"/>
              </w:rPr>
            </w:pPr>
          </w:p>
        </w:tc>
        <w:tc>
          <w:tcPr>
            <w:tcW w:w="0" w:type="auto"/>
            <w:shd w:val="clear" w:color="auto" w:fill="auto"/>
            <w:vAlign w:val="center"/>
          </w:tcPr>
          <w:p w14:paraId="3693E965" w14:textId="77777777" w:rsidR="003734EC" w:rsidRDefault="003734EC">
            <w:pPr>
              <w:rPr>
                <w:rFonts w:ascii="宋体"/>
              </w:rPr>
            </w:pPr>
          </w:p>
        </w:tc>
        <w:tc>
          <w:tcPr>
            <w:tcW w:w="0" w:type="auto"/>
            <w:shd w:val="clear" w:color="auto" w:fill="auto"/>
            <w:vAlign w:val="center"/>
          </w:tcPr>
          <w:p w14:paraId="3693E966" w14:textId="77777777" w:rsidR="003734EC" w:rsidRDefault="003734EC">
            <w:pPr>
              <w:rPr>
                <w:rFonts w:ascii="宋体"/>
              </w:rPr>
            </w:pPr>
          </w:p>
        </w:tc>
        <w:tc>
          <w:tcPr>
            <w:tcW w:w="0" w:type="auto"/>
            <w:shd w:val="clear" w:color="auto" w:fill="auto"/>
            <w:vAlign w:val="center"/>
          </w:tcPr>
          <w:p w14:paraId="3693E967" w14:textId="77777777" w:rsidR="003734EC" w:rsidRDefault="003734EC">
            <w:pPr>
              <w:rPr>
                <w:rFonts w:ascii="宋体"/>
              </w:rPr>
            </w:pPr>
          </w:p>
        </w:tc>
        <w:tc>
          <w:tcPr>
            <w:tcW w:w="0" w:type="auto"/>
            <w:shd w:val="clear" w:color="auto" w:fill="auto"/>
            <w:vAlign w:val="center"/>
          </w:tcPr>
          <w:p w14:paraId="3693E968" w14:textId="77777777" w:rsidR="003734EC" w:rsidRDefault="003734EC">
            <w:pPr>
              <w:rPr>
                <w:rFonts w:ascii="宋体"/>
              </w:rPr>
            </w:pPr>
          </w:p>
        </w:tc>
        <w:tc>
          <w:tcPr>
            <w:tcW w:w="0" w:type="auto"/>
            <w:shd w:val="clear" w:color="auto" w:fill="auto"/>
            <w:vAlign w:val="center"/>
          </w:tcPr>
          <w:p w14:paraId="3693E969" w14:textId="77777777" w:rsidR="003734EC" w:rsidRDefault="003734EC">
            <w:pPr>
              <w:rPr>
                <w:rFonts w:ascii="宋体"/>
              </w:rPr>
            </w:pPr>
          </w:p>
        </w:tc>
        <w:tc>
          <w:tcPr>
            <w:tcW w:w="0" w:type="auto"/>
            <w:shd w:val="clear" w:color="auto" w:fill="auto"/>
            <w:vAlign w:val="center"/>
          </w:tcPr>
          <w:p w14:paraId="3693E96A" w14:textId="77777777" w:rsidR="003734EC" w:rsidRDefault="003734EC">
            <w:pPr>
              <w:rPr>
                <w:rFonts w:ascii="宋体"/>
              </w:rPr>
            </w:pPr>
          </w:p>
        </w:tc>
        <w:tc>
          <w:tcPr>
            <w:tcW w:w="0" w:type="auto"/>
            <w:shd w:val="clear" w:color="auto" w:fill="auto"/>
            <w:vAlign w:val="center"/>
          </w:tcPr>
          <w:p w14:paraId="3693E96B" w14:textId="77777777" w:rsidR="003734EC" w:rsidRDefault="003734EC">
            <w:pPr>
              <w:rPr>
                <w:rFonts w:ascii="宋体"/>
              </w:rPr>
            </w:pPr>
          </w:p>
        </w:tc>
        <w:tc>
          <w:tcPr>
            <w:tcW w:w="0" w:type="auto"/>
            <w:shd w:val="clear" w:color="auto" w:fill="auto"/>
            <w:vAlign w:val="center"/>
          </w:tcPr>
          <w:p w14:paraId="3693E96C" w14:textId="77777777" w:rsidR="003734EC" w:rsidRDefault="003734EC">
            <w:pPr>
              <w:rPr>
                <w:rFonts w:ascii="宋体"/>
              </w:rPr>
            </w:pPr>
          </w:p>
        </w:tc>
        <w:tc>
          <w:tcPr>
            <w:tcW w:w="0" w:type="auto"/>
            <w:shd w:val="clear" w:color="auto" w:fill="auto"/>
            <w:vAlign w:val="center"/>
          </w:tcPr>
          <w:p w14:paraId="3693E96D" w14:textId="77777777" w:rsidR="003734EC" w:rsidRDefault="003734EC">
            <w:pPr>
              <w:rPr>
                <w:rFonts w:ascii="宋体"/>
              </w:rPr>
            </w:pPr>
          </w:p>
        </w:tc>
        <w:tc>
          <w:tcPr>
            <w:tcW w:w="0" w:type="auto"/>
            <w:shd w:val="clear" w:color="auto" w:fill="auto"/>
            <w:vAlign w:val="center"/>
          </w:tcPr>
          <w:p w14:paraId="3693E96E" w14:textId="77777777" w:rsidR="003734EC" w:rsidRDefault="003734EC">
            <w:pPr>
              <w:rPr>
                <w:rFonts w:ascii="宋体"/>
              </w:rPr>
            </w:pPr>
          </w:p>
        </w:tc>
        <w:tc>
          <w:tcPr>
            <w:tcW w:w="0" w:type="auto"/>
            <w:shd w:val="clear" w:color="auto" w:fill="auto"/>
            <w:vAlign w:val="center"/>
          </w:tcPr>
          <w:p w14:paraId="3693E96F" w14:textId="77777777" w:rsidR="003734EC" w:rsidRDefault="003734EC">
            <w:pPr>
              <w:rPr>
                <w:rFonts w:ascii="宋体"/>
              </w:rPr>
            </w:pPr>
          </w:p>
        </w:tc>
        <w:tc>
          <w:tcPr>
            <w:tcW w:w="0" w:type="auto"/>
            <w:shd w:val="clear" w:color="auto" w:fill="auto"/>
            <w:vAlign w:val="center"/>
          </w:tcPr>
          <w:p w14:paraId="3693E970" w14:textId="77777777" w:rsidR="003734EC" w:rsidRDefault="003734EC">
            <w:pPr>
              <w:rPr>
                <w:rFonts w:ascii="宋体"/>
              </w:rPr>
            </w:pPr>
          </w:p>
        </w:tc>
        <w:tc>
          <w:tcPr>
            <w:tcW w:w="0" w:type="auto"/>
            <w:shd w:val="clear" w:color="auto" w:fill="auto"/>
            <w:vAlign w:val="center"/>
          </w:tcPr>
          <w:p w14:paraId="3693E971" w14:textId="77777777" w:rsidR="003734EC" w:rsidRDefault="003734EC">
            <w:pPr>
              <w:rPr>
                <w:rFonts w:ascii="宋体"/>
              </w:rPr>
            </w:pPr>
          </w:p>
        </w:tc>
        <w:tc>
          <w:tcPr>
            <w:tcW w:w="0" w:type="auto"/>
            <w:shd w:val="clear" w:color="auto" w:fill="auto"/>
            <w:vAlign w:val="center"/>
          </w:tcPr>
          <w:p w14:paraId="3693E972" w14:textId="77777777" w:rsidR="003734EC" w:rsidRDefault="003734EC">
            <w:pPr>
              <w:rPr>
                <w:rFonts w:ascii="宋体"/>
              </w:rPr>
            </w:pPr>
          </w:p>
        </w:tc>
        <w:tc>
          <w:tcPr>
            <w:tcW w:w="0" w:type="auto"/>
            <w:shd w:val="clear" w:color="auto" w:fill="auto"/>
            <w:vAlign w:val="center"/>
          </w:tcPr>
          <w:p w14:paraId="3693E973" w14:textId="77777777" w:rsidR="003734EC" w:rsidRDefault="003734EC">
            <w:pPr>
              <w:rPr>
                <w:rFonts w:ascii="宋体"/>
              </w:rPr>
            </w:pPr>
          </w:p>
        </w:tc>
        <w:tc>
          <w:tcPr>
            <w:tcW w:w="0" w:type="auto"/>
            <w:shd w:val="clear" w:color="auto" w:fill="auto"/>
            <w:vAlign w:val="center"/>
          </w:tcPr>
          <w:p w14:paraId="3693E974" w14:textId="77777777" w:rsidR="003734EC" w:rsidRDefault="003734EC">
            <w:pPr>
              <w:rPr>
                <w:rFonts w:ascii="宋体"/>
              </w:rPr>
            </w:pPr>
          </w:p>
        </w:tc>
        <w:tc>
          <w:tcPr>
            <w:tcW w:w="0" w:type="auto"/>
            <w:shd w:val="clear" w:color="auto" w:fill="auto"/>
            <w:vAlign w:val="center"/>
          </w:tcPr>
          <w:p w14:paraId="3693E975" w14:textId="77777777" w:rsidR="003734EC" w:rsidRDefault="003734EC">
            <w:pPr>
              <w:rPr>
                <w:rFonts w:ascii="宋体"/>
              </w:rPr>
            </w:pPr>
          </w:p>
        </w:tc>
        <w:tc>
          <w:tcPr>
            <w:tcW w:w="0" w:type="auto"/>
            <w:shd w:val="clear" w:color="auto" w:fill="auto"/>
            <w:vAlign w:val="center"/>
          </w:tcPr>
          <w:p w14:paraId="3693E976" w14:textId="77777777" w:rsidR="003734EC" w:rsidRDefault="003734EC">
            <w:pPr>
              <w:rPr>
                <w:rFonts w:ascii="宋体"/>
              </w:rPr>
            </w:pPr>
          </w:p>
        </w:tc>
        <w:tc>
          <w:tcPr>
            <w:tcW w:w="0" w:type="auto"/>
            <w:shd w:val="clear" w:color="auto" w:fill="auto"/>
            <w:vAlign w:val="center"/>
          </w:tcPr>
          <w:p w14:paraId="3693E977" w14:textId="77777777" w:rsidR="003734EC" w:rsidRDefault="003734EC">
            <w:pPr>
              <w:rPr>
                <w:rFonts w:ascii="宋体"/>
              </w:rPr>
            </w:pPr>
          </w:p>
        </w:tc>
        <w:tc>
          <w:tcPr>
            <w:tcW w:w="0" w:type="auto"/>
            <w:shd w:val="clear" w:color="auto" w:fill="auto"/>
            <w:vAlign w:val="center"/>
          </w:tcPr>
          <w:p w14:paraId="3693E978" w14:textId="77777777" w:rsidR="003734EC" w:rsidRDefault="003734EC">
            <w:pPr>
              <w:rPr>
                <w:rFonts w:ascii="宋体"/>
              </w:rPr>
            </w:pPr>
          </w:p>
        </w:tc>
      </w:tr>
      <w:tr w:rsidR="003734EC" w14:paraId="3693E9A7" w14:textId="77777777">
        <w:tc>
          <w:tcPr>
            <w:tcW w:w="0" w:type="auto"/>
            <w:gridSpan w:val="3"/>
            <w:shd w:val="clear" w:color="auto" w:fill="FFFFFF"/>
            <w:tcMar>
              <w:top w:w="40" w:type="dxa"/>
              <w:left w:w="20" w:type="dxa"/>
              <w:bottom w:w="40" w:type="dxa"/>
              <w:right w:w="20" w:type="dxa"/>
            </w:tcMar>
            <w:vAlign w:val="bottom"/>
          </w:tcPr>
          <w:p w14:paraId="3693E97A" w14:textId="77777777" w:rsidR="003734EC" w:rsidRDefault="000E364E">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693E97B" w14:textId="77777777" w:rsidR="003734EC" w:rsidRDefault="000E364E">
            <w:pPr>
              <w:jc w:val="right"/>
              <w:textAlignment w:val="bottom"/>
            </w:pPr>
            <w:r>
              <w:rPr>
                <w:rFonts w:ascii="sans-serif" w:eastAsia="sans-serif" w:hAnsi="sans-serif" w:cs="sans-serif"/>
                <w:color w:val="000000"/>
                <w:sz w:val="20"/>
                <w:szCs w:val="20"/>
              </w:rPr>
              <w:t>3,238 </w:t>
            </w:r>
          </w:p>
        </w:tc>
        <w:tc>
          <w:tcPr>
            <w:tcW w:w="0" w:type="auto"/>
            <w:shd w:val="clear" w:color="auto" w:fill="FFFFFF"/>
            <w:tcMar>
              <w:top w:w="40" w:type="dxa"/>
              <w:bottom w:w="40" w:type="dxa"/>
              <w:right w:w="20" w:type="dxa"/>
            </w:tcMar>
            <w:vAlign w:val="bottom"/>
          </w:tcPr>
          <w:p w14:paraId="3693E97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7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7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97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8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8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98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83"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84" w14:textId="77777777" w:rsidR="003734EC" w:rsidRDefault="000E364E">
            <w:pPr>
              <w:jc w:val="right"/>
              <w:textAlignment w:val="bottom"/>
            </w:pPr>
            <w:r>
              <w:rPr>
                <w:rFonts w:ascii="sans-serif" w:eastAsia="sans-serif" w:hAnsi="sans-serif" w:cs="sans-serif"/>
                <w:color w:val="000000"/>
                <w:sz w:val="20"/>
                <w:szCs w:val="20"/>
              </w:rPr>
              <w:t>3,238 </w:t>
            </w:r>
          </w:p>
        </w:tc>
        <w:tc>
          <w:tcPr>
            <w:tcW w:w="0" w:type="auto"/>
            <w:shd w:val="clear" w:color="auto" w:fill="FFFFFF"/>
            <w:tcMar>
              <w:top w:w="40" w:type="dxa"/>
              <w:bottom w:w="40" w:type="dxa"/>
              <w:right w:w="20" w:type="dxa"/>
            </w:tcMar>
            <w:vAlign w:val="bottom"/>
          </w:tcPr>
          <w:p w14:paraId="3693E98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86"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87" w14:textId="77777777" w:rsidR="003734EC" w:rsidRDefault="000E364E">
            <w:pPr>
              <w:jc w:val="right"/>
              <w:textAlignment w:val="bottom"/>
            </w:pPr>
            <w:r>
              <w:rPr>
                <w:rFonts w:ascii="sans-serif" w:eastAsia="sans-serif" w:hAnsi="sans-serif" w:cs="sans-serif"/>
                <w:color w:val="000000"/>
                <w:sz w:val="20"/>
                <w:szCs w:val="20"/>
              </w:rPr>
              <w:t>2,951 </w:t>
            </w:r>
          </w:p>
        </w:tc>
        <w:tc>
          <w:tcPr>
            <w:tcW w:w="0" w:type="auto"/>
            <w:shd w:val="clear" w:color="auto" w:fill="FFFFFF"/>
            <w:tcMar>
              <w:top w:w="40" w:type="dxa"/>
              <w:bottom w:w="40" w:type="dxa"/>
              <w:right w:w="20" w:type="dxa"/>
            </w:tcMar>
            <w:vAlign w:val="bottom"/>
          </w:tcPr>
          <w:p w14:paraId="3693E98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8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8A" w14:textId="77777777" w:rsidR="003734EC" w:rsidRDefault="000E364E">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bottom w:w="40" w:type="dxa"/>
              <w:right w:w="20" w:type="dxa"/>
            </w:tcMar>
            <w:vAlign w:val="bottom"/>
          </w:tcPr>
          <w:p w14:paraId="3693E98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98C" w14:textId="77777777" w:rsidR="003734EC" w:rsidRDefault="003734EC">
            <w:pPr>
              <w:rPr>
                <w:rFonts w:ascii="宋体"/>
              </w:rPr>
            </w:pPr>
          </w:p>
        </w:tc>
        <w:tc>
          <w:tcPr>
            <w:tcW w:w="0" w:type="auto"/>
            <w:shd w:val="clear" w:color="auto" w:fill="auto"/>
            <w:vAlign w:val="center"/>
          </w:tcPr>
          <w:p w14:paraId="3693E98D" w14:textId="77777777" w:rsidR="003734EC" w:rsidRDefault="003734EC">
            <w:pPr>
              <w:rPr>
                <w:rFonts w:ascii="宋体"/>
              </w:rPr>
            </w:pPr>
          </w:p>
        </w:tc>
        <w:tc>
          <w:tcPr>
            <w:tcW w:w="0" w:type="auto"/>
            <w:shd w:val="clear" w:color="auto" w:fill="auto"/>
            <w:vAlign w:val="center"/>
          </w:tcPr>
          <w:p w14:paraId="3693E98E" w14:textId="77777777" w:rsidR="003734EC" w:rsidRDefault="003734EC">
            <w:pPr>
              <w:rPr>
                <w:rFonts w:ascii="宋体"/>
              </w:rPr>
            </w:pPr>
          </w:p>
        </w:tc>
        <w:tc>
          <w:tcPr>
            <w:tcW w:w="0" w:type="auto"/>
            <w:shd w:val="clear" w:color="auto" w:fill="auto"/>
            <w:vAlign w:val="center"/>
          </w:tcPr>
          <w:p w14:paraId="3693E98F" w14:textId="77777777" w:rsidR="003734EC" w:rsidRDefault="003734EC">
            <w:pPr>
              <w:rPr>
                <w:rFonts w:ascii="宋体"/>
              </w:rPr>
            </w:pPr>
          </w:p>
        </w:tc>
        <w:tc>
          <w:tcPr>
            <w:tcW w:w="0" w:type="auto"/>
            <w:shd w:val="clear" w:color="auto" w:fill="auto"/>
            <w:vAlign w:val="center"/>
          </w:tcPr>
          <w:p w14:paraId="3693E990" w14:textId="77777777" w:rsidR="003734EC" w:rsidRDefault="003734EC">
            <w:pPr>
              <w:rPr>
                <w:rFonts w:ascii="宋体"/>
              </w:rPr>
            </w:pPr>
          </w:p>
        </w:tc>
        <w:tc>
          <w:tcPr>
            <w:tcW w:w="0" w:type="auto"/>
            <w:shd w:val="clear" w:color="auto" w:fill="auto"/>
            <w:vAlign w:val="center"/>
          </w:tcPr>
          <w:p w14:paraId="3693E991" w14:textId="77777777" w:rsidR="003734EC" w:rsidRDefault="003734EC">
            <w:pPr>
              <w:rPr>
                <w:rFonts w:ascii="宋体"/>
              </w:rPr>
            </w:pPr>
          </w:p>
        </w:tc>
        <w:tc>
          <w:tcPr>
            <w:tcW w:w="0" w:type="auto"/>
            <w:shd w:val="clear" w:color="auto" w:fill="auto"/>
            <w:vAlign w:val="center"/>
          </w:tcPr>
          <w:p w14:paraId="3693E992" w14:textId="77777777" w:rsidR="003734EC" w:rsidRDefault="003734EC">
            <w:pPr>
              <w:rPr>
                <w:rFonts w:ascii="宋体"/>
              </w:rPr>
            </w:pPr>
          </w:p>
        </w:tc>
        <w:tc>
          <w:tcPr>
            <w:tcW w:w="0" w:type="auto"/>
            <w:shd w:val="clear" w:color="auto" w:fill="auto"/>
            <w:vAlign w:val="center"/>
          </w:tcPr>
          <w:p w14:paraId="3693E993" w14:textId="77777777" w:rsidR="003734EC" w:rsidRDefault="003734EC">
            <w:pPr>
              <w:rPr>
                <w:rFonts w:ascii="宋体"/>
              </w:rPr>
            </w:pPr>
          </w:p>
        </w:tc>
        <w:tc>
          <w:tcPr>
            <w:tcW w:w="0" w:type="auto"/>
            <w:shd w:val="clear" w:color="auto" w:fill="auto"/>
            <w:vAlign w:val="center"/>
          </w:tcPr>
          <w:p w14:paraId="3693E994" w14:textId="77777777" w:rsidR="003734EC" w:rsidRDefault="003734EC">
            <w:pPr>
              <w:rPr>
                <w:rFonts w:ascii="宋体"/>
              </w:rPr>
            </w:pPr>
          </w:p>
        </w:tc>
        <w:tc>
          <w:tcPr>
            <w:tcW w:w="0" w:type="auto"/>
            <w:shd w:val="clear" w:color="auto" w:fill="auto"/>
            <w:vAlign w:val="center"/>
          </w:tcPr>
          <w:p w14:paraId="3693E995" w14:textId="77777777" w:rsidR="003734EC" w:rsidRDefault="003734EC">
            <w:pPr>
              <w:rPr>
                <w:rFonts w:ascii="宋体"/>
              </w:rPr>
            </w:pPr>
          </w:p>
        </w:tc>
        <w:tc>
          <w:tcPr>
            <w:tcW w:w="0" w:type="auto"/>
            <w:shd w:val="clear" w:color="auto" w:fill="auto"/>
            <w:vAlign w:val="center"/>
          </w:tcPr>
          <w:p w14:paraId="3693E996" w14:textId="77777777" w:rsidR="003734EC" w:rsidRDefault="003734EC">
            <w:pPr>
              <w:rPr>
                <w:rFonts w:ascii="宋体"/>
              </w:rPr>
            </w:pPr>
          </w:p>
        </w:tc>
        <w:tc>
          <w:tcPr>
            <w:tcW w:w="0" w:type="auto"/>
            <w:shd w:val="clear" w:color="auto" w:fill="auto"/>
            <w:vAlign w:val="center"/>
          </w:tcPr>
          <w:p w14:paraId="3693E997" w14:textId="77777777" w:rsidR="003734EC" w:rsidRDefault="003734EC">
            <w:pPr>
              <w:rPr>
                <w:rFonts w:ascii="宋体"/>
              </w:rPr>
            </w:pPr>
          </w:p>
        </w:tc>
        <w:tc>
          <w:tcPr>
            <w:tcW w:w="0" w:type="auto"/>
            <w:shd w:val="clear" w:color="auto" w:fill="auto"/>
            <w:vAlign w:val="center"/>
          </w:tcPr>
          <w:p w14:paraId="3693E998" w14:textId="77777777" w:rsidR="003734EC" w:rsidRDefault="003734EC">
            <w:pPr>
              <w:rPr>
                <w:rFonts w:ascii="宋体"/>
              </w:rPr>
            </w:pPr>
          </w:p>
        </w:tc>
        <w:tc>
          <w:tcPr>
            <w:tcW w:w="0" w:type="auto"/>
            <w:shd w:val="clear" w:color="auto" w:fill="auto"/>
            <w:vAlign w:val="center"/>
          </w:tcPr>
          <w:p w14:paraId="3693E999" w14:textId="77777777" w:rsidR="003734EC" w:rsidRDefault="003734EC">
            <w:pPr>
              <w:rPr>
                <w:rFonts w:ascii="宋体"/>
              </w:rPr>
            </w:pPr>
          </w:p>
        </w:tc>
        <w:tc>
          <w:tcPr>
            <w:tcW w:w="0" w:type="auto"/>
            <w:shd w:val="clear" w:color="auto" w:fill="auto"/>
            <w:vAlign w:val="center"/>
          </w:tcPr>
          <w:p w14:paraId="3693E99A" w14:textId="77777777" w:rsidR="003734EC" w:rsidRDefault="003734EC">
            <w:pPr>
              <w:rPr>
                <w:rFonts w:ascii="宋体"/>
              </w:rPr>
            </w:pPr>
          </w:p>
        </w:tc>
        <w:tc>
          <w:tcPr>
            <w:tcW w:w="0" w:type="auto"/>
            <w:shd w:val="clear" w:color="auto" w:fill="auto"/>
            <w:vAlign w:val="center"/>
          </w:tcPr>
          <w:p w14:paraId="3693E99B" w14:textId="77777777" w:rsidR="003734EC" w:rsidRDefault="003734EC">
            <w:pPr>
              <w:rPr>
                <w:rFonts w:ascii="宋体"/>
              </w:rPr>
            </w:pPr>
          </w:p>
        </w:tc>
        <w:tc>
          <w:tcPr>
            <w:tcW w:w="0" w:type="auto"/>
            <w:shd w:val="clear" w:color="auto" w:fill="auto"/>
            <w:vAlign w:val="center"/>
          </w:tcPr>
          <w:p w14:paraId="3693E99C" w14:textId="77777777" w:rsidR="003734EC" w:rsidRDefault="003734EC">
            <w:pPr>
              <w:rPr>
                <w:rFonts w:ascii="宋体"/>
              </w:rPr>
            </w:pPr>
          </w:p>
        </w:tc>
        <w:tc>
          <w:tcPr>
            <w:tcW w:w="0" w:type="auto"/>
            <w:shd w:val="clear" w:color="auto" w:fill="auto"/>
            <w:vAlign w:val="center"/>
          </w:tcPr>
          <w:p w14:paraId="3693E99D" w14:textId="77777777" w:rsidR="003734EC" w:rsidRDefault="003734EC">
            <w:pPr>
              <w:rPr>
                <w:rFonts w:ascii="宋体"/>
              </w:rPr>
            </w:pPr>
          </w:p>
        </w:tc>
        <w:tc>
          <w:tcPr>
            <w:tcW w:w="0" w:type="auto"/>
            <w:shd w:val="clear" w:color="auto" w:fill="auto"/>
            <w:vAlign w:val="center"/>
          </w:tcPr>
          <w:p w14:paraId="3693E99E" w14:textId="77777777" w:rsidR="003734EC" w:rsidRDefault="003734EC">
            <w:pPr>
              <w:rPr>
                <w:rFonts w:ascii="宋体"/>
              </w:rPr>
            </w:pPr>
          </w:p>
        </w:tc>
        <w:tc>
          <w:tcPr>
            <w:tcW w:w="0" w:type="auto"/>
            <w:shd w:val="clear" w:color="auto" w:fill="auto"/>
            <w:vAlign w:val="center"/>
          </w:tcPr>
          <w:p w14:paraId="3693E99F" w14:textId="77777777" w:rsidR="003734EC" w:rsidRDefault="003734EC">
            <w:pPr>
              <w:rPr>
                <w:rFonts w:ascii="宋体"/>
              </w:rPr>
            </w:pPr>
          </w:p>
        </w:tc>
        <w:tc>
          <w:tcPr>
            <w:tcW w:w="0" w:type="auto"/>
            <w:shd w:val="clear" w:color="auto" w:fill="auto"/>
            <w:vAlign w:val="center"/>
          </w:tcPr>
          <w:p w14:paraId="3693E9A0" w14:textId="77777777" w:rsidR="003734EC" w:rsidRDefault="003734EC">
            <w:pPr>
              <w:rPr>
                <w:rFonts w:ascii="宋体"/>
              </w:rPr>
            </w:pPr>
          </w:p>
        </w:tc>
        <w:tc>
          <w:tcPr>
            <w:tcW w:w="0" w:type="auto"/>
            <w:shd w:val="clear" w:color="auto" w:fill="auto"/>
            <w:vAlign w:val="center"/>
          </w:tcPr>
          <w:p w14:paraId="3693E9A1" w14:textId="77777777" w:rsidR="003734EC" w:rsidRDefault="003734EC">
            <w:pPr>
              <w:rPr>
                <w:rFonts w:ascii="宋体"/>
              </w:rPr>
            </w:pPr>
          </w:p>
        </w:tc>
        <w:tc>
          <w:tcPr>
            <w:tcW w:w="0" w:type="auto"/>
            <w:shd w:val="clear" w:color="auto" w:fill="auto"/>
            <w:vAlign w:val="center"/>
          </w:tcPr>
          <w:p w14:paraId="3693E9A2" w14:textId="77777777" w:rsidR="003734EC" w:rsidRDefault="003734EC">
            <w:pPr>
              <w:rPr>
                <w:rFonts w:ascii="宋体"/>
              </w:rPr>
            </w:pPr>
          </w:p>
        </w:tc>
        <w:tc>
          <w:tcPr>
            <w:tcW w:w="0" w:type="auto"/>
            <w:shd w:val="clear" w:color="auto" w:fill="auto"/>
            <w:vAlign w:val="center"/>
          </w:tcPr>
          <w:p w14:paraId="3693E9A3" w14:textId="77777777" w:rsidR="003734EC" w:rsidRDefault="003734EC">
            <w:pPr>
              <w:rPr>
                <w:rFonts w:ascii="宋体"/>
              </w:rPr>
            </w:pPr>
          </w:p>
        </w:tc>
        <w:tc>
          <w:tcPr>
            <w:tcW w:w="0" w:type="auto"/>
            <w:shd w:val="clear" w:color="auto" w:fill="auto"/>
            <w:vAlign w:val="center"/>
          </w:tcPr>
          <w:p w14:paraId="3693E9A4" w14:textId="77777777" w:rsidR="003734EC" w:rsidRDefault="003734EC">
            <w:pPr>
              <w:rPr>
                <w:rFonts w:ascii="宋体"/>
              </w:rPr>
            </w:pPr>
          </w:p>
        </w:tc>
        <w:tc>
          <w:tcPr>
            <w:tcW w:w="0" w:type="auto"/>
            <w:shd w:val="clear" w:color="auto" w:fill="auto"/>
            <w:vAlign w:val="center"/>
          </w:tcPr>
          <w:p w14:paraId="3693E9A5" w14:textId="77777777" w:rsidR="003734EC" w:rsidRDefault="003734EC">
            <w:pPr>
              <w:rPr>
                <w:rFonts w:ascii="宋体"/>
              </w:rPr>
            </w:pPr>
          </w:p>
        </w:tc>
        <w:tc>
          <w:tcPr>
            <w:tcW w:w="0" w:type="auto"/>
            <w:shd w:val="clear" w:color="auto" w:fill="auto"/>
            <w:vAlign w:val="center"/>
          </w:tcPr>
          <w:p w14:paraId="3693E9A6" w14:textId="77777777" w:rsidR="003734EC" w:rsidRDefault="003734EC">
            <w:pPr>
              <w:rPr>
                <w:rFonts w:ascii="宋体"/>
              </w:rPr>
            </w:pPr>
          </w:p>
        </w:tc>
      </w:tr>
      <w:tr w:rsidR="003734EC" w14:paraId="3693E9D5" w14:textId="77777777">
        <w:tc>
          <w:tcPr>
            <w:tcW w:w="0" w:type="auto"/>
            <w:gridSpan w:val="3"/>
            <w:shd w:val="clear" w:color="auto" w:fill="E2EFD9"/>
            <w:tcMar>
              <w:top w:w="40" w:type="dxa"/>
              <w:left w:w="20" w:type="dxa"/>
              <w:bottom w:w="40" w:type="dxa"/>
              <w:right w:w="20" w:type="dxa"/>
            </w:tcMar>
            <w:vAlign w:val="bottom"/>
          </w:tcPr>
          <w:p w14:paraId="3693E9A8" w14:textId="77777777" w:rsidR="003734EC" w:rsidRDefault="000E364E">
            <w:pPr>
              <w:textAlignment w:val="bottom"/>
            </w:pPr>
            <w:r>
              <w:rPr>
                <w:rFonts w:ascii="sans-serif" w:eastAsia="sans-serif" w:hAnsi="sans-serif" w:cs="sans-serif"/>
                <w:color w:val="000000"/>
                <w:sz w:val="20"/>
                <w:szCs w:val="20"/>
              </w:rPr>
              <w:t>Foreign government bonds</w:t>
            </w:r>
          </w:p>
        </w:tc>
        <w:tc>
          <w:tcPr>
            <w:tcW w:w="0" w:type="auto"/>
            <w:gridSpan w:val="2"/>
            <w:shd w:val="clear" w:color="auto" w:fill="E2EFD9"/>
            <w:tcMar>
              <w:top w:w="40" w:type="dxa"/>
              <w:left w:w="20" w:type="dxa"/>
              <w:bottom w:w="40" w:type="dxa"/>
              <w:right w:w="0" w:type="dxa"/>
            </w:tcMar>
            <w:vAlign w:val="bottom"/>
          </w:tcPr>
          <w:p w14:paraId="3693E9A9" w14:textId="77777777" w:rsidR="003734EC" w:rsidRDefault="000E364E">
            <w:pPr>
              <w:jc w:val="right"/>
              <w:textAlignment w:val="bottom"/>
            </w:pPr>
            <w:r>
              <w:rPr>
                <w:rFonts w:ascii="sans-serif" w:eastAsia="sans-serif" w:hAnsi="sans-serif" w:cs="sans-serif"/>
                <w:color w:val="000000"/>
                <w:sz w:val="20"/>
                <w:szCs w:val="20"/>
              </w:rPr>
              <w:t>870 </w:t>
            </w:r>
          </w:p>
        </w:tc>
        <w:tc>
          <w:tcPr>
            <w:tcW w:w="0" w:type="auto"/>
            <w:shd w:val="clear" w:color="auto" w:fill="E2EFD9"/>
            <w:tcMar>
              <w:top w:w="40" w:type="dxa"/>
              <w:bottom w:w="40" w:type="dxa"/>
              <w:right w:w="20" w:type="dxa"/>
            </w:tcMar>
            <w:vAlign w:val="bottom"/>
          </w:tcPr>
          <w:p w14:paraId="3693E9A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A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9A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A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A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9A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B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B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9B2" w14:textId="77777777" w:rsidR="003734EC" w:rsidRDefault="000E364E">
            <w:pPr>
              <w:jc w:val="right"/>
              <w:textAlignment w:val="bottom"/>
            </w:pPr>
            <w:r>
              <w:rPr>
                <w:rFonts w:ascii="sans-serif" w:eastAsia="sans-serif" w:hAnsi="sans-serif" w:cs="sans-serif"/>
                <w:color w:val="000000"/>
                <w:sz w:val="20"/>
                <w:szCs w:val="20"/>
              </w:rPr>
              <w:t>870 </w:t>
            </w:r>
          </w:p>
        </w:tc>
        <w:tc>
          <w:tcPr>
            <w:tcW w:w="0" w:type="auto"/>
            <w:shd w:val="clear" w:color="auto" w:fill="E2EFD9"/>
            <w:tcMar>
              <w:top w:w="40" w:type="dxa"/>
              <w:bottom w:w="40" w:type="dxa"/>
              <w:right w:w="20" w:type="dxa"/>
            </w:tcMar>
            <w:vAlign w:val="bottom"/>
          </w:tcPr>
          <w:p w14:paraId="3693E9B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B4"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9B5" w14:textId="77777777" w:rsidR="003734EC" w:rsidRDefault="000E364E">
            <w:pPr>
              <w:jc w:val="right"/>
              <w:textAlignment w:val="bottom"/>
            </w:pPr>
            <w:r>
              <w:rPr>
                <w:rFonts w:ascii="sans-serif" w:eastAsia="sans-serif" w:hAnsi="sans-serif" w:cs="sans-serif"/>
                <w:color w:val="000000"/>
                <w:sz w:val="20"/>
                <w:szCs w:val="20"/>
              </w:rPr>
              <w:t>870 </w:t>
            </w:r>
          </w:p>
        </w:tc>
        <w:tc>
          <w:tcPr>
            <w:tcW w:w="0" w:type="auto"/>
            <w:shd w:val="clear" w:color="auto" w:fill="E2EFD9"/>
            <w:tcMar>
              <w:top w:w="40" w:type="dxa"/>
              <w:bottom w:w="40" w:type="dxa"/>
              <w:right w:w="20" w:type="dxa"/>
            </w:tcMar>
            <w:vAlign w:val="bottom"/>
          </w:tcPr>
          <w:p w14:paraId="3693E9B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9B7"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9B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9B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9BA" w14:textId="77777777" w:rsidR="003734EC" w:rsidRDefault="003734EC">
            <w:pPr>
              <w:rPr>
                <w:rFonts w:ascii="宋体"/>
              </w:rPr>
            </w:pPr>
          </w:p>
        </w:tc>
        <w:tc>
          <w:tcPr>
            <w:tcW w:w="0" w:type="auto"/>
            <w:shd w:val="clear" w:color="auto" w:fill="auto"/>
            <w:vAlign w:val="center"/>
          </w:tcPr>
          <w:p w14:paraId="3693E9BB" w14:textId="77777777" w:rsidR="003734EC" w:rsidRDefault="003734EC">
            <w:pPr>
              <w:rPr>
                <w:rFonts w:ascii="宋体"/>
              </w:rPr>
            </w:pPr>
          </w:p>
        </w:tc>
        <w:tc>
          <w:tcPr>
            <w:tcW w:w="0" w:type="auto"/>
            <w:shd w:val="clear" w:color="auto" w:fill="auto"/>
            <w:vAlign w:val="center"/>
          </w:tcPr>
          <w:p w14:paraId="3693E9BC" w14:textId="77777777" w:rsidR="003734EC" w:rsidRDefault="003734EC">
            <w:pPr>
              <w:rPr>
                <w:rFonts w:ascii="宋体"/>
              </w:rPr>
            </w:pPr>
          </w:p>
        </w:tc>
        <w:tc>
          <w:tcPr>
            <w:tcW w:w="0" w:type="auto"/>
            <w:shd w:val="clear" w:color="auto" w:fill="auto"/>
            <w:vAlign w:val="center"/>
          </w:tcPr>
          <w:p w14:paraId="3693E9BD" w14:textId="77777777" w:rsidR="003734EC" w:rsidRDefault="003734EC">
            <w:pPr>
              <w:rPr>
                <w:rFonts w:ascii="宋体"/>
              </w:rPr>
            </w:pPr>
          </w:p>
        </w:tc>
        <w:tc>
          <w:tcPr>
            <w:tcW w:w="0" w:type="auto"/>
            <w:shd w:val="clear" w:color="auto" w:fill="auto"/>
            <w:vAlign w:val="center"/>
          </w:tcPr>
          <w:p w14:paraId="3693E9BE" w14:textId="77777777" w:rsidR="003734EC" w:rsidRDefault="003734EC">
            <w:pPr>
              <w:rPr>
                <w:rFonts w:ascii="宋体"/>
              </w:rPr>
            </w:pPr>
          </w:p>
        </w:tc>
        <w:tc>
          <w:tcPr>
            <w:tcW w:w="0" w:type="auto"/>
            <w:shd w:val="clear" w:color="auto" w:fill="auto"/>
            <w:vAlign w:val="center"/>
          </w:tcPr>
          <w:p w14:paraId="3693E9BF" w14:textId="77777777" w:rsidR="003734EC" w:rsidRDefault="003734EC">
            <w:pPr>
              <w:rPr>
                <w:rFonts w:ascii="宋体"/>
              </w:rPr>
            </w:pPr>
          </w:p>
        </w:tc>
        <w:tc>
          <w:tcPr>
            <w:tcW w:w="0" w:type="auto"/>
            <w:shd w:val="clear" w:color="auto" w:fill="auto"/>
            <w:vAlign w:val="center"/>
          </w:tcPr>
          <w:p w14:paraId="3693E9C0" w14:textId="77777777" w:rsidR="003734EC" w:rsidRDefault="003734EC">
            <w:pPr>
              <w:rPr>
                <w:rFonts w:ascii="宋体"/>
              </w:rPr>
            </w:pPr>
          </w:p>
        </w:tc>
        <w:tc>
          <w:tcPr>
            <w:tcW w:w="0" w:type="auto"/>
            <w:shd w:val="clear" w:color="auto" w:fill="auto"/>
            <w:vAlign w:val="center"/>
          </w:tcPr>
          <w:p w14:paraId="3693E9C1" w14:textId="77777777" w:rsidR="003734EC" w:rsidRDefault="003734EC">
            <w:pPr>
              <w:rPr>
                <w:rFonts w:ascii="宋体"/>
              </w:rPr>
            </w:pPr>
          </w:p>
        </w:tc>
        <w:tc>
          <w:tcPr>
            <w:tcW w:w="0" w:type="auto"/>
            <w:shd w:val="clear" w:color="auto" w:fill="auto"/>
            <w:vAlign w:val="center"/>
          </w:tcPr>
          <w:p w14:paraId="3693E9C2" w14:textId="77777777" w:rsidR="003734EC" w:rsidRDefault="003734EC">
            <w:pPr>
              <w:rPr>
                <w:rFonts w:ascii="宋体"/>
              </w:rPr>
            </w:pPr>
          </w:p>
        </w:tc>
        <w:tc>
          <w:tcPr>
            <w:tcW w:w="0" w:type="auto"/>
            <w:shd w:val="clear" w:color="auto" w:fill="auto"/>
            <w:vAlign w:val="center"/>
          </w:tcPr>
          <w:p w14:paraId="3693E9C3" w14:textId="77777777" w:rsidR="003734EC" w:rsidRDefault="003734EC">
            <w:pPr>
              <w:rPr>
                <w:rFonts w:ascii="宋体"/>
              </w:rPr>
            </w:pPr>
          </w:p>
        </w:tc>
        <w:tc>
          <w:tcPr>
            <w:tcW w:w="0" w:type="auto"/>
            <w:shd w:val="clear" w:color="auto" w:fill="auto"/>
            <w:vAlign w:val="center"/>
          </w:tcPr>
          <w:p w14:paraId="3693E9C4" w14:textId="77777777" w:rsidR="003734EC" w:rsidRDefault="003734EC">
            <w:pPr>
              <w:rPr>
                <w:rFonts w:ascii="宋体"/>
              </w:rPr>
            </w:pPr>
          </w:p>
        </w:tc>
        <w:tc>
          <w:tcPr>
            <w:tcW w:w="0" w:type="auto"/>
            <w:shd w:val="clear" w:color="auto" w:fill="auto"/>
            <w:vAlign w:val="center"/>
          </w:tcPr>
          <w:p w14:paraId="3693E9C5" w14:textId="77777777" w:rsidR="003734EC" w:rsidRDefault="003734EC">
            <w:pPr>
              <w:rPr>
                <w:rFonts w:ascii="宋体"/>
              </w:rPr>
            </w:pPr>
          </w:p>
        </w:tc>
        <w:tc>
          <w:tcPr>
            <w:tcW w:w="0" w:type="auto"/>
            <w:shd w:val="clear" w:color="auto" w:fill="auto"/>
            <w:vAlign w:val="center"/>
          </w:tcPr>
          <w:p w14:paraId="3693E9C6" w14:textId="77777777" w:rsidR="003734EC" w:rsidRDefault="003734EC">
            <w:pPr>
              <w:rPr>
                <w:rFonts w:ascii="宋体"/>
              </w:rPr>
            </w:pPr>
          </w:p>
        </w:tc>
        <w:tc>
          <w:tcPr>
            <w:tcW w:w="0" w:type="auto"/>
            <w:shd w:val="clear" w:color="auto" w:fill="auto"/>
            <w:vAlign w:val="center"/>
          </w:tcPr>
          <w:p w14:paraId="3693E9C7" w14:textId="77777777" w:rsidR="003734EC" w:rsidRDefault="003734EC">
            <w:pPr>
              <w:rPr>
                <w:rFonts w:ascii="宋体"/>
              </w:rPr>
            </w:pPr>
          </w:p>
        </w:tc>
        <w:tc>
          <w:tcPr>
            <w:tcW w:w="0" w:type="auto"/>
            <w:shd w:val="clear" w:color="auto" w:fill="auto"/>
            <w:vAlign w:val="center"/>
          </w:tcPr>
          <w:p w14:paraId="3693E9C8" w14:textId="77777777" w:rsidR="003734EC" w:rsidRDefault="003734EC">
            <w:pPr>
              <w:rPr>
                <w:rFonts w:ascii="宋体"/>
              </w:rPr>
            </w:pPr>
          </w:p>
        </w:tc>
        <w:tc>
          <w:tcPr>
            <w:tcW w:w="0" w:type="auto"/>
            <w:shd w:val="clear" w:color="auto" w:fill="auto"/>
            <w:vAlign w:val="center"/>
          </w:tcPr>
          <w:p w14:paraId="3693E9C9" w14:textId="77777777" w:rsidR="003734EC" w:rsidRDefault="003734EC">
            <w:pPr>
              <w:rPr>
                <w:rFonts w:ascii="宋体"/>
              </w:rPr>
            </w:pPr>
          </w:p>
        </w:tc>
        <w:tc>
          <w:tcPr>
            <w:tcW w:w="0" w:type="auto"/>
            <w:shd w:val="clear" w:color="auto" w:fill="auto"/>
            <w:vAlign w:val="center"/>
          </w:tcPr>
          <w:p w14:paraId="3693E9CA" w14:textId="77777777" w:rsidR="003734EC" w:rsidRDefault="003734EC">
            <w:pPr>
              <w:rPr>
                <w:rFonts w:ascii="宋体"/>
              </w:rPr>
            </w:pPr>
          </w:p>
        </w:tc>
        <w:tc>
          <w:tcPr>
            <w:tcW w:w="0" w:type="auto"/>
            <w:shd w:val="clear" w:color="auto" w:fill="auto"/>
            <w:vAlign w:val="center"/>
          </w:tcPr>
          <w:p w14:paraId="3693E9CB" w14:textId="77777777" w:rsidR="003734EC" w:rsidRDefault="003734EC">
            <w:pPr>
              <w:rPr>
                <w:rFonts w:ascii="宋体"/>
              </w:rPr>
            </w:pPr>
          </w:p>
        </w:tc>
        <w:tc>
          <w:tcPr>
            <w:tcW w:w="0" w:type="auto"/>
            <w:shd w:val="clear" w:color="auto" w:fill="auto"/>
            <w:vAlign w:val="center"/>
          </w:tcPr>
          <w:p w14:paraId="3693E9CC" w14:textId="77777777" w:rsidR="003734EC" w:rsidRDefault="003734EC">
            <w:pPr>
              <w:rPr>
                <w:rFonts w:ascii="宋体"/>
              </w:rPr>
            </w:pPr>
          </w:p>
        </w:tc>
        <w:tc>
          <w:tcPr>
            <w:tcW w:w="0" w:type="auto"/>
            <w:shd w:val="clear" w:color="auto" w:fill="auto"/>
            <w:vAlign w:val="center"/>
          </w:tcPr>
          <w:p w14:paraId="3693E9CD" w14:textId="77777777" w:rsidR="003734EC" w:rsidRDefault="003734EC">
            <w:pPr>
              <w:rPr>
                <w:rFonts w:ascii="宋体"/>
              </w:rPr>
            </w:pPr>
          </w:p>
        </w:tc>
        <w:tc>
          <w:tcPr>
            <w:tcW w:w="0" w:type="auto"/>
            <w:shd w:val="clear" w:color="auto" w:fill="auto"/>
            <w:vAlign w:val="center"/>
          </w:tcPr>
          <w:p w14:paraId="3693E9CE" w14:textId="77777777" w:rsidR="003734EC" w:rsidRDefault="003734EC">
            <w:pPr>
              <w:rPr>
                <w:rFonts w:ascii="宋体"/>
              </w:rPr>
            </w:pPr>
          </w:p>
        </w:tc>
        <w:tc>
          <w:tcPr>
            <w:tcW w:w="0" w:type="auto"/>
            <w:shd w:val="clear" w:color="auto" w:fill="auto"/>
            <w:vAlign w:val="center"/>
          </w:tcPr>
          <w:p w14:paraId="3693E9CF" w14:textId="77777777" w:rsidR="003734EC" w:rsidRDefault="003734EC">
            <w:pPr>
              <w:rPr>
                <w:rFonts w:ascii="宋体"/>
              </w:rPr>
            </w:pPr>
          </w:p>
        </w:tc>
        <w:tc>
          <w:tcPr>
            <w:tcW w:w="0" w:type="auto"/>
            <w:shd w:val="clear" w:color="auto" w:fill="auto"/>
            <w:vAlign w:val="center"/>
          </w:tcPr>
          <w:p w14:paraId="3693E9D0" w14:textId="77777777" w:rsidR="003734EC" w:rsidRDefault="003734EC">
            <w:pPr>
              <w:rPr>
                <w:rFonts w:ascii="宋体"/>
              </w:rPr>
            </w:pPr>
          </w:p>
        </w:tc>
        <w:tc>
          <w:tcPr>
            <w:tcW w:w="0" w:type="auto"/>
            <w:shd w:val="clear" w:color="auto" w:fill="auto"/>
            <w:vAlign w:val="center"/>
          </w:tcPr>
          <w:p w14:paraId="3693E9D1" w14:textId="77777777" w:rsidR="003734EC" w:rsidRDefault="003734EC">
            <w:pPr>
              <w:rPr>
                <w:rFonts w:ascii="宋体"/>
              </w:rPr>
            </w:pPr>
          </w:p>
        </w:tc>
        <w:tc>
          <w:tcPr>
            <w:tcW w:w="0" w:type="auto"/>
            <w:shd w:val="clear" w:color="auto" w:fill="auto"/>
            <w:vAlign w:val="center"/>
          </w:tcPr>
          <w:p w14:paraId="3693E9D2" w14:textId="77777777" w:rsidR="003734EC" w:rsidRDefault="003734EC">
            <w:pPr>
              <w:rPr>
                <w:rFonts w:ascii="宋体"/>
              </w:rPr>
            </w:pPr>
          </w:p>
        </w:tc>
        <w:tc>
          <w:tcPr>
            <w:tcW w:w="0" w:type="auto"/>
            <w:shd w:val="clear" w:color="auto" w:fill="auto"/>
            <w:vAlign w:val="center"/>
          </w:tcPr>
          <w:p w14:paraId="3693E9D3" w14:textId="77777777" w:rsidR="003734EC" w:rsidRDefault="003734EC">
            <w:pPr>
              <w:rPr>
                <w:rFonts w:ascii="宋体"/>
              </w:rPr>
            </w:pPr>
          </w:p>
        </w:tc>
        <w:tc>
          <w:tcPr>
            <w:tcW w:w="0" w:type="auto"/>
            <w:shd w:val="clear" w:color="auto" w:fill="auto"/>
            <w:vAlign w:val="center"/>
          </w:tcPr>
          <w:p w14:paraId="3693E9D4" w14:textId="77777777" w:rsidR="003734EC" w:rsidRDefault="003734EC">
            <w:pPr>
              <w:rPr>
                <w:rFonts w:ascii="宋体"/>
              </w:rPr>
            </w:pPr>
          </w:p>
        </w:tc>
      </w:tr>
      <w:tr w:rsidR="003734EC" w14:paraId="3693EA03" w14:textId="77777777">
        <w:tc>
          <w:tcPr>
            <w:tcW w:w="0" w:type="auto"/>
            <w:gridSpan w:val="3"/>
            <w:shd w:val="clear" w:color="auto" w:fill="FFFFFF"/>
            <w:tcMar>
              <w:top w:w="40" w:type="dxa"/>
              <w:left w:w="20" w:type="dxa"/>
              <w:bottom w:w="40" w:type="dxa"/>
              <w:right w:w="20" w:type="dxa"/>
            </w:tcMar>
            <w:vAlign w:val="bottom"/>
          </w:tcPr>
          <w:p w14:paraId="3693E9D6" w14:textId="77777777" w:rsidR="003734EC" w:rsidRDefault="000E364E">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3693E9D7" w14:textId="77777777" w:rsidR="003734EC" w:rsidRDefault="000E364E">
            <w:pPr>
              <w:jc w:val="right"/>
              <w:textAlignment w:val="bottom"/>
            </w:pPr>
            <w:r>
              <w:rPr>
                <w:rFonts w:ascii="sans-serif" w:eastAsia="sans-serif" w:hAnsi="sans-serif" w:cs="sans-serif"/>
                <w:color w:val="000000"/>
                <w:sz w:val="20"/>
                <w:szCs w:val="20"/>
              </w:rPr>
              <w:t>582 </w:t>
            </w:r>
          </w:p>
        </w:tc>
        <w:tc>
          <w:tcPr>
            <w:tcW w:w="0" w:type="auto"/>
            <w:shd w:val="clear" w:color="auto" w:fill="FFFFFF"/>
            <w:tcMar>
              <w:top w:w="40" w:type="dxa"/>
              <w:bottom w:w="40" w:type="dxa"/>
              <w:right w:w="20" w:type="dxa"/>
            </w:tcMar>
            <w:vAlign w:val="bottom"/>
          </w:tcPr>
          <w:p w14:paraId="3693E9D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D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D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9D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D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D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9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D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E0" w14:textId="77777777" w:rsidR="003734EC" w:rsidRDefault="000E364E">
            <w:pPr>
              <w:jc w:val="right"/>
              <w:textAlignment w:val="bottom"/>
            </w:pPr>
            <w:r>
              <w:rPr>
                <w:rFonts w:ascii="sans-serif" w:eastAsia="sans-serif" w:hAnsi="sans-serif" w:cs="sans-serif"/>
                <w:color w:val="000000"/>
                <w:sz w:val="20"/>
                <w:szCs w:val="20"/>
              </w:rPr>
              <w:t>582 </w:t>
            </w:r>
          </w:p>
        </w:tc>
        <w:tc>
          <w:tcPr>
            <w:tcW w:w="0" w:type="auto"/>
            <w:shd w:val="clear" w:color="auto" w:fill="FFFFFF"/>
            <w:tcMar>
              <w:top w:w="40" w:type="dxa"/>
              <w:bottom w:w="40" w:type="dxa"/>
              <w:right w:w="20" w:type="dxa"/>
            </w:tcMar>
            <w:vAlign w:val="bottom"/>
          </w:tcPr>
          <w:p w14:paraId="3693E9E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E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E3" w14:textId="77777777" w:rsidR="003734EC" w:rsidRDefault="000E364E">
            <w:pPr>
              <w:jc w:val="right"/>
              <w:textAlignment w:val="bottom"/>
            </w:pPr>
            <w:r>
              <w:rPr>
                <w:rFonts w:ascii="sans-serif" w:eastAsia="sans-serif" w:hAnsi="sans-serif" w:cs="sans-serif"/>
                <w:color w:val="000000"/>
                <w:sz w:val="20"/>
                <w:szCs w:val="20"/>
              </w:rPr>
              <w:t>222 </w:t>
            </w:r>
          </w:p>
        </w:tc>
        <w:tc>
          <w:tcPr>
            <w:tcW w:w="0" w:type="auto"/>
            <w:shd w:val="clear" w:color="auto" w:fill="FFFFFF"/>
            <w:tcMar>
              <w:top w:w="40" w:type="dxa"/>
              <w:bottom w:w="40" w:type="dxa"/>
              <w:right w:w="20" w:type="dxa"/>
            </w:tcMar>
            <w:vAlign w:val="bottom"/>
          </w:tcPr>
          <w:p w14:paraId="3693E9E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9E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9E6" w14:textId="77777777" w:rsidR="003734EC" w:rsidRDefault="000E364E">
            <w:pPr>
              <w:jc w:val="right"/>
              <w:textAlignment w:val="bottom"/>
            </w:pPr>
            <w:r>
              <w:rPr>
                <w:rFonts w:ascii="sans-serif" w:eastAsia="sans-serif" w:hAnsi="sans-serif" w:cs="sans-serif"/>
                <w:color w:val="000000"/>
                <w:sz w:val="20"/>
                <w:szCs w:val="20"/>
              </w:rPr>
              <w:t>360 </w:t>
            </w:r>
          </w:p>
        </w:tc>
        <w:tc>
          <w:tcPr>
            <w:tcW w:w="0" w:type="auto"/>
            <w:shd w:val="clear" w:color="auto" w:fill="FFFFFF"/>
            <w:tcMar>
              <w:top w:w="40" w:type="dxa"/>
              <w:bottom w:w="40" w:type="dxa"/>
              <w:right w:w="20" w:type="dxa"/>
            </w:tcMar>
            <w:vAlign w:val="bottom"/>
          </w:tcPr>
          <w:p w14:paraId="3693E9E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9E8" w14:textId="77777777" w:rsidR="003734EC" w:rsidRDefault="003734EC">
            <w:pPr>
              <w:rPr>
                <w:rFonts w:ascii="宋体"/>
              </w:rPr>
            </w:pPr>
          </w:p>
        </w:tc>
        <w:tc>
          <w:tcPr>
            <w:tcW w:w="0" w:type="auto"/>
            <w:shd w:val="clear" w:color="auto" w:fill="auto"/>
            <w:vAlign w:val="center"/>
          </w:tcPr>
          <w:p w14:paraId="3693E9E9" w14:textId="77777777" w:rsidR="003734EC" w:rsidRDefault="003734EC">
            <w:pPr>
              <w:rPr>
                <w:rFonts w:ascii="宋体"/>
              </w:rPr>
            </w:pPr>
          </w:p>
        </w:tc>
        <w:tc>
          <w:tcPr>
            <w:tcW w:w="0" w:type="auto"/>
            <w:shd w:val="clear" w:color="auto" w:fill="auto"/>
            <w:vAlign w:val="center"/>
          </w:tcPr>
          <w:p w14:paraId="3693E9EA" w14:textId="77777777" w:rsidR="003734EC" w:rsidRDefault="003734EC">
            <w:pPr>
              <w:rPr>
                <w:rFonts w:ascii="宋体"/>
              </w:rPr>
            </w:pPr>
          </w:p>
        </w:tc>
        <w:tc>
          <w:tcPr>
            <w:tcW w:w="0" w:type="auto"/>
            <w:shd w:val="clear" w:color="auto" w:fill="auto"/>
            <w:vAlign w:val="center"/>
          </w:tcPr>
          <w:p w14:paraId="3693E9EB" w14:textId="77777777" w:rsidR="003734EC" w:rsidRDefault="003734EC">
            <w:pPr>
              <w:rPr>
                <w:rFonts w:ascii="宋体"/>
              </w:rPr>
            </w:pPr>
          </w:p>
        </w:tc>
        <w:tc>
          <w:tcPr>
            <w:tcW w:w="0" w:type="auto"/>
            <w:shd w:val="clear" w:color="auto" w:fill="auto"/>
            <w:vAlign w:val="center"/>
          </w:tcPr>
          <w:p w14:paraId="3693E9EC" w14:textId="77777777" w:rsidR="003734EC" w:rsidRDefault="003734EC">
            <w:pPr>
              <w:rPr>
                <w:rFonts w:ascii="宋体"/>
              </w:rPr>
            </w:pPr>
          </w:p>
        </w:tc>
        <w:tc>
          <w:tcPr>
            <w:tcW w:w="0" w:type="auto"/>
            <w:shd w:val="clear" w:color="auto" w:fill="auto"/>
            <w:vAlign w:val="center"/>
          </w:tcPr>
          <w:p w14:paraId="3693E9ED" w14:textId="77777777" w:rsidR="003734EC" w:rsidRDefault="003734EC">
            <w:pPr>
              <w:rPr>
                <w:rFonts w:ascii="宋体"/>
              </w:rPr>
            </w:pPr>
          </w:p>
        </w:tc>
        <w:tc>
          <w:tcPr>
            <w:tcW w:w="0" w:type="auto"/>
            <w:shd w:val="clear" w:color="auto" w:fill="auto"/>
            <w:vAlign w:val="center"/>
          </w:tcPr>
          <w:p w14:paraId="3693E9EE" w14:textId="77777777" w:rsidR="003734EC" w:rsidRDefault="003734EC">
            <w:pPr>
              <w:rPr>
                <w:rFonts w:ascii="宋体"/>
              </w:rPr>
            </w:pPr>
          </w:p>
        </w:tc>
        <w:tc>
          <w:tcPr>
            <w:tcW w:w="0" w:type="auto"/>
            <w:shd w:val="clear" w:color="auto" w:fill="auto"/>
            <w:vAlign w:val="center"/>
          </w:tcPr>
          <w:p w14:paraId="3693E9EF" w14:textId="77777777" w:rsidR="003734EC" w:rsidRDefault="003734EC">
            <w:pPr>
              <w:rPr>
                <w:rFonts w:ascii="宋体"/>
              </w:rPr>
            </w:pPr>
          </w:p>
        </w:tc>
        <w:tc>
          <w:tcPr>
            <w:tcW w:w="0" w:type="auto"/>
            <w:shd w:val="clear" w:color="auto" w:fill="auto"/>
            <w:vAlign w:val="center"/>
          </w:tcPr>
          <w:p w14:paraId="3693E9F0" w14:textId="77777777" w:rsidR="003734EC" w:rsidRDefault="003734EC">
            <w:pPr>
              <w:rPr>
                <w:rFonts w:ascii="宋体"/>
              </w:rPr>
            </w:pPr>
          </w:p>
        </w:tc>
        <w:tc>
          <w:tcPr>
            <w:tcW w:w="0" w:type="auto"/>
            <w:shd w:val="clear" w:color="auto" w:fill="auto"/>
            <w:vAlign w:val="center"/>
          </w:tcPr>
          <w:p w14:paraId="3693E9F1" w14:textId="77777777" w:rsidR="003734EC" w:rsidRDefault="003734EC">
            <w:pPr>
              <w:rPr>
                <w:rFonts w:ascii="宋体"/>
              </w:rPr>
            </w:pPr>
          </w:p>
        </w:tc>
        <w:tc>
          <w:tcPr>
            <w:tcW w:w="0" w:type="auto"/>
            <w:shd w:val="clear" w:color="auto" w:fill="auto"/>
            <w:vAlign w:val="center"/>
          </w:tcPr>
          <w:p w14:paraId="3693E9F2" w14:textId="77777777" w:rsidR="003734EC" w:rsidRDefault="003734EC">
            <w:pPr>
              <w:rPr>
                <w:rFonts w:ascii="宋体"/>
              </w:rPr>
            </w:pPr>
          </w:p>
        </w:tc>
        <w:tc>
          <w:tcPr>
            <w:tcW w:w="0" w:type="auto"/>
            <w:shd w:val="clear" w:color="auto" w:fill="auto"/>
            <w:vAlign w:val="center"/>
          </w:tcPr>
          <w:p w14:paraId="3693E9F3" w14:textId="77777777" w:rsidR="003734EC" w:rsidRDefault="003734EC">
            <w:pPr>
              <w:rPr>
                <w:rFonts w:ascii="宋体"/>
              </w:rPr>
            </w:pPr>
          </w:p>
        </w:tc>
        <w:tc>
          <w:tcPr>
            <w:tcW w:w="0" w:type="auto"/>
            <w:shd w:val="clear" w:color="auto" w:fill="auto"/>
            <w:vAlign w:val="center"/>
          </w:tcPr>
          <w:p w14:paraId="3693E9F4" w14:textId="77777777" w:rsidR="003734EC" w:rsidRDefault="003734EC">
            <w:pPr>
              <w:rPr>
                <w:rFonts w:ascii="宋体"/>
              </w:rPr>
            </w:pPr>
          </w:p>
        </w:tc>
        <w:tc>
          <w:tcPr>
            <w:tcW w:w="0" w:type="auto"/>
            <w:shd w:val="clear" w:color="auto" w:fill="auto"/>
            <w:vAlign w:val="center"/>
          </w:tcPr>
          <w:p w14:paraId="3693E9F5" w14:textId="77777777" w:rsidR="003734EC" w:rsidRDefault="003734EC">
            <w:pPr>
              <w:rPr>
                <w:rFonts w:ascii="宋体"/>
              </w:rPr>
            </w:pPr>
          </w:p>
        </w:tc>
        <w:tc>
          <w:tcPr>
            <w:tcW w:w="0" w:type="auto"/>
            <w:shd w:val="clear" w:color="auto" w:fill="auto"/>
            <w:vAlign w:val="center"/>
          </w:tcPr>
          <w:p w14:paraId="3693E9F6" w14:textId="77777777" w:rsidR="003734EC" w:rsidRDefault="003734EC">
            <w:pPr>
              <w:rPr>
                <w:rFonts w:ascii="宋体"/>
              </w:rPr>
            </w:pPr>
          </w:p>
        </w:tc>
        <w:tc>
          <w:tcPr>
            <w:tcW w:w="0" w:type="auto"/>
            <w:shd w:val="clear" w:color="auto" w:fill="auto"/>
            <w:vAlign w:val="center"/>
          </w:tcPr>
          <w:p w14:paraId="3693E9F7" w14:textId="77777777" w:rsidR="003734EC" w:rsidRDefault="003734EC">
            <w:pPr>
              <w:rPr>
                <w:rFonts w:ascii="宋体"/>
              </w:rPr>
            </w:pPr>
          </w:p>
        </w:tc>
        <w:tc>
          <w:tcPr>
            <w:tcW w:w="0" w:type="auto"/>
            <w:shd w:val="clear" w:color="auto" w:fill="auto"/>
            <w:vAlign w:val="center"/>
          </w:tcPr>
          <w:p w14:paraId="3693E9F8" w14:textId="77777777" w:rsidR="003734EC" w:rsidRDefault="003734EC">
            <w:pPr>
              <w:rPr>
                <w:rFonts w:ascii="宋体"/>
              </w:rPr>
            </w:pPr>
          </w:p>
        </w:tc>
        <w:tc>
          <w:tcPr>
            <w:tcW w:w="0" w:type="auto"/>
            <w:shd w:val="clear" w:color="auto" w:fill="auto"/>
            <w:vAlign w:val="center"/>
          </w:tcPr>
          <w:p w14:paraId="3693E9F9" w14:textId="77777777" w:rsidR="003734EC" w:rsidRDefault="003734EC">
            <w:pPr>
              <w:rPr>
                <w:rFonts w:ascii="宋体"/>
              </w:rPr>
            </w:pPr>
          </w:p>
        </w:tc>
        <w:tc>
          <w:tcPr>
            <w:tcW w:w="0" w:type="auto"/>
            <w:shd w:val="clear" w:color="auto" w:fill="auto"/>
            <w:vAlign w:val="center"/>
          </w:tcPr>
          <w:p w14:paraId="3693E9FA" w14:textId="77777777" w:rsidR="003734EC" w:rsidRDefault="003734EC">
            <w:pPr>
              <w:rPr>
                <w:rFonts w:ascii="宋体"/>
              </w:rPr>
            </w:pPr>
          </w:p>
        </w:tc>
        <w:tc>
          <w:tcPr>
            <w:tcW w:w="0" w:type="auto"/>
            <w:shd w:val="clear" w:color="auto" w:fill="auto"/>
            <w:vAlign w:val="center"/>
          </w:tcPr>
          <w:p w14:paraId="3693E9FB" w14:textId="77777777" w:rsidR="003734EC" w:rsidRDefault="003734EC">
            <w:pPr>
              <w:rPr>
                <w:rFonts w:ascii="宋体"/>
              </w:rPr>
            </w:pPr>
          </w:p>
        </w:tc>
        <w:tc>
          <w:tcPr>
            <w:tcW w:w="0" w:type="auto"/>
            <w:shd w:val="clear" w:color="auto" w:fill="auto"/>
            <w:vAlign w:val="center"/>
          </w:tcPr>
          <w:p w14:paraId="3693E9FC" w14:textId="77777777" w:rsidR="003734EC" w:rsidRDefault="003734EC">
            <w:pPr>
              <w:rPr>
                <w:rFonts w:ascii="宋体"/>
              </w:rPr>
            </w:pPr>
          </w:p>
        </w:tc>
        <w:tc>
          <w:tcPr>
            <w:tcW w:w="0" w:type="auto"/>
            <w:shd w:val="clear" w:color="auto" w:fill="auto"/>
            <w:vAlign w:val="center"/>
          </w:tcPr>
          <w:p w14:paraId="3693E9FD" w14:textId="77777777" w:rsidR="003734EC" w:rsidRDefault="003734EC">
            <w:pPr>
              <w:rPr>
                <w:rFonts w:ascii="宋体"/>
              </w:rPr>
            </w:pPr>
          </w:p>
        </w:tc>
        <w:tc>
          <w:tcPr>
            <w:tcW w:w="0" w:type="auto"/>
            <w:shd w:val="clear" w:color="auto" w:fill="auto"/>
            <w:vAlign w:val="center"/>
          </w:tcPr>
          <w:p w14:paraId="3693E9FE" w14:textId="77777777" w:rsidR="003734EC" w:rsidRDefault="003734EC">
            <w:pPr>
              <w:rPr>
                <w:rFonts w:ascii="宋体"/>
              </w:rPr>
            </w:pPr>
          </w:p>
        </w:tc>
        <w:tc>
          <w:tcPr>
            <w:tcW w:w="0" w:type="auto"/>
            <w:shd w:val="clear" w:color="auto" w:fill="auto"/>
            <w:vAlign w:val="center"/>
          </w:tcPr>
          <w:p w14:paraId="3693E9FF" w14:textId="77777777" w:rsidR="003734EC" w:rsidRDefault="003734EC">
            <w:pPr>
              <w:rPr>
                <w:rFonts w:ascii="宋体"/>
              </w:rPr>
            </w:pPr>
          </w:p>
        </w:tc>
        <w:tc>
          <w:tcPr>
            <w:tcW w:w="0" w:type="auto"/>
            <w:shd w:val="clear" w:color="auto" w:fill="auto"/>
            <w:vAlign w:val="center"/>
          </w:tcPr>
          <w:p w14:paraId="3693EA00" w14:textId="77777777" w:rsidR="003734EC" w:rsidRDefault="003734EC">
            <w:pPr>
              <w:rPr>
                <w:rFonts w:ascii="宋体"/>
              </w:rPr>
            </w:pPr>
          </w:p>
        </w:tc>
        <w:tc>
          <w:tcPr>
            <w:tcW w:w="0" w:type="auto"/>
            <w:shd w:val="clear" w:color="auto" w:fill="auto"/>
            <w:vAlign w:val="center"/>
          </w:tcPr>
          <w:p w14:paraId="3693EA01" w14:textId="77777777" w:rsidR="003734EC" w:rsidRDefault="003734EC">
            <w:pPr>
              <w:rPr>
                <w:rFonts w:ascii="宋体"/>
              </w:rPr>
            </w:pPr>
          </w:p>
        </w:tc>
        <w:tc>
          <w:tcPr>
            <w:tcW w:w="0" w:type="auto"/>
            <w:shd w:val="clear" w:color="auto" w:fill="auto"/>
            <w:vAlign w:val="center"/>
          </w:tcPr>
          <w:p w14:paraId="3693EA02" w14:textId="77777777" w:rsidR="003734EC" w:rsidRDefault="003734EC">
            <w:pPr>
              <w:rPr>
                <w:rFonts w:ascii="宋体"/>
              </w:rPr>
            </w:pPr>
          </w:p>
        </w:tc>
      </w:tr>
      <w:tr w:rsidR="003734EC" w14:paraId="3693EA31" w14:textId="77777777">
        <w:tc>
          <w:tcPr>
            <w:tcW w:w="0" w:type="auto"/>
            <w:gridSpan w:val="3"/>
            <w:shd w:val="clear" w:color="auto" w:fill="E2EFD9"/>
            <w:tcMar>
              <w:top w:w="40" w:type="dxa"/>
              <w:left w:w="20" w:type="dxa"/>
              <w:bottom w:w="40" w:type="dxa"/>
              <w:right w:w="20" w:type="dxa"/>
            </w:tcMar>
            <w:vAlign w:val="bottom"/>
          </w:tcPr>
          <w:p w14:paraId="3693EA04" w14:textId="77777777" w:rsidR="003734EC" w:rsidRDefault="000E364E">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3693EA05" w14:textId="77777777" w:rsidR="003734EC" w:rsidRDefault="000E364E">
            <w:pPr>
              <w:jc w:val="right"/>
              <w:textAlignment w:val="bottom"/>
            </w:pPr>
            <w:r>
              <w:rPr>
                <w:rFonts w:ascii="sans-serif" w:eastAsia="sans-serif" w:hAnsi="sans-serif" w:cs="sans-serif"/>
                <w:color w:val="000000"/>
                <w:sz w:val="20"/>
                <w:szCs w:val="20"/>
              </w:rPr>
              <w:t>381 </w:t>
            </w:r>
          </w:p>
        </w:tc>
        <w:tc>
          <w:tcPr>
            <w:tcW w:w="0" w:type="auto"/>
            <w:shd w:val="clear" w:color="auto" w:fill="E2EFD9"/>
            <w:tcMar>
              <w:top w:w="40" w:type="dxa"/>
              <w:bottom w:w="40" w:type="dxa"/>
              <w:right w:w="20" w:type="dxa"/>
            </w:tcMar>
            <w:vAlign w:val="bottom"/>
          </w:tcPr>
          <w:p w14:paraId="3693EA0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A07"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A0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A0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A0A"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A0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A0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A0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A0E" w14:textId="77777777" w:rsidR="003734EC" w:rsidRDefault="000E364E">
            <w:pPr>
              <w:jc w:val="right"/>
              <w:textAlignment w:val="bottom"/>
            </w:pPr>
            <w:r>
              <w:rPr>
                <w:rFonts w:ascii="sans-serif" w:eastAsia="sans-serif" w:hAnsi="sans-serif" w:cs="sans-serif"/>
                <w:color w:val="000000"/>
                <w:sz w:val="20"/>
                <w:szCs w:val="20"/>
              </w:rPr>
              <w:t>381 </w:t>
            </w:r>
          </w:p>
        </w:tc>
        <w:tc>
          <w:tcPr>
            <w:tcW w:w="0" w:type="auto"/>
            <w:shd w:val="clear" w:color="auto" w:fill="E2EFD9"/>
            <w:tcMar>
              <w:top w:w="40" w:type="dxa"/>
              <w:bottom w:w="40" w:type="dxa"/>
              <w:right w:w="20" w:type="dxa"/>
            </w:tcMar>
            <w:vAlign w:val="bottom"/>
          </w:tcPr>
          <w:p w14:paraId="3693EA0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A10"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A11" w14:textId="77777777" w:rsidR="003734EC" w:rsidRDefault="000E364E">
            <w:pPr>
              <w:jc w:val="right"/>
              <w:textAlignment w:val="bottom"/>
            </w:pPr>
            <w:r>
              <w:rPr>
                <w:rFonts w:ascii="sans-serif" w:eastAsia="sans-serif" w:hAnsi="sans-serif" w:cs="sans-serif"/>
                <w:color w:val="000000"/>
                <w:sz w:val="20"/>
                <w:szCs w:val="20"/>
              </w:rPr>
              <w:t>168 </w:t>
            </w:r>
          </w:p>
        </w:tc>
        <w:tc>
          <w:tcPr>
            <w:tcW w:w="0" w:type="auto"/>
            <w:shd w:val="clear" w:color="auto" w:fill="E2EFD9"/>
            <w:tcMar>
              <w:top w:w="40" w:type="dxa"/>
              <w:bottom w:w="40" w:type="dxa"/>
              <w:right w:w="20" w:type="dxa"/>
            </w:tcMar>
            <w:vAlign w:val="bottom"/>
          </w:tcPr>
          <w:p w14:paraId="3693EA1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A13"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A14" w14:textId="77777777" w:rsidR="003734EC" w:rsidRDefault="000E364E">
            <w:pPr>
              <w:jc w:val="right"/>
              <w:textAlignment w:val="bottom"/>
            </w:pPr>
            <w:r>
              <w:rPr>
                <w:rFonts w:ascii="sans-serif" w:eastAsia="sans-serif" w:hAnsi="sans-serif" w:cs="sans-serif"/>
                <w:color w:val="000000"/>
                <w:sz w:val="20"/>
                <w:szCs w:val="20"/>
              </w:rPr>
              <w:t>213 </w:t>
            </w:r>
          </w:p>
        </w:tc>
        <w:tc>
          <w:tcPr>
            <w:tcW w:w="0" w:type="auto"/>
            <w:shd w:val="clear" w:color="auto" w:fill="E2EFD9"/>
            <w:tcMar>
              <w:top w:w="40" w:type="dxa"/>
              <w:bottom w:w="40" w:type="dxa"/>
              <w:right w:w="20" w:type="dxa"/>
            </w:tcMar>
            <w:vAlign w:val="bottom"/>
          </w:tcPr>
          <w:p w14:paraId="3693EA1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A16" w14:textId="77777777" w:rsidR="003734EC" w:rsidRDefault="003734EC">
            <w:pPr>
              <w:rPr>
                <w:rFonts w:ascii="宋体"/>
              </w:rPr>
            </w:pPr>
          </w:p>
        </w:tc>
        <w:tc>
          <w:tcPr>
            <w:tcW w:w="0" w:type="auto"/>
            <w:shd w:val="clear" w:color="auto" w:fill="auto"/>
            <w:vAlign w:val="center"/>
          </w:tcPr>
          <w:p w14:paraId="3693EA17" w14:textId="77777777" w:rsidR="003734EC" w:rsidRDefault="003734EC">
            <w:pPr>
              <w:rPr>
                <w:rFonts w:ascii="宋体"/>
              </w:rPr>
            </w:pPr>
          </w:p>
        </w:tc>
        <w:tc>
          <w:tcPr>
            <w:tcW w:w="0" w:type="auto"/>
            <w:shd w:val="clear" w:color="auto" w:fill="auto"/>
            <w:vAlign w:val="center"/>
          </w:tcPr>
          <w:p w14:paraId="3693EA18" w14:textId="77777777" w:rsidR="003734EC" w:rsidRDefault="003734EC">
            <w:pPr>
              <w:rPr>
                <w:rFonts w:ascii="宋体"/>
              </w:rPr>
            </w:pPr>
          </w:p>
        </w:tc>
        <w:tc>
          <w:tcPr>
            <w:tcW w:w="0" w:type="auto"/>
            <w:shd w:val="clear" w:color="auto" w:fill="auto"/>
            <w:vAlign w:val="center"/>
          </w:tcPr>
          <w:p w14:paraId="3693EA19" w14:textId="77777777" w:rsidR="003734EC" w:rsidRDefault="003734EC">
            <w:pPr>
              <w:rPr>
                <w:rFonts w:ascii="宋体"/>
              </w:rPr>
            </w:pPr>
          </w:p>
        </w:tc>
        <w:tc>
          <w:tcPr>
            <w:tcW w:w="0" w:type="auto"/>
            <w:shd w:val="clear" w:color="auto" w:fill="auto"/>
            <w:vAlign w:val="center"/>
          </w:tcPr>
          <w:p w14:paraId="3693EA1A" w14:textId="77777777" w:rsidR="003734EC" w:rsidRDefault="003734EC">
            <w:pPr>
              <w:rPr>
                <w:rFonts w:ascii="宋体"/>
              </w:rPr>
            </w:pPr>
          </w:p>
        </w:tc>
        <w:tc>
          <w:tcPr>
            <w:tcW w:w="0" w:type="auto"/>
            <w:shd w:val="clear" w:color="auto" w:fill="auto"/>
            <w:vAlign w:val="center"/>
          </w:tcPr>
          <w:p w14:paraId="3693EA1B" w14:textId="77777777" w:rsidR="003734EC" w:rsidRDefault="003734EC">
            <w:pPr>
              <w:rPr>
                <w:rFonts w:ascii="宋体"/>
              </w:rPr>
            </w:pPr>
          </w:p>
        </w:tc>
        <w:tc>
          <w:tcPr>
            <w:tcW w:w="0" w:type="auto"/>
            <w:shd w:val="clear" w:color="auto" w:fill="auto"/>
            <w:vAlign w:val="center"/>
          </w:tcPr>
          <w:p w14:paraId="3693EA1C" w14:textId="77777777" w:rsidR="003734EC" w:rsidRDefault="003734EC">
            <w:pPr>
              <w:rPr>
                <w:rFonts w:ascii="宋体"/>
              </w:rPr>
            </w:pPr>
          </w:p>
        </w:tc>
        <w:tc>
          <w:tcPr>
            <w:tcW w:w="0" w:type="auto"/>
            <w:shd w:val="clear" w:color="auto" w:fill="auto"/>
            <w:vAlign w:val="center"/>
          </w:tcPr>
          <w:p w14:paraId="3693EA1D" w14:textId="77777777" w:rsidR="003734EC" w:rsidRDefault="003734EC">
            <w:pPr>
              <w:rPr>
                <w:rFonts w:ascii="宋体"/>
              </w:rPr>
            </w:pPr>
          </w:p>
        </w:tc>
        <w:tc>
          <w:tcPr>
            <w:tcW w:w="0" w:type="auto"/>
            <w:shd w:val="clear" w:color="auto" w:fill="auto"/>
            <w:vAlign w:val="center"/>
          </w:tcPr>
          <w:p w14:paraId="3693EA1E" w14:textId="77777777" w:rsidR="003734EC" w:rsidRDefault="003734EC">
            <w:pPr>
              <w:rPr>
                <w:rFonts w:ascii="宋体"/>
              </w:rPr>
            </w:pPr>
          </w:p>
        </w:tc>
        <w:tc>
          <w:tcPr>
            <w:tcW w:w="0" w:type="auto"/>
            <w:shd w:val="clear" w:color="auto" w:fill="auto"/>
            <w:vAlign w:val="center"/>
          </w:tcPr>
          <w:p w14:paraId="3693EA1F" w14:textId="77777777" w:rsidR="003734EC" w:rsidRDefault="003734EC">
            <w:pPr>
              <w:rPr>
                <w:rFonts w:ascii="宋体"/>
              </w:rPr>
            </w:pPr>
          </w:p>
        </w:tc>
        <w:tc>
          <w:tcPr>
            <w:tcW w:w="0" w:type="auto"/>
            <w:shd w:val="clear" w:color="auto" w:fill="auto"/>
            <w:vAlign w:val="center"/>
          </w:tcPr>
          <w:p w14:paraId="3693EA20" w14:textId="77777777" w:rsidR="003734EC" w:rsidRDefault="003734EC">
            <w:pPr>
              <w:rPr>
                <w:rFonts w:ascii="宋体"/>
              </w:rPr>
            </w:pPr>
          </w:p>
        </w:tc>
        <w:tc>
          <w:tcPr>
            <w:tcW w:w="0" w:type="auto"/>
            <w:shd w:val="clear" w:color="auto" w:fill="auto"/>
            <w:vAlign w:val="center"/>
          </w:tcPr>
          <w:p w14:paraId="3693EA21" w14:textId="77777777" w:rsidR="003734EC" w:rsidRDefault="003734EC">
            <w:pPr>
              <w:rPr>
                <w:rFonts w:ascii="宋体"/>
              </w:rPr>
            </w:pPr>
          </w:p>
        </w:tc>
        <w:tc>
          <w:tcPr>
            <w:tcW w:w="0" w:type="auto"/>
            <w:shd w:val="clear" w:color="auto" w:fill="auto"/>
            <w:vAlign w:val="center"/>
          </w:tcPr>
          <w:p w14:paraId="3693EA22" w14:textId="77777777" w:rsidR="003734EC" w:rsidRDefault="003734EC">
            <w:pPr>
              <w:rPr>
                <w:rFonts w:ascii="宋体"/>
              </w:rPr>
            </w:pPr>
          </w:p>
        </w:tc>
        <w:tc>
          <w:tcPr>
            <w:tcW w:w="0" w:type="auto"/>
            <w:shd w:val="clear" w:color="auto" w:fill="auto"/>
            <w:vAlign w:val="center"/>
          </w:tcPr>
          <w:p w14:paraId="3693EA23" w14:textId="77777777" w:rsidR="003734EC" w:rsidRDefault="003734EC">
            <w:pPr>
              <w:rPr>
                <w:rFonts w:ascii="宋体"/>
              </w:rPr>
            </w:pPr>
          </w:p>
        </w:tc>
        <w:tc>
          <w:tcPr>
            <w:tcW w:w="0" w:type="auto"/>
            <w:shd w:val="clear" w:color="auto" w:fill="auto"/>
            <w:vAlign w:val="center"/>
          </w:tcPr>
          <w:p w14:paraId="3693EA24" w14:textId="77777777" w:rsidR="003734EC" w:rsidRDefault="003734EC">
            <w:pPr>
              <w:rPr>
                <w:rFonts w:ascii="宋体"/>
              </w:rPr>
            </w:pPr>
          </w:p>
        </w:tc>
        <w:tc>
          <w:tcPr>
            <w:tcW w:w="0" w:type="auto"/>
            <w:shd w:val="clear" w:color="auto" w:fill="auto"/>
            <w:vAlign w:val="center"/>
          </w:tcPr>
          <w:p w14:paraId="3693EA25" w14:textId="77777777" w:rsidR="003734EC" w:rsidRDefault="003734EC">
            <w:pPr>
              <w:rPr>
                <w:rFonts w:ascii="宋体"/>
              </w:rPr>
            </w:pPr>
          </w:p>
        </w:tc>
        <w:tc>
          <w:tcPr>
            <w:tcW w:w="0" w:type="auto"/>
            <w:shd w:val="clear" w:color="auto" w:fill="auto"/>
            <w:vAlign w:val="center"/>
          </w:tcPr>
          <w:p w14:paraId="3693EA26" w14:textId="77777777" w:rsidR="003734EC" w:rsidRDefault="003734EC">
            <w:pPr>
              <w:rPr>
                <w:rFonts w:ascii="宋体"/>
              </w:rPr>
            </w:pPr>
          </w:p>
        </w:tc>
        <w:tc>
          <w:tcPr>
            <w:tcW w:w="0" w:type="auto"/>
            <w:shd w:val="clear" w:color="auto" w:fill="auto"/>
            <w:vAlign w:val="center"/>
          </w:tcPr>
          <w:p w14:paraId="3693EA27" w14:textId="77777777" w:rsidR="003734EC" w:rsidRDefault="003734EC">
            <w:pPr>
              <w:rPr>
                <w:rFonts w:ascii="宋体"/>
              </w:rPr>
            </w:pPr>
          </w:p>
        </w:tc>
        <w:tc>
          <w:tcPr>
            <w:tcW w:w="0" w:type="auto"/>
            <w:shd w:val="clear" w:color="auto" w:fill="auto"/>
            <w:vAlign w:val="center"/>
          </w:tcPr>
          <w:p w14:paraId="3693EA28" w14:textId="77777777" w:rsidR="003734EC" w:rsidRDefault="003734EC">
            <w:pPr>
              <w:rPr>
                <w:rFonts w:ascii="宋体"/>
              </w:rPr>
            </w:pPr>
          </w:p>
        </w:tc>
        <w:tc>
          <w:tcPr>
            <w:tcW w:w="0" w:type="auto"/>
            <w:shd w:val="clear" w:color="auto" w:fill="auto"/>
            <w:vAlign w:val="center"/>
          </w:tcPr>
          <w:p w14:paraId="3693EA29" w14:textId="77777777" w:rsidR="003734EC" w:rsidRDefault="003734EC">
            <w:pPr>
              <w:rPr>
                <w:rFonts w:ascii="宋体"/>
              </w:rPr>
            </w:pPr>
          </w:p>
        </w:tc>
        <w:tc>
          <w:tcPr>
            <w:tcW w:w="0" w:type="auto"/>
            <w:shd w:val="clear" w:color="auto" w:fill="auto"/>
            <w:vAlign w:val="center"/>
          </w:tcPr>
          <w:p w14:paraId="3693EA2A" w14:textId="77777777" w:rsidR="003734EC" w:rsidRDefault="003734EC">
            <w:pPr>
              <w:rPr>
                <w:rFonts w:ascii="宋体"/>
              </w:rPr>
            </w:pPr>
          </w:p>
        </w:tc>
        <w:tc>
          <w:tcPr>
            <w:tcW w:w="0" w:type="auto"/>
            <w:shd w:val="clear" w:color="auto" w:fill="auto"/>
            <w:vAlign w:val="center"/>
          </w:tcPr>
          <w:p w14:paraId="3693EA2B" w14:textId="77777777" w:rsidR="003734EC" w:rsidRDefault="003734EC">
            <w:pPr>
              <w:rPr>
                <w:rFonts w:ascii="宋体"/>
              </w:rPr>
            </w:pPr>
          </w:p>
        </w:tc>
        <w:tc>
          <w:tcPr>
            <w:tcW w:w="0" w:type="auto"/>
            <w:shd w:val="clear" w:color="auto" w:fill="auto"/>
            <w:vAlign w:val="center"/>
          </w:tcPr>
          <w:p w14:paraId="3693EA2C" w14:textId="77777777" w:rsidR="003734EC" w:rsidRDefault="003734EC">
            <w:pPr>
              <w:rPr>
                <w:rFonts w:ascii="宋体"/>
              </w:rPr>
            </w:pPr>
          </w:p>
        </w:tc>
        <w:tc>
          <w:tcPr>
            <w:tcW w:w="0" w:type="auto"/>
            <w:shd w:val="clear" w:color="auto" w:fill="auto"/>
            <w:vAlign w:val="center"/>
          </w:tcPr>
          <w:p w14:paraId="3693EA2D" w14:textId="77777777" w:rsidR="003734EC" w:rsidRDefault="003734EC">
            <w:pPr>
              <w:rPr>
                <w:rFonts w:ascii="宋体"/>
              </w:rPr>
            </w:pPr>
          </w:p>
        </w:tc>
        <w:tc>
          <w:tcPr>
            <w:tcW w:w="0" w:type="auto"/>
            <w:shd w:val="clear" w:color="auto" w:fill="auto"/>
            <w:vAlign w:val="center"/>
          </w:tcPr>
          <w:p w14:paraId="3693EA2E" w14:textId="77777777" w:rsidR="003734EC" w:rsidRDefault="003734EC">
            <w:pPr>
              <w:rPr>
                <w:rFonts w:ascii="宋体"/>
              </w:rPr>
            </w:pPr>
          </w:p>
        </w:tc>
        <w:tc>
          <w:tcPr>
            <w:tcW w:w="0" w:type="auto"/>
            <w:shd w:val="clear" w:color="auto" w:fill="auto"/>
            <w:vAlign w:val="center"/>
          </w:tcPr>
          <w:p w14:paraId="3693EA2F" w14:textId="77777777" w:rsidR="003734EC" w:rsidRDefault="003734EC">
            <w:pPr>
              <w:rPr>
                <w:rFonts w:ascii="宋体"/>
              </w:rPr>
            </w:pPr>
          </w:p>
        </w:tc>
        <w:tc>
          <w:tcPr>
            <w:tcW w:w="0" w:type="auto"/>
            <w:shd w:val="clear" w:color="auto" w:fill="auto"/>
            <w:vAlign w:val="center"/>
          </w:tcPr>
          <w:p w14:paraId="3693EA30" w14:textId="77777777" w:rsidR="003734EC" w:rsidRDefault="003734EC">
            <w:pPr>
              <w:rPr>
                <w:rFonts w:ascii="宋体"/>
              </w:rPr>
            </w:pPr>
          </w:p>
        </w:tc>
      </w:tr>
      <w:tr w:rsidR="003734EC" w14:paraId="3693EA59" w14:textId="77777777">
        <w:trPr>
          <w:hidden/>
        </w:trPr>
        <w:tc>
          <w:tcPr>
            <w:tcW w:w="0" w:type="auto"/>
            <w:gridSpan w:val="3"/>
            <w:shd w:val="clear" w:color="auto" w:fill="auto"/>
            <w:vAlign w:val="center"/>
          </w:tcPr>
          <w:p w14:paraId="3693EA32" w14:textId="77777777" w:rsidR="003734EC" w:rsidRDefault="003734EC">
            <w:pPr>
              <w:rPr>
                <w:rFonts w:ascii="宋体"/>
                <w:vanish/>
              </w:rPr>
            </w:pPr>
          </w:p>
        </w:tc>
        <w:tc>
          <w:tcPr>
            <w:tcW w:w="0" w:type="auto"/>
            <w:gridSpan w:val="3"/>
            <w:shd w:val="clear" w:color="auto" w:fill="auto"/>
            <w:vAlign w:val="center"/>
          </w:tcPr>
          <w:p w14:paraId="3693EA33" w14:textId="77777777" w:rsidR="003734EC" w:rsidRDefault="003734EC">
            <w:pPr>
              <w:rPr>
                <w:rFonts w:ascii="宋体"/>
                <w:vanish/>
              </w:rPr>
            </w:pPr>
          </w:p>
        </w:tc>
        <w:tc>
          <w:tcPr>
            <w:tcW w:w="0" w:type="auto"/>
            <w:gridSpan w:val="3"/>
            <w:shd w:val="clear" w:color="auto" w:fill="auto"/>
            <w:vAlign w:val="center"/>
          </w:tcPr>
          <w:p w14:paraId="3693EA34" w14:textId="77777777" w:rsidR="003734EC" w:rsidRDefault="003734EC">
            <w:pPr>
              <w:rPr>
                <w:rFonts w:ascii="宋体"/>
                <w:vanish/>
              </w:rPr>
            </w:pPr>
          </w:p>
        </w:tc>
        <w:tc>
          <w:tcPr>
            <w:tcW w:w="0" w:type="auto"/>
            <w:gridSpan w:val="3"/>
            <w:shd w:val="clear" w:color="auto" w:fill="auto"/>
            <w:vAlign w:val="center"/>
          </w:tcPr>
          <w:p w14:paraId="3693EA35" w14:textId="77777777" w:rsidR="003734EC" w:rsidRDefault="003734EC">
            <w:pPr>
              <w:rPr>
                <w:rFonts w:ascii="宋体"/>
                <w:vanish/>
              </w:rPr>
            </w:pPr>
          </w:p>
        </w:tc>
        <w:tc>
          <w:tcPr>
            <w:tcW w:w="0" w:type="auto"/>
            <w:gridSpan w:val="3"/>
            <w:shd w:val="clear" w:color="auto" w:fill="auto"/>
            <w:vAlign w:val="center"/>
          </w:tcPr>
          <w:p w14:paraId="3693EA36" w14:textId="77777777" w:rsidR="003734EC" w:rsidRDefault="003734EC">
            <w:pPr>
              <w:rPr>
                <w:rFonts w:ascii="宋体"/>
                <w:vanish/>
              </w:rPr>
            </w:pPr>
          </w:p>
        </w:tc>
        <w:tc>
          <w:tcPr>
            <w:tcW w:w="0" w:type="auto"/>
            <w:gridSpan w:val="3"/>
            <w:shd w:val="clear" w:color="auto" w:fill="auto"/>
            <w:vAlign w:val="center"/>
          </w:tcPr>
          <w:p w14:paraId="3693EA37" w14:textId="77777777" w:rsidR="003734EC" w:rsidRDefault="003734EC">
            <w:pPr>
              <w:rPr>
                <w:rFonts w:ascii="宋体"/>
                <w:vanish/>
              </w:rPr>
            </w:pPr>
          </w:p>
        </w:tc>
        <w:tc>
          <w:tcPr>
            <w:tcW w:w="0" w:type="auto"/>
            <w:gridSpan w:val="3"/>
            <w:shd w:val="clear" w:color="auto" w:fill="auto"/>
            <w:vAlign w:val="center"/>
          </w:tcPr>
          <w:p w14:paraId="3693EA38" w14:textId="77777777" w:rsidR="003734EC" w:rsidRDefault="003734EC">
            <w:pPr>
              <w:rPr>
                <w:rFonts w:ascii="宋体"/>
                <w:vanish/>
              </w:rPr>
            </w:pPr>
          </w:p>
        </w:tc>
        <w:tc>
          <w:tcPr>
            <w:tcW w:w="0" w:type="auto"/>
            <w:gridSpan w:val="3"/>
            <w:shd w:val="clear" w:color="auto" w:fill="auto"/>
            <w:vAlign w:val="center"/>
          </w:tcPr>
          <w:p w14:paraId="3693EA39" w14:textId="77777777" w:rsidR="003734EC" w:rsidRDefault="003734EC">
            <w:pPr>
              <w:rPr>
                <w:rFonts w:ascii="宋体"/>
                <w:vanish/>
              </w:rPr>
            </w:pPr>
          </w:p>
        </w:tc>
        <w:tc>
          <w:tcPr>
            <w:tcW w:w="0" w:type="auto"/>
            <w:gridSpan w:val="3"/>
            <w:shd w:val="clear" w:color="auto" w:fill="auto"/>
            <w:vAlign w:val="center"/>
          </w:tcPr>
          <w:p w14:paraId="3693EA3A" w14:textId="77777777" w:rsidR="003734EC" w:rsidRDefault="003734EC">
            <w:pPr>
              <w:rPr>
                <w:rFonts w:ascii="宋体"/>
                <w:vanish/>
              </w:rPr>
            </w:pPr>
          </w:p>
        </w:tc>
        <w:tc>
          <w:tcPr>
            <w:tcW w:w="0" w:type="auto"/>
            <w:gridSpan w:val="3"/>
            <w:shd w:val="clear" w:color="auto" w:fill="auto"/>
            <w:vAlign w:val="center"/>
          </w:tcPr>
          <w:p w14:paraId="3693EA3B" w14:textId="77777777" w:rsidR="003734EC" w:rsidRDefault="003734EC">
            <w:pPr>
              <w:rPr>
                <w:rFonts w:ascii="宋体"/>
                <w:vanish/>
              </w:rPr>
            </w:pPr>
          </w:p>
        </w:tc>
        <w:tc>
          <w:tcPr>
            <w:tcW w:w="0" w:type="auto"/>
            <w:gridSpan w:val="3"/>
            <w:shd w:val="clear" w:color="auto" w:fill="auto"/>
            <w:vAlign w:val="center"/>
          </w:tcPr>
          <w:p w14:paraId="3693EA3C" w14:textId="77777777" w:rsidR="003734EC" w:rsidRDefault="003734EC">
            <w:pPr>
              <w:rPr>
                <w:rFonts w:ascii="宋体"/>
                <w:vanish/>
              </w:rPr>
            </w:pPr>
          </w:p>
        </w:tc>
        <w:tc>
          <w:tcPr>
            <w:tcW w:w="0" w:type="auto"/>
            <w:gridSpan w:val="3"/>
            <w:shd w:val="clear" w:color="auto" w:fill="auto"/>
            <w:vAlign w:val="center"/>
          </w:tcPr>
          <w:p w14:paraId="3693EA3D" w14:textId="77777777" w:rsidR="003734EC" w:rsidRDefault="003734EC">
            <w:pPr>
              <w:rPr>
                <w:rFonts w:ascii="宋体"/>
                <w:vanish/>
              </w:rPr>
            </w:pPr>
          </w:p>
        </w:tc>
        <w:tc>
          <w:tcPr>
            <w:tcW w:w="0" w:type="auto"/>
            <w:shd w:val="clear" w:color="auto" w:fill="auto"/>
            <w:vAlign w:val="center"/>
          </w:tcPr>
          <w:p w14:paraId="3693EA3E" w14:textId="77777777" w:rsidR="003734EC" w:rsidRDefault="003734EC">
            <w:pPr>
              <w:rPr>
                <w:rFonts w:ascii="宋体"/>
              </w:rPr>
            </w:pPr>
          </w:p>
        </w:tc>
        <w:tc>
          <w:tcPr>
            <w:tcW w:w="0" w:type="auto"/>
            <w:shd w:val="clear" w:color="auto" w:fill="auto"/>
            <w:vAlign w:val="center"/>
          </w:tcPr>
          <w:p w14:paraId="3693EA3F" w14:textId="77777777" w:rsidR="003734EC" w:rsidRDefault="003734EC">
            <w:pPr>
              <w:rPr>
                <w:rFonts w:ascii="宋体"/>
              </w:rPr>
            </w:pPr>
          </w:p>
        </w:tc>
        <w:tc>
          <w:tcPr>
            <w:tcW w:w="0" w:type="auto"/>
            <w:shd w:val="clear" w:color="auto" w:fill="auto"/>
            <w:vAlign w:val="center"/>
          </w:tcPr>
          <w:p w14:paraId="3693EA40" w14:textId="77777777" w:rsidR="003734EC" w:rsidRDefault="003734EC">
            <w:pPr>
              <w:rPr>
                <w:rFonts w:ascii="宋体"/>
              </w:rPr>
            </w:pPr>
          </w:p>
        </w:tc>
        <w:tc>
          <w:tcPr>
            <w:tcW w:w="0" w:type="auto"/>
            <w:shd w:val="clear" w:color="auto" w:fill="auto"/>
            <w:vAlign w:val="center"/>
          </w:tcPr>
          <w:p w14:paraId="3693EA41" w14:textId="77777777" w:rsidR="003734EC" w:rsidRDefault="003734EC">
            <w:pPr>
              <w:rPr>
                <w:rFonts w:ascii="宋体"/>
              </w:rPr>
            </w:pPr>
          </w:p>
        </w:tc>
        <w:tc>
          <w:tcPr>
            <w:tcW w:w="0" w:type="auto"/>
            <w:shd w:val="clear" w:color="auto" w:fill="auto"/>
            <w:vAlign w:val="center"/>
          </w:tcPr>
          <w:p w14:paraId="3693EA42" w14:textId="77777777" w:rsidR="003734EC" w:rsidRDefault="003734EC">
            <w:pPr>
              <w:rPr>
                <w:rFonts w:ascii="宋体"/>
              </w:rPr>
            </w:pPr>
          </w:p>
        </w:tc>
        <w:tc>
          <w:tcPr>
            <w:tcW w:w="0" w:type="auto"/>
            <w:shd w:val="clear" w:color="auto" w:fill="auto"/>
            <w:vAlign w:val="center"/>
          </w:tcPr>
          <w:p w14:paraId="3693EA43" w14:textId="77777777" w:rsidR="003734EC" w:rsidRDefault="003734EC">
            <w:pPr>
              <w:rPr>
                <w:rFonts w:ascii="宋体"/>
              </w:rPr>
            </w:pPr>
          </w:p>
        </w:tc>
        <w:tc>
          <w:tcPr>
            <w:tcW w:w="0" w:type="auto"/>
            <w:shd w:val="clear" w:color="auto" w:fill="auto"/>
            <w:vAlign w:val="center"/>
          </w:tcPr>
          <w:p w14:paraId="3693EA44" w14:textId="77777777" w:rsidR="003734EC" w:rsidRDefault="003734EC">
            <w:pPr>
              <w:rPr>
                <w:rFonts w:ascii="宋体"/>
              </w:rPr>
            </w:pPr>
          </w:p>
        </w:tc>
        <w:tc>
          <w:tcPr>
            <w:tcW w:w="0" w:type="auto"/>
            <w:shd w:val="clear" w:color="auto" w:fill="auto"/>
            <w:vAlign w:val="center"/>
          </w:tcPr>
          <w:p w14:paraId="3693EA45" w14:textId="77777777" w:rsidR="003734EC" w:rsidRDefault="003734EC">
            <w:pPr>
              <w:rPr>
                <w:rFonts w:ascii="宋体"/>
              </w:rPr>
            </w:pPr>
          </w:p>
        </w:tc>
        <w:tc>
          <w:tcPr>
            <w:tcW w:w="0" w:type="auto"/>
            <w:shd w:val="clear" w:color="auto" w:fill="auto"/>
            <w:vAlign w:val="center"/>
          </w:tcPr>
          <w:p w14:paraId="3693EA46" w14:textId="77777777" w:rsidR="003734EC" w:rsidRDefault="003734EC">
            <w:pPr>
              <w:rPr>
                <w:rFonts w:ascii="宋体"/>
              </w:rPr>
            </w:pPr>
          </w:p>
        </w:tc>
        <w:tc>
          <w:tcPr>
            <w:tcW w:w="0" w:type="auto"/>
            <w:shd w:val="clear" w:color="auto" w:fill="auto"/>
            <w:vAlign w:val="center"/>
          </w:tcPr>
          <w:p w14:paraId="3693EA47" w14:textId="77777777" w:rsidR="003734EC" w:rsidRDefault="003734EC">
            <w:pPr>
              <w:rPr>
                <w:rFonts w:ascii="宋体"/>
              </w:rPr>
            </w:pPr>
          </w:p>
        </w:tc>
        <w:tc>
          <w:tcPr>
            <w:tcW w:w="0" w:type="auto"/>
            <w:shd w:val="clear" w:color="auto" w:fill="auto"/>
            <w:vAlign w:val="center"/>
          </w:tcPr>
          <w:p w14:paraId="3693EA48" w14:textId="77777777" w:rsidR="003734EC" w:rsidRDefault="003734EC">
            <w:pPr>
              <w:rPr>
                <w:rFonts w:ascii="宋体"/>
              </w:rPr>
            </w:pPr>
          </w:p>
        </w:tc>
        <w:tc>
          <w:tcPr>
            <w:tcW w:w="0" w:type="auto"/>
            <w:shd w:val="clear" w:color="auto" w:fill="auto"/>
            <w:vAlign w:val="center"/>
          </w:tcPr>
          <w:p w14:paraId="3693EA49" w14:textId="77777777" w:rsidR="003734EC" w:rsidRDefault="003734EC">
            <w:pPr>
              <w:rPr>
                <w:rFonts w:ascii="宋体"/>
              </w:rPr>
            </w:pPr>
          </w:p>
        </w:tc>
        <w:tc>
          <w:tcPr>
            <w:tcW w:w="0" w:type="auto"/>
            <w:shd w:val="clear" w:color="auto" w:fill="auto"/>
            <w:vAlign w:val="center"/>
          </w:tcPr>
          <w:p w14:paraId="3693EA4A" w14:textId="77777777" w:rsidR="003734EC" w:rsidRDefault="003734EC">
            <w:pPr>
              <w:rPr>
                <w:rFonts w:ascii="宋体"/>
              </w:rPr>
            </w:pPr>
          </w:p>
        </w:tc>
        <w:tc>
          <w:tcPr>
            <w:tcW w:w="0" w:type="auto"/>
            <w:shd w:val="clear" w:color="auto" w:fill="auto"/>
            <w:vAlign w:val="center"/>
          </w:tcPr>
          <w:p w14:paraId="3693EA4B" w14:textId="77777777" w:rsidR="003734EC" w:rsidRDefault="003734EC">
            <w:pPr>
              <w:rPr>
                <w:rFonts w:ascii="宋体"/>
              </w:rPr>
            </w:pPr>
          </w:p>
        </w:tc>
        <w:tc>
          <w:tcPr>
            <w:tcW w:w="0" w:type="auto"/>
            <w:shd w:val="clear" w:color="auto" w:fill="auto"/>
            <w:vAlign w:val="center"/>
          </w:tcPr>
          <w:p w14:paraId="3693EA4C" w14:textId="77777777" w:rsidR="003734EC" w:rsidRDefault="003734EC">
            <w:pPr>
              <w:rPr>
                <w:rFonts w:ascii="宋体"/>
              </w:rPr>
            </w:pPr>
          </w:p>
        </w:tc>
        <w:tc>
          <w:tcPr>
            <w:tcW w:w="0" w:type="auto"/>
            <w:shd w:val="clear" w:color="auto" w:fill="auto"/>
            <w:vAlign w:val="center"/>
          </w:tcPr>
          <w:p w14:paraId="3693EA4D" w14:textId="77777777" w:rsidR="003734EC" w:rsidRDefault="003734EC">
            <w:pPr>
              <w:rPr>
                <w:rFonts w:ascii="宋体"/>
              </w:rPr>
            </w:pPr>
          </w:p>
        </w:tc>
        <w:tc>
          <w:tcPr>
            <w:tcW w:w="0" w:type="auto"/>
            <w:shd w:val="clear" w:color="auto" w:fill="auto"/>
            <w:vAlign w:val="center"/>
          </w:tcPr>
          <w:p w14:paraId="3693EA4E" w14:textId="77777777" w:rsidR="003734EC" w:rsidRDefault="003734EC">
            <w:pPr>
              <w:rPr>
                <w:rFonts w:ascii="宋体"/>
              </w:rPr>
            </w:pPr>
          </w:p>
        </w:tc>
        <w:tc>
          <w:tcPr>
            <w:tcW w:w="0" w:type="auto"/>
            <w:shd w:val="clear" w:color="auto" w:fill="auto"/>
            <w:vAlign w:val="center"/>
          </w:tcPr>
          <w:p w14:paraId="3693EA4F" w14:textId="77777777" w:rsidR="003734EC" w:rsidRDefault="003734EC">
            <w:pPr>
              <w:rPr>
                <w:rFonts w:ascii="宋体"/>
              </w:rPr>
            </w:pPr>
          </w:p>
        </w:tc>
        <w:tc>
          <w:tcPr>
            <w:tcW w:w="0" w:type="auto"/>
            <w:shd w:val="clear" w:color="auto" w:fill="auto"/>
            <w:vAlign w:val="center"/>
          </w:tcPr>
          <w:p w14:paraId="3693EA50" w14:textId="77777777" w:rsidR="003734EC" w:rsidRDefault="003734EC">
            <w:pPr>
              <w:rPr>
                <w:rFonts w:ascii="宋体"/>
              </w:rPr>
            </w:pPr>
          </w:p>
        </w:tc>
        <w:tc>
          <w:tcPr>
            <w:tcW w:w="0" w:type="auto"/>
            <w:shd w:val="clear" w:color="auto" w:fill="auto"/>
            <w:vAlign w:val="center"/>
          </w:tcPr>
          <w:p w14:paraId="3693EA51" w14:textId="77777777" w:rsidR="003734EC" w:rsidRDefault="003734EC">
            <w:pPr>
              <w:rPr>
                <w:rFonts w:ascii="宋体"/>
              </w:rPr>
            </w:pPr>
          </w:p>
        </w:tc>
        <w:tc>
          <w:tcPr>
            <w:tcW w:w="0" w:type="auto"/>
            <w:shd w:val="clear" w:color="auto" w:fill="auto"/>
            <w:vAlign w:val="center"/>
          </w:tcPr>
          <w:p w14:paraId="3693EA52" w14:textId="77777777" w:rsidR="003734EC" w:rsidRDefault="003734EC">
            <w:pPr>
              <w:rPr>
                <w:rFonts w:ascii="宋体"/>
              </w:rPr>
            </w:pPr>
          </w:p>
        </w:tc>
        <w:tc>
          <w:tcPr>
            <w:tcW w:w="0" w:type="auto"/>
            <w:shd w:val="clear" w:color="auto" w:fill="auto"/>
            <w:vAlign w:val="center"/>
          </w:tcPr>
          <w:p w14:paraId="3693EA53" w14:textId="77777777" w:rsidR="003734EC" w:rsidRDefault="003734EC">
            <w:pPr>
              <w:rPr>
                <w:rFonts w:ascii="宋体"/>
              </w:rPr>
            </w:pPr>
          </w:p>
        </w:tc>
        <w:tc>
          <w:tcPr>
            <w:tcW w:w="0" w:type="auto"/>
            <w:shd w:val="clear" w:color="auto" w:fill="auto"/>
            <w:vAlign w:val="center"/>
          </w:tcPr>
          <w:p w14:paraId="3693EA54" w14:textId="77777777" w:rsidR="003734EC" w:rsidRDefault="003734EC">
            <w:pPr>
              <w:rPr>
                <w:rFonts w:ascii="宋体"/>
              </w:rPr>
            </w:pPr>
          </w:p>
        </w:tc>
        <w:tc>
          <w:tcPr>
            <w:tcW w:w="0" w:type="auto"/>
            <w:shd w:val="clear" w:color="auto" w:fill="auto"/>
            <w:vAlign w:val="center"/>
          </w:tcPr>
          <w:p w14:paraId="3693EA55" w14:textId="77777777" w:rsidR="003734EC" w:rsidRDefault="003734EC">
            <w:pPr>
              <w:rPr>
                <w:rFonts w:ascii="宋体"/>
              </w:rPr>
            </w:pPr>
          </w:p>
        </w:tc>
        <w:tc>
          <w:tcPr>
            <w:tcW w:w="0" w:type="auto"/>
            <w:shd w:val="clear" w:color="auto" w:fill="auto"/>
            <w:vAlign w:val="center"/>
          </w:tcPr>
          <w:p w14:paraId="3693EA56" w14:textId="77777777" w:rsidR="003734EC" w:rsidRDefault="003734EC">
            <w:pPr>
              <w:rPr>
                <w:rFonts w:ascii="宋体"/>
              </w:rPr>
            </w:pPr>
          </w:p>
        </w:tc>
        <w:tc>
          <w:tcPr>
            <w:tcW w:w="0" w:type="auto"/>
            <w:shd w:val="clear" w:color="auto" w:fill="auto"/>
            <w:vAlign w:val="center"/>
          </w:tcPr>
          <w:p w14:paraId="3693EA57" w14:textId="77777777" w:rsidR="003734EC" w:rsidRDefault="003734EC">
            <w:pPr>
              <w:rPr>
                <w:rFonts w:ascii="宋体"/>
              </w:rPr>
            </w:pPr>
          </w:p>
        </w:tc>
        <w:tc>
          <w:tcPr>
            <w:tcW w:w="0" w:type="auto"/>
            <w:shd w:val="clear" w:color="auto" w:fill="auto"/>
            <w:vAlign w:val="center"/>
          </w:tcPr>
          <w:p w14:paraId="3693EA58" w14:textId="77777777" w:rsidR="003734EC" w:rsidRDefault="003734EC">
            <w:pPr>
              <w:rPr>
                <w:rFonts w:ascii="宋体"/>
              </w:rPr>
            </w:pPr>
          </w:p>
        </w:tc>
      </w:tr>
      <w:tr w:rsidR="003734EC" w14:paraId="3693EA81" w14:textId="77777777">
        <w:trPr>
          <w:hidden/>
        </w:trPr>
        <w:tc>
          <w:tcPr>
            <w:tcW w:w="0" w:type="auto"/>
            <w:gridSpan w:val="3"/>
            <w:shd w:val="clear" w:color="auto" w:fill="auto"/>
            <w:vAlign w:val="center"/>
          </w:tcPr>
          <w:p w14:paraId="3693EA5A" w14:textId="77777777" w:rsidR="003734EC" w:rsidRDefault="003734EC">
            <w:pPr>
              <w:rPr>
                <w:rFonts w:ascii="宋体"/>
                <w:vanish/>
              </w:rPr>
            </w:pPr>
          </w:p>
        </w:tc>
        <w:tc>
          <w:tcPr>
            <w:tcW w:w="0" w:type="auto"/>
            <w:gridSpan w:val="3"/>
            <w:shd w:val="clear" w:color="auto" w:fill="auto"/>
            <w:vAlign w:val="center"/>
          </w:tcPr>
          <w:p w14:paraId="3693EA5B" w14:textId="77777777" w:rsidR="003734EC" w:rsidRDefault="003734EC">
            <w:pPr>
              <w:rPr>
                <w:rFonts w:ascii="宋体"/>
                <w:vanish/>
              </w:rPr>
            </w:pPr>
          </w:p>
        </w:tc>
        <w:tc>
          <w:tcPr>
            <w:tcW w:w="0" w:type="auto"/>
            <w:gridSpan w:val="3"/>
            <w:shd w:val="clear" w:color="auto" w:fill="auto"/>
            <w:vAlign w:val="center"/>
          </w:tcPr>
          <w:p w14:paraId="3693EA5C" w14:textId="77777777" w:rsidR="003734EC" w:rsidRDefault="003734EC">
            <w:pPr>
              <w:rPr>
                <w:rFonts w:ascii="宋体"/>
                <w:vanish/>
              </w:rPr>
            </w:pPr>
          </w:p>
        </w:tc>
        <w:tc>
          <w:tcPr>
            <w:tcW w:w="0" w:type="auto"/>
            <w:gridSpan w:val="3"/>
            <w:shd w:val="clear" w:color="auto" w:fill="auto"/>
            <w:vAlign w:val="center"/>
          </w:tcPr>
          <w:p w14:paraId="3693EA5D" w14:textId="77777777" w:rsidR="003734EC" w:rsidRDefault="003734EC">
            <w:pPr>
              <w:rPr>
                <w:rFonts w:ascii="宋体"/>
                <w:vanish/>
              </w:rPr>
            </w:pPr>
          </w:p>
        </w:tc>
        <w:tc>
          <w:tcPr>
            <w:tcW w:w="0" w:type="auto"/>
            <w:gridSpan w:val="3"/>
            <w:shd w:val="clear" w:color="auto" w:fill="auto"/>
            <w:vAlign w:val="center"/>
          </w:tcPr>
          <w:p w14:paraId="3693EA5E" w14:textId="77777777" w:rsidR="003734EC" w:rsidRDefault="003734EC">
            <w:pPr>
              <w:rPr>
                <w:rFonts w:ascii="宋体"/>
                <w:vanish/>
              </w:rPr>
            </w:pPr>
          </w:p>
        </w:tc>
        <w:tc>
          <w:tcPr>
            <w:tcW w:w="0" w:type="auto"/>
            <w:gridSpan w:val="3"/>
            <w:shd w:val="clear" w:color="auto" w:fill="auto"/>
            <w:vAlign w:val="center"/>
          </w:tcPr>
          <w:p w14:paraId="3693EA5F" w14:textId="77777777" w:rsidR="003734EC" w:rsidRDefault="003734EC">
            <w:pPr>
              <w:rPr>
                <w:rFonts w:ascii="宋体"/>
                <w:vanish/>
              </w:rPr>
            </w:pPr>
          </w:p>
        </w:tc>
        <w:tc>
          <w:tcPr>
            <w:tcW w:w="0" w:type="auto"/>
            <w:gridSpan w:val="3"/>
            <w:shd w:val="clear" w:color="auto" w:fill="auto"/>
            <w:vAlign w:val="center"/>
          </w:tcPr>
          <w:p w14:paraId="3693EA60" w14:textId="77777777" w:rsidR="003734EC" w:rsidRDefault="003734EC">
            <w:pPr>
              <w:rPr>
                <w:rFonts w:ascii="宋体"/>
                <w:vanish/>
              </w:rPr>
            </w:pPr>
          </w:p>
        </w:tc>
        <w:tc>
          <w:tcPr>
            <w:tcW w:w="0" w:type="auto"/>
            <w:gridSpan w:val="3"/>
            <w:shd w:val="clear" w:color="auto" w:fill="auto"/>
            <w:vAlign w:val="center"/>
          </w:tcPr>
          <w:p w14:paraId="3693EA61" w14:textId="77777777" w:rsidR="003734EC" w:rsidRDefault="003734EC">
            <w:pPr>
              <w:rPr>
                <w:rFonts w:ascii="宋体"/>
                <w:vanish/>
              </w:rPr>
            </w:pPr>
          </w:p>
        </w:tc>
        <w:tc>
          <w:tcPr>
            <w:tcW w:w="0" w:type="auto"/>
            <w:gridSpan w:val="3"/>
            <w:shd w:val="clear" w:color="auto" w:fill="auto"/>
            <w:vAlign w:val="center"/>
          </w:tcPr>
          <w:p w14:paraId="3693EA62" w14:textId="77777777" w:rsidR="003734EC" w:rsidRDefault="003734EC">
            <w:pPr>
              <w:rPr>
                <w:rFonts w:ascii="宋体"/>
                <w:vanish/>
              </w:rPr>
            </w:pPr>
          </w:p>
        </w:tc>
        <w:tc>
          <w:tcPr>
            <w:tcW w:w="0" w:type="auto"/>
            <w:gridSpan w:val="3"/>
            <w:shd w:val="clear" w:color="auto" w:fill="auto"/>
            <w:vAlign w:val="center"/>
          </w:tcPr>
          <w:p w14:paraId="3693EA63" w14:textId="77777777" w:rsidR="003734EC" w:rsidRDefault="003734EC">
            <w:pPr>
              <w:rPr>
                <w:rFonts w:ascii="宋体"/>
                <w:vanish/>
              </w:rPr>
            </w:pPr>
          </w:p>
        </w:tc>
        <w:tc>
          <w:tcPr>
            <w:tcW w:w="0" w:type="auto"/>
            <w:gridSpan w:val="3"/>
            <w:shd w:val="clear" w:color="auto" w:fill="auto"/>
            <w:vAlign w:val="center"/>
          </w:tcPr>
          <w:p w14:paraId="3693EA64" w14:textId="77777777" w:rsidR="003734EC" w:rsidRDefault="003734EC">
            <w:pPr>
              <w:rPr>
                <w:rFonts w:ascii="宋体"/>
                <w:vanish/>
              </w:rPr>
            </w:pPr>
          </w:p>
        </w:tc>
        <w:tc>
          <w:tcPr>
            <w:tcW w:w="0" w:type="auto"/>
            <w:gridSpan w:val="3"/>
            <w:shd w:val="clear" w:color="auto" w:fill="auto"/>
            <w:vAlign w:val="center"/>
          </w:tcPr>
          <w:p w14:paraId="3693EA65" w14:textId="77777777" w:rsidR="003734EC" w:rsidRDefault="003734EC">
            <w:pPr>
              <w:rPr>
                <w:rFonts w:ascii="宋体"/>
                <w:vanish/>
              </w:rPr>
            </w:pPr>
          </w:p>
        </w:tc>
        <w:tc>
          <w:tcPr>
            <w:tcW w:w="0" w:type="auto"/>
            <w:shd w:val="clear" w:color="auto" w:fill="auto"/>
            <w:vAlign w:val="center"/>
          </w:tcPr>
          <w:p w14:paraId="3693EA66" w14:textId="77777777" w:rsidR="003734EC" w:rsidRDefault="003734EC">
            <w:pPr>
              <w:rPr>
                <w:rFonts w:ascii="宋体"/>
              </w:rPr>
            </w:pPr>
          </w:p>
        </w:tc>
        <w:tc>
          <w:tcPr>
            <w:tcW w:w="0" w:type="auto"/>
            <w:shd w:val="clear" w:color="auto" w:fill="auto"/>
            <w:vAlign w:val="center"/>
          </w:tcPr>
          <w:p w14:paraId="3693EA67" w14:textId="77777777" w:rsidR="003734EC" w:rsidRDefault="003734EC">
            <w:pPr>
              <w:rPr>
                <w:rFonts w:ascii="宋体"/>
              </w:rPr>
            </w:pPr>
          </w:p>
        </w:tc>
        <w:tc>
          <w:tcPr>
            <w:tcW w:w="0" w:type="auto"/>
            <w:shd w:val="clear" w:color="auto" w:fill="auto"/>
            <w:vAlign w:val="center"/>
          </w:tcPr>
          <w:p w14:paraId="3693EA68" w14:textId="77777777" w:rsidR="003734EC" w:rsidRDefault="003734EC">
            <w:pPr>
              <w:rPr>
                <w:rFonts w:ascii="宋体"/>
              </w:rPr>
            </w:pPr>
          </w:p>
        </w:tc>
        <w:tc>
          <w:tcPr>
            <w:tcW w:w="0" w:type="auto"/>
            <w:shd w:val="clear" w:color="auto" w:fill="auto"/>
            <w:vAlign w:val="center"/>
          </w:tcPr>
          <w:p w14:paraId="3693EA69" w14:textId="77777777" w:rsidR="003734EC" w:rsidRDefault="003734EC">
            <w:pPr>
              <w:rPr>
                <w:rFonts w:ascii="宋体"/>
              </w:rPr>
            </w:pPr>
          </w:p>
        </w:tc>
        <w:tc>
          <w:tcPr>
            <w:tcW w:w="0" w:type="auto"/>
            <w:shd w:val="clear" w:color="auto" w:fill="auto"/>
            <w:vAlign w:val="center"/>
          </w:tcPr>
          <w:p w14:paraId="3693EA6A" w14:textId="77777777" w:rsidR="003734EC" w:rsidRDefault="003734EC">
            <w:pPr>
              <w:rPr>
                <w:rFonts w:ascii="宋体"/>
              </w:rPr>
            </w:pPr>
          </w:p>
        </w:tc>
        <w:tc>
          <w:tcPr>
            <w:tcW w:w="0" w:type="auto"/>
            <w:shd w:val="clear" w:color="auto" w:fill="auto"/>
            <w:vAlign w:val="center"/>
          </w:tcPr>
          <w:p w14:paraId="3693EA6B" w14:textId="77777777" w:rsidR="003734EC" w:rsidRDefault="003734EC">
            <w:pPr>
              <w:rPr>
                <w:rFonts w:ascii="宋体"/>
              </w:rPr>
            </w:pPr>
          </w:p>
        </w:tc>
        <w:tc>
          <w:tcPr>
            <w:tcW w:w="0" w:type="auto"/>
            <w:shd w:val="clear" w:color="auto" w:fill="auto"/>
            <w:vAlign w:val="center"/>
          </w:tcPr>
          <w:p w14:paraId="3693EA6C" w14:textId="77777777" w:rsidR="003734EC" w:rsidRDefault="003734EC">
            <w:pPr>
              <w:rPr>
                <w:rFonts w:ascii="宋体"/>
              </w:rPr>
            </w:pPr>
          </w:p>
        </w:tc>
        <w:tc>
          <w:tcPr>
            <w:tcW w:w="0" w:type="auto"/>
            <w:shd w:val="clear" w:color="auto" w:fill="auto"/>
            <w:vAlign w:val="center"/>
          </w:tcPr>
          <w:p w14:paraId="3693EA6D" w14:textId="77777777" w:rsidR="003734EC" w:rsidRDefault="003734EC">
            <w:pPr>
              <w:rPr>
                <w:rFonts w:ascii="宋体"/>
              </w:rPr>
            </w:pPr>
          </w:p>
        </w:tc>
        <w:tc>
          <w:tcPr>
            <w:tcW w:w="0" w:type="auto"/>
            <w:shd w:val="clear" w:color="auto" w:fill="auto"/>
            <w:vAlign w:val="center"/>
          </w:tcPr>
          <w:p w14:paraId="3693EA6E" w14:textId="77777777" w:rsidR="003734EC" w:rsidRDefault="003734EC">
            <w:pPr>
              <w:rPr>
                <w:rFonts w:ascii="宋体"/>
              </w:rPr>
            </w:pPr>
          </w:p>
        </w:tc>
        <w:tc>
          <w:tcPr>
            <w:tcW w:w="0" w:type="auto"/>
            <w:shd w:val="clear" w:color="auto" w:fill="auto"/>
            <w:vAlign w:val="center"/>
          </w:tcPr>
          <w:p w14:paraId="3693EA6F" w14:textId="77777777" w:rsidR="003734EC" w:rsidRDefault="003734EC">
            <w:pPr>
              <w:rPr>
                <w:rFonts w:ascii="宋体"/>
              </w:rPr>
            </w:pPr>
          </w:p>
        </w:tc>
        <w:tc>
          <w:tcPr>
            <w:tcW w:w="0" w:type="auto"/>
            <w:shd w:val="clear" w:color="auto" w:fill="auto"/>
            <w:vAlign w:val="center"/>
          </w:tcPr>
          <w:p w14:paraId="3693EA70" w14:textId="77777777" w:rsidR="003734EC" w:rsidRDefault="003734EC">
            <w:pPr>
              <w:rPr>
                <w:rFonts w:ascii="宋体"/>
              </w:rPr>
            </w:pPr>
          </w:p>
        </w:tc>
        <w:tc>
          <w:tcPr>
            <w:tcW w:w="0" w:type="auto"/>
            <w:shd w:val="clear" w:color="auto" w:fill="auto"/>
            <w:vAlign w:val="center"/>
          </w:tcPr>
          <w:p w14:paraId="3693EA71" w14:textId="77777777" w:rsidR="003734EC" w:rsidRDefault="003734EC">
            <w:pPr>
              <w:rPr>
                <w:rFonts w:ascii="宋体"/>
              </w:rPr>
            </w:pPr>
          </w:p>
        </w:tc>
        <w:tc>
          <w:tcPr>
            <w:tcW w:w="0" w:type="auto"/>
            <w:shd w:val="clear" w:color="auto" w:fill="auto"/>
            <w:vAlign w:val="center"/>
          </w:tcPr>
          <w:p w14:paraId="3693EA72" w14:textId="77777777" w:rsidR="003734EC" w:rsidRDefault="003734EC">
            <w:pPr>
              <w:rPr>
                <w:rFonts w:ascii="宋体"/>
              </w:rPr>
            </w:pPr>
          </w:p>
        </w:tc>
        <w:tc>
          <w:tcPr>
            <w:tcW w:w="0" w:type="auto"/>
            <w:shd w:val="clear" w:color="auto" w:fill="auto"/>
            <w:vAlign w:val="center"/>
          </w:tcPr>
          <w:p w14:paraId="3693EA73" w14:textId="77777777" w:rsidR="003734EC" w:rsidRDefault="003734EC">
            <w:pPr>
              <w:rPr>
                <w:rFonts w:ascii="宋体"/>
              </w:rPr>
            </w:pPr>
          </w:p>
        </w:tc>
        <w:tc>
          <w:tcPr>
            <w:tcW w:w="0" w:type="auto"/>
            <w:shd w:val="clear" w:color="auto" w:fill="auto"/>
            <w:vAlign w:val="center"/>
          </w:tcPr>
          <w:p w14:paraId="3693EA74" w14:textId="77777777" w:rsidR="003734EC" w:rsidRDefault="003734EC">
            <w:pPr>
              <w:rPr>
                <w:rFonts w:ascii="宋体"/>
              </w:rPr>
            </w:pPr>
          </w:p>
        </w:tc>
        <w:tc>
          <w:tcPr>
            <w:tcW w:w="0" w:type="auto"/>
            <w:shd w:val="clear" w:color="auto" w:fill="auto"/>
            <w:vAlign w:val="center"/>
          </w:tcPr>
          <w:p w14:paraId="3693EA75" w14:textId="77777777" w:rsidR="003734EC" w:rsidRDefault="003734EC">
            <w:pPr>
              <w:rPr>
                <w:rFonts w:ascii="宋体"/>
              </w:rPr>
            </w:pPr>
          </w:p>
        </w:tc>
        <w:tc>
          <w:tcPr>
            <w:tcW w:w="0" w:type="auto"/>
            <w:shd w:val="clear" w:color="auto" w:fill="auto"/>
            <w:vAlign w:val="center"/>
          </w:tcPr>
          <w:p w14:paraId="3693EA76" w14:textId="77777777" w:rsidR="003734EC" w:rsidRDefault="003734EC">
            <w:pPr>
              <w:rPr>
                <w:rFonts w:ascii="宋体"/>
              </w:rPr>
            </w:pPr>
          </w:p>
        </w:tc>
        <w:tc>
          <w:tcPr>
            <w:tcW w:w="0" w:type="auto"/>
            <w:shd w:val="clear" w:color="auto" w:fill="auto"/>
            <w:vAlign w:val="center"/>
          </w:tcPr>
          <w:p w14:paraId="3693EA77" w14:textId="77777777" w:rsidR="003734EC" w:rsidRDefault="003734EC">
            <w:pPr>
              <w:rPr>
                <w:rFonts w:ascii="宋体"/>
              </w:rPr>
            </w:pPr>
          </w:p>
        </w:tc>
        <w:tc>
          <w:tcPr>
            <w:tcW w:w="0" w:type="auto"/>
            <w:shd w:val="clear" w:color="auto" w:fill="auto"/>
            <w:vAlign w:val="center"/>
          </w:tcPr>
          <w:p w14:paraId="3693EA78" w14:textId="77777777" w:rsidR="003734EC" w:rsidRDefault="003734EC">
            <w:pPr>
              <w:rPr>
                <w:rFonts w:ascii="宋体"/>
              </w:rPr>
            </w:pPr>
          </w:p>
        </w:tc>
        <w:tc>
          <w:tcPr>
            <w:tcW w:w="0" w:type="auto"/>
            <w:shd w:val="clear" w:color="auto" w:fill="auto"/>
            <w:vAlign w:val="center"/>
          </w:tcPr>
          <w:p w14:paraId="3693EA79" w14:textId="77777777" w:rsidR="003734EC" w:rsidRDefault="003734EC">
            <w:pPr>
              <w:rPr>
                <w:rFonts w:ascii="宋体"/>
              </w:rPr>
            </w:pPr>
          </w:p>
        </w:tc>
        <w:tc>
          <w:tcPr>
            <w:tcW w:w="0" w:type="auto"/>
            <w:shd w:val="clear" w:color="auto" w:fill="auto"/>
            <w:vAlign w:val="center"/>
          </w:tcPr>
          <w:p w14:paraId="3693EA7A" w14:textId="77777777" w:rsidR="003734EC" w:rsidRDefault="003734EC">
            <w:pPr>
              <w:rPr>
                <w:rFonts w:ascii="宋体"/>
              </w:rPr>
            </w:pPr>
          </w:p>
        </w:tc>
        <w:tc>
          <w:tcPr>
            <w:tcW w:w="0" w:type="auto"/>
            <w:shd w:val="clear" w:color="auto" w:fill="auto"/>
            <w:vAlign w:val="center"/>
          </w:tcPr>
          <w:p w14:paraId="3693EA7B" w14:textId="77777777" w:rsidR="003734EC" w:rsidRDefault="003734EC">
            <w:pPr>
              <w:rPr>
                <w:rFonts w:ascii="宋体"/>
              </w:rPr>
            </w:pPr>
          </w:p>
        </w:tc>
        <w:tc>
          <w:tcPr>
            <w:tcW w:w="0" w:type="auto"/>
            <w:shd w:val="clear" w:color="auto" w:fill="auto"/>
            <w:vAlign w:val="center"/>
          </w:tcPr>
          <w:p w14:paraId="3693EA7C" w14:textId="77777777" w:rsidR="003734EC" w:rsidRDefault="003734EC">
            <w:pPr>
              <w:rPr>
                <w:rFonts w:ascii="宋体"/>
              </w:rPr>
            </w:pPr>
          </w:p>
        </w:tc>
        <w:tc>
          <w:tcPr>
            <w:tcW w:w="0" w:type="auto"/>
            <w:shd w:val="clear" w:color="auto" w:fill="auto"/>
            <w:vAlign w:val="center"/>
          </w:tcPr>
          <w:p w14:paraId="3693EA7D" w14:textId="77777777" w:rsidR="003734EC" w:rsidRDefault="003734EC">
            <w:pPr>
              <w:rPr>
                <w:rFonts w:ascii="宋体"/>
              </w:rPr>
            </w:pPr>
          </w:p>
        </w:tc>
        <w:tc>
          <w:tcPr>
            <w:tcW w:w="0" w:type="auto"/>
            <w:shd w:val="clear" w:color="auto" w:fill="auto"/>
            <w:vAlign w:val="center"/>
          </w:tcPr>
          <w:p w14:paraId="3693EA7E" w14:textId="77777777" w:rsidR="003734EC" w:rsidRDefault="003734EC">
            <w:pPr>
              <w:rPr>
                <w:rFonts w:ascii="宋体"/>
              </w:rPr>
            </w:pPr>
          </w:p>
        </w:tc>
        <w:tc>
          <w:tcPr>
            <w:tcW w:w="0" w:type="auto"/>
            <w:shd w:val="clear" w:color="auto" w:fill="auto"/>
            <w:vAlign w:val="center"/>
          </w:tcPr>
          <w:p w14:paraId="3693EA7F" w14:textId="77777777" w:rsidR="003734EC" w:rsidRDefault="003734EC">
            <w:pPr>
              <w:rPr>
                <w:rFonts w:ascii="宋体"/>
              </w:rPr>
            </w:pPr>
          </w:p>
        </w:tc>
        <w:tc>
          <w:tcPr>
            <w:tcW w:w="0" w:type="auto"/>
            <w:shd w:val="clear" w:color="auto" w:fill="auto"/>
            <w:vAlign w:val="center"/>
          </w:tcPr>
          <w:p w14:paraId="3693EA80" w14:textId="77777777" w:rsidR="003734EC" w:rsidRDefault="003734EC">
            <w:pPr>
              <w:rPr>
                <w:rFonts w:ascii="宋体"/>
              </w:rPr>
            </w:pPr>
          </w:p>
        </w:tc>
      </w:tr>
      <w:tr w:rsidR="000E364E" w14:paraId="3693EAB5" w14:textId="77777777">
        <w:tc>
          <w:tcPr>
            <w:tcW w:w="0" w:type="auto"/>
            <w:gridSpan w:val="3"/>
            <w:shd w:val="clear" w:color="auto" w:fill="FFFFFF"/>
            <w:tcMar>
              <w:top w:w="40" w:type="dxa"/>
              <w:left w:w="20" w:type="dxa"/>
              <w:bottom w:w="40" w:type="dxa"/>
              <w:right w:w="20" w:type="dxa"/>
            </w:tcMar>
            <w:vAlign w:val="bottom"/>
          </w:tcPr>
          <w:p w14:paraId="3693EA82" w14:textId="77777777" w:rsidR="003734EC" w:rsidRDefault="000E364E">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83"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84" w14:textId="77777777" w:rsidR="003734EC" w:rsidRDefault="000E364E">
            <w:pPr>
              <w:jc w:val="right"/>
              <w:textAlignment w:val="bottom"/>
            </w:pPr>
            <w:r>
              <w:rPr>
                <w:rFonts w:ascii="sans-serif" w:eastAsia="sans-serif" w:hAnsi="sans-serif" w:cs="sans-serif"/>
                <w:color w:val="000000"/>
                <w:sz w:val="20"/>
                <w:szCs w:val="20"/>
              </w:rPr>
              <w:t>16,199 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8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A86"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87"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8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8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A8A"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8B"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8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8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A8E"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8F"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90" w14:textId="77777777" w:rsidR="003734EC" w:rsidRDefault="000E364E">
            <w:pPr>
              <w:jc w:val="right"/>
              <w:textAlignment w:val="bottom"/>
            </w:pPr>
            <w:r>
              <w:rPr>
                <w:rFonts w:ascii="sans-serif" w:eastAsia="sans-serif" w:hAnsi="sans-serif" w:cs="sans-serif"/>
                <w:color w:val="000000"/>
                <w:sz w:val="20"/>
                <w:szCs w:val="20"/>
              </w:rPr>
              <w:t>16,199 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9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A92"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93"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94" w14:textId="77777777" w:rsidR="003734EC" w:rsidRDefault="000E364E">
            <w:pPr>
              <w:jc w:val="right"/>
              <w:textAlignment w:val="bottom"/>
            </w:pPr>
            <w:r>
              <w:rPr>
                <w:rFonts w:ascii="sans-serif" w:eastAsia="sans-serif" w:hAnsi="sans-serif" w:cs="sans-serif"/>
                <w:color w:val="000000"/>
                <w:sz w:val="20"/>
                <w:szCs w:val="20"/>
              </w:rPr>
              <w:t>15,339 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9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A96"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A97"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A98" w14:textId="77777777" w:rsidR="003734EC" w:rsidRDefault="000E364E">
            <w:pPr>
              <w:jc w:val="right"/>
              <w:textAlignment w:val="bottom"/>
            </w:pPr>
            <w:r>
              <w:rPr>
                <w:rFonts w:ascii="sans-serif" w:eastAsia="sans-serif" w:hAnsi="sans-serif" w:cs="sans-serif"/>
                <w:color w:val="000000"/>
                <w:sz w:val="20"/>
                <w:szCs w:val="20"/>
              </w:rPr>
              <w:t>860 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A9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A9A" w14:textId="77777777" w:rsidR="003734EC" w:rsidRDefault="003734EC">
            <w:pPr>
              <w:rPr>
                <w:rFonts w:ascii="宋体"/>
              </w:rPr>
            </w:pPr>
          </w:p>
        </w:tc>
        <w:tc>
          <w:tcPr>
            <w:tcW w:w="0" w:type="auto"/>
            <w:shd w:val="clear" w:color="auto" w:fill="auto"/>
            <w:vAlign w:val="center"/>
          </w:tcPr>
          <w:p w14:paraId="3693EA9B" w14:textId="77777777" w:rsidR="003734EC" w:rsidRDefault="003734EC">
            <w:pPr>
              <w:rPr>
                <w:rFonts w:ascii="宋体"/>
              </w:rPr>
            </w:pPr>
          </w:p>
        </w:tc>
        <w:tc>
          <w:tcPr>
            <w:tcW w:w="0" w:type="auto"/>
            <w:shd w:val="clear" w:color="auto" w:fill="auto"/>
            <w:vAlign w:val="center"/>
          </w:tcPr>
          <w:p w14:paraId="3693EA9C" w14:textId="77777777" w:rsidR="003734EC" w:rsidRDefault="003734EC">
            <w:pPr>
              <w:rPr>
                <w:rFonts w:ascii="宋体"/>
              </w:rPr>
            </w:pPr>
          </w:p>
        </w:tc>
        <w:tc>
          <w:tcPr>
            <w:tcW w:w="0" w:type="auto"/>
            <w:shd w:val="clear" w:color="auto" w:fill="auto"/>
            <w:vAlign w:val="center"/>
          </w:tcPr>
          <w:p w14:paraId="3693EA9D" w14:textId="77777777" w:rsidR="003734EC" w:rsidRDefault="003734EC">
            <w:pPr>
              <w:rPr>
                <w:rFonts w:ascii="宋体"/>
              </w:rPr>
            </w:pPr>
          </w:p>
        </w:tc>
        <w:tc>
          <w:tcPr>
            <w:tcW w:w="0" w:type="auto"/>
            <w:shd w:val="clear" w:color="auto" w:fill="auto"/>
            <w:vAlign w:val="center"/>
          </w:tcPr>
          <w:p w14:paraId="3693EA9E" w14:textId="77777777" w:rsidR="003734EC" w:rsidRDefault="003734EC">
            <w:pPr>
              <w:rPr>
                <w:rFonts w:ascii="宋体"/>
              </w:rPr>
            </w:pPr>
          </w:p>
        </w:tc>
        <w:tc>
          <w:tcPr>
            <w:tcW w:w="0" w:type="auto"/>
            <w:shd w:val="clear" w:color="auto" w:fill="auto"/>
            <w:vAlign w:val="center"/>
          </w:tcPr>
          <w:p w14:paraId="3693EA9F" w14:textId="77777777" w:rsidR="003734EC" w:rsidRDefault="003734EC">
            <w:pPr>
              <w:rPr>
                <w:rFonts w:ascii="宋体"/>
              </w:rPr>
            </w:pPr>
          </w:p>
        </w:tc>
        <w:tc>
          <w:tcPr>
            <w:tcW w:w="0" w:type="auto"/>
            <w:shd w:val="clear" w:color="auto" w:fill="auto"/>
            <w:vAlign w:val="center"/>
          </w:tcPr>
          <w:p w14:paraId="3693EAA0" w14:textId="77777777" w:rsidR="003734EC" w:rsidRDefault="003734EC">
            <w:pPr>
              <w:rPr>
                <w:rFonts w:ascii="宋体"/>
              </w:rPr>
            </w:pPr>
          </w:p>
        </w:tc>
        <w:tc>
          <w:tcPr>
            <w:tcW w:w="0" w:type="auto"/>
            <w:shd w:val="clear" w:color="auto" w:fill="auto"/>
            <w:vAlign w:val="center"/>
          </w:tcPr>
          <w:p w14:paraId="3693EAA1" w14:textId="77777777" w:rsidR="003734EC" w:rsidRDefault="003734EC">
            <w:pPr>
              <w:rPr>
                <w:rFonts w:ascii="宋体"/>
              </w:rPr>
            </w:pPr>
          </w:p>
        </w:tc>
        <w:tc>
          <w:tcPr>
            <w:tcW w:w="0" w:type="auto"/>
            <w:shd w:val="clear" w:color="auto" w:fill="auto"/>
            <w:vAlign w:val="center"/>
          </w:tcPr>
          <w:p w14:paraId="3693EAA2" w14:textId="77777777" w:rsidR="003734EC" w:rsidRDefault="003734EC">
            <w:pPr>
              <w:rPr>
                <w:rFonts w:ascii="宋体"/>
              </w:rPr>
            </w:pPr>
          </w:p>
        </w:tc>
        <w:tc>
          <w:tcPr>
            <w:tcW w:w="0" w:type="auto"/>
            <w:shd w:val="clear" w:color="auto" w:fill="auto"/>
            <w:vAlign w:val="center"/>
          </w:tcPr>
          <w:p w14:paraId="3693EAA3" w14:textId="77777777" w:rsidR="003734EC" w:rsidRDefault="003734EC">
            <w:pPr>
              <w:rPr>
                <w:rFonts w:ascii="宋体"/>
              </w:rPr>
            </w:pPr>
          </w:p>
        </w:tc>
        <w:tc>
          <w:tcPr>
            <w:tcW w:w="0" w:type="auto"/>
            <w:shd w:val="clear" w:color="auto" w:fill="auto"/>
            <w:vAlign w:val="center"/>
          </w:tcPr>
          <w:p w14:paraId="3693EAA4" w14:textId="77777777" w:rsidR="003734EC" w:rsidRDefault="003734EC">
            <w:pPr>
              <w:rPr>
                <w:rFonts w:ascii="宋体"/>
              </w:rPr>
            </w:pPr>
          </w:p>
        </w:tc>
        <w:tc>
          <w:tcPr>
            <w:tcW w:w="0" w:type="auto"/>
            <w:shd w:val="clear" w:color="auto" w:fill="auto"/>
            <w:vAlign w:val="center"/>
          </w:tcPr>
          <w:p w14:paraId="3693EAA5" w14:textId="77777777" w:rsidR="003734EC" w:rsidRDefault="003734EC">
            <w:pPr>
              <w:rPr>
                <w:rFonts w:ascii="宋体"/>
              </w:rPr>
            </w:pPr>
          </w:p>
        </w:tc>
        <w:tc>
          <w:tcPr>
            <w:tcW w:w="0" w:type="auto"/>
            <w:shd w:val="clear" w:color="auto" w:fill="auto"/>
            <w:vAlign w:val="center"/>
          </w:tcPr>
          <w:p w14:paraId="3693EAA6" w14:textId="77777777" w:rsidR="003734EC" w:rsidRDefault="003734EC">
            <w:pPr>
              <w:rPr>
                <w:rFonts w:ascii="宋体"/>
              </w:rPr>
            </w:pPr>
          </w:p>
        </w:tc>
        <w:tc>
          <w:tcPr>
            <w:tcW w:w="0" w:type="auto"/>
            <w:shd w:val="clear" w:color="auto" w:fill="auto"/>
            <w:vAlign w:val="center"/>
          </w:tcPr>
          <w:p w14:paraId="3693EAA7" w14:textId="77777777" w:rsidR="003734EC" w:rsidRDefault="003734EC">
            <w:pPr>
              <w:rPr>
                <w:rFonts w:ascii="宋体"/>
              </w:rPr>
            </w:pPr>
          </w:p>
        </w:tc>
        <w:tc>
          <w:tcPr>
            <w:tcW w:w="0" w:type="auto"/>
            <w:shd w:val="clear" w:color="auto" w:fill="auto"/>
            <w:vAlign w:val="center"/>
          </w:tcPr>
          <w:p w14:paraId="3693EAA8" w14:textId="77777777" w:rsidR="003734EC" w:rsidRDefault="003734EC">
            <w:pPr>
              <w:rPr>
                <w:rFonts w:ascii="宋体"/>
              </w:rPr>
            </w:pPr>
          </w:p>
        </w:tc>
        <w:tc>
          <w:tcPr>
            <w:tcW w:w="0" w:type="auto"/>
            <w:shd w:val="clear" w:color="auto" w:fill="auto"/>
            <w:vAlign w:val="center"/>
          </w:tcPr>
          <w:p w14:paraId="3693EAA9" w14:textId="77777777" w:rsidR="003734EC" w:rsidRDefault="003734EC">
            <w:pPr>
              <w:rPr>
                <w:rFonts w:ascii="宋体"/>
              </w:rPr>
            </w:pPr>
          </w:p>
        </w:tc>
        <w:tc>
          <w:tcPr>
            <w:tcW w:w="0" w:type="auto"/>
            <w:shd w:val="clear" w:color="auto" w:fill="auto"/>
            <w:vAlign w:val="center"/>
          </w:tcPr>
          <w:p w14:paraId="3693EAAA" w14:textId="77777777" w:rsidR="003734EC" w:rsidRDefault="003734EC">
            <w:pPr>
              <w:rPr>
                <w:rFonts w:ascii="宋体"/>
              </w:rPr>
            </w:pPr>
          </w:p>
        </w:tc>
        <w:tc>
          <w:tcPr>
            <w:tcW w:w="0" w:type="auto"/>
            <w:shd w:val="clear" w:color="auto" w:fill="auto"/>
            <w:vAlign w:val="center"/>
          </w:tcPr>
          <w:p w14:paraId="3693EAAB" w14:textId="77777777" w:rsidR="003734EC" w:rsidRDefault="003734EC">
            <w:pPr>
              <w:rPr>
                <w:rFonts w:ascii="宋体"/>
              </w:rPr>
            </w:pPr>
          </w:p>
        </w:tc>
        <w:tc>
          <w:tcPr>
            <w:tcW w:w="0" w:type="auto"/>
            <w:shd w:val="clear" w:color="auto" w:fill="auto"/>
            <w:vAlign w:val="center"/>
          </w:tcPr>
          <w:p w14:paraId="3693EAAC" w14:textId="77777777" w:rsidR="003734EC" w:rsidRDefault="003734EC">
            <w:pPr>
              <w:rPr>
                <w:rFonts w:ascii="宋体"/>
              </w:rPr>
            </w:pPr>
          </w:p>
        </w:tc>
        <w:tc>
          <w:tcPr>
            <w:tcW w:w="0" w:type="auto"/>
            <w:shd w:val="clear" w:color="auto" w:fill="auto"/>
            <w:vAlign w:val="center"/>
          </w:tcPr>
          <w:p w14:paraId="3693EAAD" w14:textId="77777777" w:rsidR="003734EC" w:rsidRDefault="003734EC">
            <w:pPr>
              <w:rPr>
                <w:rFonts w:ascii="宋体"/>
              </w:rPr>
            </w:pPr>
          </w:p>
        </w:tc>
        <w:tc>
          <w:tcPr>
            <w:tcW w:w="0" w:type="auto"/>
            <w:shd w:val="clear" w:color="auto" w:fill="auto"/>
            <w:vAlign w:val="center"/>
          </w:tcPr>
          <w:p w14:paraId="3693EAAE" w14:textId="77777777" w:rsidR="003734EC" w:rsidRDefault="003734EC">
            <w:pPr>
              <w:rPr>
                <w:rFonts w:ascii="宋体"/>
              </w:rPr>
            </w:pPr>
          </w:p>
        </w:tc>
        <w:tc>
          <w:tcPr>
            <w:tcW w:w="0" w:type="auto"/>
            <w:shd w:val="clear" w:color="auto" w:fill="auto"/>
            <w:vAlign w:val="center"/>
          </w:tcPr>
          <w:p w14:paraId="3693EAAF" w14:textId="77777777" w:rsidR="003734EC" w:rsidRDefault="003734EC">
            <w:pPr>
              <w:rPr>
                <w:rFonts w:ascii="宋体"/>
              </w:rPr>
            </w:pPr>
          </w:p>
        </w:tc>
        <w:tc>
          <w:tcPr>
            <w:tcW w:w="0" w:type="auto"/>
            <w:shd w:val="clear" w:color="auto" w:fill="auto"/>
            <w:vAlign w:val="center"/>
          </w:tcPr>
          <w:p w14:paraId="3693EAB0" w14:textId="77777777" w:rsidR="003734EC" w:rsidRDefault="003734EC">
            <w:pPr>
              <w:rPr>
                <w:rFonts w:ascii="宋体"/>
              </w:rPr>
            </w:pPr>
          </w:p>
        </w:tc>
        <w:tc>
          <w:tcPr>
            <w:tcW w:w="0" w:type="auto"/>
            <w:shd w:val="clear" w:color="auto" w:fill="auto"/>
            <w:vAlign w:val="center"/>
          </w:tcPr>
          <w:p w14:paraId="3693EAB1" w14:textId="77777777" w:rsidR="003734EC" w:rsidRDefault="003734EC">
            <w:pPr>
              <w:rPr>
                <w:rFonts w:ascii="宋体"/>
              </w:rPr>
            </w:pPr>
          </w:p>
        </w:tc>
        <w:tc>
          <w:tcPr>
            <w:tcW w:w="0" w:type="auto"/>
            <w:shd w:val="clear" w:color="auto" w:fill="auto"/>
            <w:vAlign w:val="center"/>
          </w:tcPr>
          <w:p w14:paraId="3693EAB2" w14:textId="77777777" w:rsidR="003734EC" w:rsidRDefault="003734EC">
            <w:pPr>
              <w:rPr>
                <w:rFonts w:ascii="宋体"/>
              </w:rPr>
            </w:pPr>
          </w:p>
        </w:tc>
        <w:tc>
          <w:tcPr>
            <w:tcW w:w="0" w:type="auto"/>
            <w:shd w:val="clear" w:color="auto" w:fill="auto"/>
            <w:vAlign w:val="center"/>
          </w:tcPr>
          <w:p w14:paraId="3693EAB3" w14:textId="77777777" w:rsidR="003734EC" w:rsidRDefault="003734EC">
            <w:pPr>
              <w:rPr>
                <w:rFonts w:ascii="宋体"/>
              </w:rPr>
            </w:pPr>
          </w:p>
        </w:tc>
        <w:tc>
          <w:tcPr>
            <w:tcW w:w="0" w:type="auto"/>
            <w:shd w:val="clear" w:color="auto" w:fill="auto"/>
            <w:vAlign w:val="center"/>
          </w:tcPr>
          <w:p w14:paraId="3693EAB4" w14:textId="77777777" w:rsidR="003734EC" w:rsidRDefault="003734EC">
            <w:pPr>
              <w:rPr>
                <w:rFonts w:ascii="宋体"/>
              </w:rPr>
            </w:pPr>
          </w:p>
        </w:tc>
      </w:tr>
    </w:tbl>
    <w:p w14:paraId="3693EAB6" w14:textId="77777777" w:rsidR="003734EC" w:rsidRDefault="003734EC">
      <w:pPr>
        <w:spacing w:after="300"/>
        <w:jc w:val="both"/>
      </w:pPr>
    </w:p>
    <w:tbl>
      <w:tblPr>
        <w:tblW w:w="4971" w:type="pct"/>
        <w:tblCellMar>
          <w:top w:w="15" w:type="dxa"/>
          <w:left w:w="15" w:type="dxa"/>
          <w:bottom w:w="15" w:type="dxa"/>
          <w:right w:w="15" w:type="dxa"/>
        </w:tblCellMar>
        <w:tblLook w:val="04A0" w:firstRow="1" w:lastRow="0" w:firstColumn="1" w:lastColumn="0" w:noHBand="0" w:noVBand="1"/>
      </w:tblPr>
      <w:tblGrid>
        <w:gridCol w:w="40"/>
        <w:gridCol w:w="877"/>
        <w:gridCol w:w="36"/>
        <w:gridCol w:w="121"/>
        <w:gridCol w:w="620"/>
        <w:gridCol w:w="76"/>
        <w:gridCol w:w="37"/>
        <w:gridCol w:w="35"/>
        <w:gridCol w:w="35"/>
        <w:gridCol w:w="122"/>
        <w:gridCol w:w="643"/>
        <w:gridCol w:w="76"/>
        <w:gridCol w:w="37"/>
        <w:gridCol w:w="35"/>
        <w:gridCol w:w="35"/>
        <w:gridCol w:w="122"/>
        <w:gridCol w:w="638"/>
        <w:gridCol w:w="78"/>
        <w:gridCol w:w="37"/>
        <w:gridCol w:w="35"/>
        <w:gridCol w:w="35"/>
        <w:gridCol w:w="122"/>
        <w:gridCol w:w="598"/>
        <w:gridCol w:w="73"/>
        <w:gridCol w:w="37"/>
        <w:gridCol w:w="35"/>
        <w:gridCol w:w="35"/>
        <w:gridCol w:w="121"/>
        <w:gridCol w:w="519"/>
        <w:gridCol w:w="73"/>
        <w:gridCol w:w="37"/>
        <w:gridCol w:w="35"/>
        <w:gridCol w:w="35"/>
        <w:gridCol w:w="120"/>
        <w:gridCol w:w="207"/>
        <w:gridCol w:w="73"/>
        <w:gridCol w:w="37"/>
        <w:gridCol w:w="35"/>
        <w:gridCol w:w="35"/>
        <w:gridCol w:w="285"/>
        <w:gridCol w:w="283"/>
        <w:gridCol w:w="283"/>
        <w:gridCol w:w="37"/>
        <w:gridCol w:w="35"/>
        <w:gridCol w:w="35"/>
        <w:gridCol w:w="286"/>
        <w:gridCol w:w="285"/>
        <w:gridCol w:w="285"/>
        <w:gridCol w:w="35"/>
        <w:gridCol w:w="35"/>
        <w:gridCol w:w="35"/>
        <w:gridCol w:w="35"/>
        <w:gridCol w:w="35"/>
        <w:gridCol w:w="35"/>
        <w:gridCol w:w="35"/>
        <w:gridCol w:w="35"/>
        <w:gridCol w:w="35"/>
        <w:gridCol w:w="35"/>
        <w:gridCol w:w="35"/>
        <w:gridCol w:w="35"/>
        <w:gridCol w:w="35"/>
        <w:gridCol w:w="35"/>
        <w:gridCol w:w="35"/>
      </w:tblGrid>
      <w:tr w:rsidR="003734EC" w14:paraId="3693EADB" w14:textId="77777777">
        <w:trPr>
          <w:gridAfter w:val="27"/>
        </w:trPr>
        <w:tc>
          <w:tcPr>
            <w:tcW w:w="50" w:type="pct"/>
            <w:shd w:val="clear" w:color="auto" w:fill="auto"/>
            <w:vAlign w:val="center"/>
          </w:tcPr>
          <w:p w14:paraId="3693EAB7" w14:textId="77777777" w:rsidR="003734EC" w:rsidRDefault="003734EC">
            <w:pPr>
              <w:rPr>
                <w:rFonts w:ascii="宋体"/>
              </w:rPr>
            </w:pPr>
          </w:p>
        </w:tc>
        <w:tc>
          <w:tcPr>
            <w:tcW w:w="1436" w:type="pct"/>
            <w:shd w:val="clear" w:color="auto" w:fill="auto"/>
            <w:vAlign w:val="center"/>
          </w:tcPr>
          <w:p w14:paraId="3693EAB8" w14:textId="77777777" w:rsidR="003734EC" w:rsidRDefault="003734EC">
            <w:pPr>
              <w:rPr>
                <w:rFonts w:ascii="宋体"/>
              </w:rPr>
            </w:pPr>
          </w:p>
        </w:tc>
        <w:tc>
          <w:tcPr>
            <w:tcW w:w="50" w:type="pct"/>
            <w:shd w:val="clear" w:color="auto" w:fill="auto"/>
            <w:vAlign w:val="center"/>
          </w:tcPr>
          <w:p w14:paraId="3693EAB9" w14:textId="77777777" w:rsidR="003734EC" w:rsidRDefault="003734EC">
            <w:pPr>
              <w:rPr>
                <w:rFonts w:ascii="宋体"/>
              </w:rPr>
            </w:pPr>
          </w:p>
        </w:tc>
        <w:tc>
          <w:tcPr>
            <w:tcW w:w="50" w:type="pct"/>
            <w:shd w:val="clear" w:color="auto" w:fill="auto"/>
            <w:vAlign w:val="center"/>
          </w:tcPr>
          <w:p w14:paraId="3693EABA" w14:textId="77777777" w:rsidR="003734EC" w:rsidRDefault="003734EC">
            <w:pPr>
              <w:rPr>
                <w:rFonts w:ascii="宋体"/>
              </w:rPr>
            </w:pPr>
          </w:p>
        </w:tc>
        <w:tc>
          <w:tcPr>
            <w:tcW w:w="436" w:type="pct"/>
            <w:shd w:val="clear" w:color="auto" w:fill="auto"/>
            <w:vAlign w:val="center"/>
          </w:tcPr>
          <w:p w14:paraId="3693EABB" w14:textId="77777777" w:rsidR="003734EC" w:rsidRDefault="003734EC">
            <w:pPr>
              <w:rPr>
                <w:rFonts w:ascii="宋体"/>
              </w:rPr>
            </w:pPr>
          </w:p>
        </w:tc>
        <w:tc>
          <w:tcPr>
            <w:tcW w:w="50" w:type="pct"/>
            <w:shd w:val="clear" w:color="auto" w:fill="auto"/>
            <w:vAlign w:val="center"/>
          </w:tcPr>
          <w:p w14:paraId="3693EABC" w14:textId="77777777" w:rsidR="003734EC" w:rsidRDefault="003734EC">
            <w:pPr>
              <w:rPr>
                <w:rFonts w:ascii="宋体"/>
              </w:rPr>
            </w:pPr>
          </w:p>
        </w:tc>
        <w:tc>
          <w:tcPr>
            <w:tcW w:w="5" w:type="pct"/>
            <w:shd w:val="clear" w:color="auto" w:fill="auto"/>
            <w:vAlign w:val="center"/>
          </w:tcPr>
          <w:p w14:paraId="3693EABD" w14:textId="77777777" w:rsidR="003734EC" w:rsidRDefault="003734EC">
            <w:pPr>
              <w:rPr>
                <w:rFonts w:ascii="宋体"/>
              </w:rPr>
            </w:pPr>
          </w:p>
        </w:tc>
        <w:tc>
          <w:tcPr>
            <w:tcW w:w="26" w:type="pct"/>
            <w:shd w:val="clear" w:color="auto" w:fill="auto"/>
            <w:vAlign w:val="center"/>
          </w:tcPr>
          <w:p w14:paraId="3693EABE" w14:textId="77777777" w:rsidR="003734EC" w:rsidRDefault="003734EC">
            <w:pPr>
              <w:rPr>
                <w:rFonts w:ascii="宋体"/>
              </w:rPr>
            </w:pPr>
          </w:p>
        </w:tc>
        <w:tc>
          <w:tcPr>
            <w:tcW w:w="5" w:type="pct"/>
            <w:shd w:val="clear" w:color="auto" w:fill="auto"/>
            <w:vAlign w:val="center"/>
          </w:tcPr>
          <w:p w14:paraId="3693EABF" w14:textId="77777777" w:rsidR="003734EC" w:rsidRDefault="003734EC">
            <w:pPr>
              <w:rPr>
                <w:rFonts w:ascii="宋体"/>
              </w:rPr>
            </w:pPr>
          </w:p>
        </w:tc>
        <w:tc>
          <w:tcPr>
            <w:tcW w:w="50" w:type="pct"/>
            <w:shd w:val="clear" w:color="auto" w:fill="auto"/>
            <w:vAlign w:val="center"/>
          </w:tcPr>
          <w:p w14:paraId="3693EAC0" w14:textId="77777777" w:rsidR="003734EC" w:rsidRDefault="003734EC">
            <w:pPr>
              <w:rPr>
                <w:rFonts w:ascii="宋体"/>
              </w:rPr>
            </w:pPr>
          </w:p>
        </w:tc>
        <w:tc>
          <w:tcPr>
            <w:tcW w:w="451" w:type="pct"/>
            <w:shd w:val="clear" w:color="auto" w:fill="auto"/>
            <w:vAlign w:val="center"/>
          </w:tcPr>
          <w:p w14:paraId="3693EAC1" w14:textId="77777777" w:rsidR="003734EC" w:rsidRDefault="003734EC">
            <w:pPr>
              <w:rPr>
                <w:rFonts w:ascii="宋体"/>
              </w:rPr>
            </w:pPr>
          </w:p>
        </w:tc>
        <w:tc>
          <w:tcPr>
            <w:tcW w:w="50" w:type="pct"/>
            <w:shd w:val="clear" w:color="auto" w:fill="auto"/>
            <w:vAlign w:val="center"/>
          </w:tcPr>
          <w:p w14:paraId="3693EAC2" w14:textId="77777777" w:rsidR="003734EC" w:rsidRDefault="003734EC">
            <w:pPr>
              <w:rPr>
                <w:rFonts w:ascii="宋体"/>
              </w:rPr>
            </w:pPr>
          </w:p>
        </w:tc>
        <w:tc>
          <w:tcPr>
            <w:tcW w:w="5" w:type="pct"/>
            <w:shd w:val="clear" w:color="auto" w:fill="auto"/>
            <w:vAlign w:val="center"/>
          </w:tcPr>
          <w:p w14:paraId="3693EAC3" w14:textId="77777777" w:rsidR="003734EC" w:rsidRDefault="003734EC">
            <w:pPr>
              <w:rPr>
                <w:rFonts w:ascii="宋体"/>
              </w:rPr>
            </w:pPr>
          </w:p>
        </w:tc>
        <w:tc>
          <w:tcPr>
            <w:tcW w:w="26" w:type="pct"/>
            <w:shd w:val="clear" w:color="auto" w:fill="auto"/>
            <w:vAlign w:val="center"/>
          </w:tcPr>
          <w:p w14:paraId="3693EAC4" w14:textId="77777777" w:rsidR="003734EC" w:rsidRDefault="003734EC">
            <w:pPr>
              <w:rPr>
                <w:rFonts w:ascii="宋体"/>
              </w:rPr>
            </w:pPr>
          </w:p>
        </w:tc>
        <w:tc>
          <w:tcPr>
            <w:tcW w:w="5" w:type="pct"/>
            <w:shd w:val="clear" w:color="auto" w:fill="auto"/>
            <w:vAlign w:val="center"/>
          </w:tcPr>
          <w:p w14:paraId="3693EAC5" w14:textId="77777777" w:rsidR="003734EC" w:rsidRDefault="003734EC">
            <w:pPr>
              <w:rPr>
                <w:rFonts w:ascii="宋体"/>
              </w:rPr>
            </w:pPr>
          </w:p>
        </w:tc>
        <w:tc>
          <w:tcPr>
            <w:tcW w:w="50" w:type="pct"/>
            <w:shd w:val="clear" w:color="auto" w:fill="auto"/>
            <w:vAlign w:val="center"/>
          </w:tcPr>
          <w:p w14:paraId="3693EAC6" w14:textId="77777777" w:rsidR="003734EC" w:rsidRDefault="003734EC">
            <w:pPr>
              <w:rPr>
                <w:rFonts w:ascii="宋体"/>
              </w:rPr>
            </w:pPr>
          </w:p>
        </w:tc>
        <w:tc>
          <w:tcPr>
            <w:tcW w:w="436" w:type="pct"/>
            <w:shd w:val="clear" w:color="auto" w:fill="auto"/>
            <w:vAlign w:val="center"/>
          </w:tcPr>
          <w:p w14:paraId="3693EAC7" w14:textId="77777777" w:rsidR="003734EC" w:rsidRDefault="003734EC">
            <w:pPr>
              <w:rPr>
                <w:rFonts w:ascii="宋体"/>
              </w:rPr>
            </w:pPr>
          </w:p>
        </w:tc>
        <w:tc>
          <w:tcPr>
            <w:tcW w:w="50" w:type="pct"/>
            <w:shd w:val="clear" w:color="auto" w:fill="auto"/>
            <w:vAlign w:val="center"/>
          </w:tcPr>
          <w:p w14:paraId="3693EAC8" w14:textId="77777777" w:rsidR="003734EC" w:rsidRDefault="003734EC">
            <w:pPr>
              <w:rPr>
                <w:rFonts w:ascii="宋体"/>
              </w:rPr>
            </w:pPr>
          </w:p>
        </w:tc>
        <w:tc>
          <w:tcPr>
            <w:tcW w:w="5" w:type="pct"/>
            <w:shd w:val="clear" w:color="auto" w:fill="auto"/>
            <w:vAlign w:val="center"/>
          </w:tcPr>
          <w:p w14:paraId="3693EAC9" w14:textId="77777777" w:rsidR="003734EC" w:rsidRDefault="003734EC">
            <w:pPr>
              <w:rPr>
                <w:rFonts w:ascii="宋体"/>
              </w:rPr>
            </w:pPr>
          </w:p>
        </w:tc>
        <w:tc>
          <w:tcPr>
            <w:tcW w:w="26" w:type="pct"/>
            <w:shd w:val="clear" w:color="auto" w:fill="auto"/>
            <w:vAlign w:val="center"/>
          </w:tcPr>
          <w:p w14:paraId="3693EACA" w14:textId="77777777" w:rsidR="003734EC" w:rsidRDefault="003734EC">
            <w:pPr>
              <w:rPr>
                <w:rFonts w:ascii="宋体"/>
              </w:rPr>
            </w:pPr>
          </w:p>
        </w:tc>
        <w:tc>
          <w:tcPr>
            <w:tcW w:w="5" w:type="pct"/>
            <w:shd w:val="clear" w:color="auto" w:fill="auto"/>
            <w:vAlign w:val="center"/>
          </w:tcPr>
          <w:p w14:paraId="3693EACB" w14:textId="77777777" w:rsidR="003734EC" w:rsidRDefault="003734EC">
            <w:pPr>
              <w:rPr>
                <w:rFonts w:ascii="宋体"/>
              </w:rPr>
            </w:pPr>
          </w:p>
        </w:tc>
        <w:tc>
          <w:tcPr>
            <w:tcW w:w="50" w:type="pct"/>
            <w:shd w:val="clear" w:color="auto" w:fill="auto"/>
            <w:vAlign w:val="center"/>
          </w:tcPr>
          <w:p w14:paraId="3693EACC" w14:textId="77777777" w:rsidR="003734EC" w:rsidRDefault="003734EC">
            <w:pPr>
              <w:rPr>
                <w:rFonts w:ascii="宋体"/>
              </w:rPr>
            </w:pPr>
          </w:p>
        </w:tc>
        <w:tc>
          <w:tcPr>
            <w:tcW w:w="436" w:type="pct"/>
            <w:shd w:val="clear" w:color="auto" w:fill="auto"/>
            <w:vAlign w:val="center"/>
          </w:tcPr>
          <w:p w14:paraId="3693EACD" w14:textId="77777777" w:rsidR="003734EC" w:rsidRDefault="003734EC">
            <w:pPr>
              <w:rPr>
                <w:rFonts w:ascii="宋体"/>
              </w:rPr>
            </w:pPr>
          </w:p>
        </w:tc>
        <w:tc>
          <w:tcPr>
            <w:tcW w:w="50" w:type="pct"/>
            <w:shd w:val="clear" w:color="auto" w:fill="auto"/>
            <w:vAlign w:val="center"/>
          </w:tcPr>
          <w:p w14:paraId="3693EACE" w14:textId="77777777" w:rsidR="003734EC" w:rsidRDefault="003734EC">
            <w:pPr>
              <w:rPr>
                <w:rFonts w:ascii="宋体"/>
              </w:rPr>
            </w:pPr>
          </w:p>
        </w:tc>
        <w:tc>
          <w:tcPr>
            <w:tcW w:w="5" w:type="pct"/>
            <w:shd w:val="clear" w:color="auto" w:fill="auto"/>
            <w:vAlign w:val="center"/>
          </w:tcPr>
          <w:p w14:paraId="3693EACF" w14:textId="77777777" w:rsidR="003734EC" w:rsidRDefault="003734EC">
            <w:pPr>
              <w:rPr>
                <w:rFonts w:ascii="宋体"/>
              </w:rPr>
            </w:pPr>
          </w:p>
        </w:tc>
        <w:tc>
          <w:tcPr>
            <w:tcW w:w="26" w:type="pct"/>
            <w:shd w:val="clear" w:color="auto" w:fill="auto"/>
            <w:vAlign w:val="center"/>
          </w:tcPr>
          <w:p w14:paraId="3693EAD0" w14:textId="77777777" w:rsidR="003734EC" w:rsidRDefault="003734EC">
            <w:pPr>
              <w:rPr>
                <w:rFonts w:ascii="宋体"/>
              </w:rPr>
            </w:pPr>
          </w:p>
        </w:tc>
        <w:tc>
          <w:tcPr>
            <w:tcW w:w="5" w:type="pct"/>
            <w:shd w:val="clear" w:color="auto" w:fill="auto"/>
            <w:vAlign w:val="center"/>
          </w:tcPr>
          <w:p w14:paraId="3693EAD1" w14:textId="77777777" w:rsidR="003734EC" w:rsidRDefault="003734EC">
            <w:pPr>
              <w:rPr>
                <w:rFonts w:ascii="宋体"/>
              </w:rPr>
            </w:pPr>
          </w:p>
        </w:tc>
        <w:tc>
          <w:tcPr>
            <w:tcW w:w="50" w:type="pct"/>
            <w:shd w:val="clear" w:color="auto" w:fill="auto"/>
            <w:vAlign w:val="center"/>
          </w:tcPr>
          <w:p w14:paraId="3693EAD2" w14:textId="77777777" w:rsidR="003734EC" w:rsidRDefault="003734EC">
            <w:pPr>
              <w:rPr>
                <w:rFonts w:ascii="宋体"/>
              </w:rPr>
            </w:pPr>
          </w:p>
        </w:tc>
        <w:tc>
          <w:tcPr>
            <w:tcW w:w="466" w:type="pct"/>
            <w:shd w:val="clear" w:color="auto" w:fill="auto"/>
            <w:vAlign w:val="center"/>
          </w:tcPr>
          <w:p w14:paraId="3693EAD3" w14:textId="77777777" w:rsidR="003734EC" w:rsidRDefault="003734EC">
            <w:pPr>
              <w:rPr>
                <w:rFonts w:ascii="宋体"/>
              </w:rPr>
            </w:pPr>
          </w:p>
        </w:tc>
        <w:tc>
          <w:tcPr>
            <w:tcW w:w="50" w:type="pct"/>
            <w:shd w:val="clear" w:color="auto" w:fill="auto"/>
            <w:vAlign w:val="center"/>
          </w:tcPr>
          <w:p w14:paraId="3693EAD4" w14:textId="77777777" w:rsidR="003734EC" w:rsidRDefault="003734EC">
            <w:pPr>
              <w:rPr>
                <w:rFonts w:ascii="宋体"/>
              </w:rPr>
            </w:pPr>
          </w:p>
        </w:tc>
        <w:tc>
          <w:tcPr>
            <w:tcW w:w="5" w:type="pct"/>
            <w:shd w:val="clear" w:color="auto" w:fill="auto"/>
            <w:vAlign w:val="center"/>
          </w:tcPr>
          <w:p w14:paraId="3693EAD5" w14:textId="77777777" w:rsidR="003734EC" w:rsidRDefault="003734EC">
            <w:pPr>
              <w:rPr>
                <w:rFonts w:ascii="宋体"/>
              </w:rPr>
            </w:pPr>
          </w:p>
        </w:tc>
        <w:tc>
          <w:tcPr>
            <w:tcW w:w="26" w:type="pct"/>
            <w:shd w:val="clear" w:color="auto" w:fill="auto"/>
            <w:vAlign w:val="center"/>
          </w:tcPr>
          <w:p w14:paraId="3693EAD6" w14:textId="77777777" w:rsidR="003734EC" w:rsidRDefault="003734EC">
            <w:pPr>
              <w:rPr>
                <w:rFonts w:ascii="宋体"/>
              </w:rPr>
            </w:pPr>
          </w:p>
        </w:tc>
        <w:tc>
          <w:tcPr>
            <w:tcW w:w="5" w:type="pct"/>
            <w:shd w:val="clear" w:color="auto" w:fill="auto"/>
            <w:vAlign w:val="center"/>
          </w:tcPr>
          <w:p w14:paraId="3693EAD7" w14:textId="77777777" w:rsidR="003734EC" w:rsidRDefault="003734EC">
            <w:pPr>
              <w:rPr>
                <w:rFonts w:ascii="宋体"/>
              </w:rPr>
            </w:pPr>
          </w:p>
        </w:tc>
        <w:tc>
          <w:tcPr>
            <w:tcW w:w="50" w:type="pct"/>
            <w:shd w:val="clear" w:color="auto" w:fill="auto"/>
            <w:vAlign w:val="center"/>
          </w:tcPr>
          <w:p w14:paraId="3693EAD8" w14:textId="77777777" w:rsidR="003734EC" w:rsidRDefault="003734EC">
            <w:pPr>
              <w:rPr>
                <w:rFonts w:ascii="宋体"/>
              </w:rPr>
            </w:pPr>
          </w:p>
        </w:tc>
        <w:tc>
          <w:tcPr>
            <w:tcW w:w="451" w:type="pct"/>
            <w:shd w:val="clear" w:color="auto" w:fill="auto"/>
            <w:vAlign w:val="center"/>
          </w:tcPr>
          <w:p w14:paraId="3693EAD9" w14:textId="77777777" w:rsidR="003734EC" w:rsidRDefault="003734EC">
            <w:pPr>
              <w:rPr>
                <w:rFonts w:ascii="宋体"/>
              </w:rPr>
            </w:pPr>
          </w:p>
        </w:tc>
        <w:tc>
          <w:tcPr>
            <w:tcW w:w="50" w:type="pct"/>
            <w:shd w:val="clear" w:color="auto" w:fill="auto"/>
            <w:vAlign w:val="center"/>
          </w:tcPr>
          <w:p w14:paraId="3693EADA" w14:textId="77777777" w:rsidR="003734EC" w:rsidRDefault="003734EC">
            <w:pPr>
              <w:rPr>
                <w:rFonts w:ascii="宋体"/>
              </w:rPr>
            </w:pPr>
          </w:p>
        </w:tc>
      </w:tr>
      <w:tr w:rsidR="003734EC" w14:paraId="3693EAE8" w14:textId="77777777">
        <w:tc>
          <w:tcPr>
            <w:tcW w:w="0" w:type="auto"/>
            <w:gridSpan w:val="3"/>
            <w:shd w:val="clear" w:color="auto" w:fill="auto"/>
            <w:tcMar>
              <w:top w:w="40" w:type="dxa"/>
              <w:left w:w="20" w:type="dxa"/>
              <w:bottom w:w="40" w:type="dxa"/>
              <w:right w:w="20" w:type="dxa"/>
            </w:tcMar>
            <w:vAlign w:val="bottom"/>
          </w:tcPr>
          <w:p w14:paraId="3693EADC" w14:textId="77777777" w:rsidR="003734EC" w:rsidRDefault="000E364E">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93EADD" w14:textId="77777777" w:rsidR="003734EC" w:rsidRDefault="000E364E">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vAlign w:val="center"/>
          </w:tcPr>
          <w:p w14:paraId="3693EADE" w14:textId="77777777" w:rsidR="003734EC" w:rsidRDefault="003734EC">
            <w:pPr>
              <w:rPr>
                <w:rFonts w:ascii="宋体"/>
                <w:vanish/>
              </w:rPr>
            </w:pPr>
          </w:p>
        </w:tc>
        <w:tc>
          <w:tcPr>
            <w:tcW w:w="0" w:type="auto"/>
            <w:gridSpan w:val="3"/>
            <w:shd w:val="clear" w:color="auto" w:fill="auto"/>
            <w:vAlign w:val="center"/>
          </w:tcPr>
          <w:p w14:paraId="3693EADF" w14:textId="77777777" w:rsidR="003734EC" w:rsidRDefault="003734EC">
            <w:pPr>
              <w:rPr>
                <w:rFonts w:ascii="宋体"/>
                <w:vanish/>
              </w:rPr>
            </w:pPr>
          </w:p>
        </w:tc>
        <w:tc>
          <w:tcPr>
            <w:tcW w:w="0" w:type="auto"/>
            <w:gridSpan w:val="3"/>
            <w:shd w:val="clear" w:color="auto" w:fill="auto"/>
            <w:vAlign w:val="center"/>
          </w:tcPr>
          <w:p w14:paraId="3693EAE0" w14:textId="77777777" w:rsidR="003734EC" w:rsidRDefault="003734EC">
            <w:pPr>
              <w:rPr>
                <w:rFonts w:ascii="宋体"/>
                <w:vanish/>
              </w:rPr>
            </w:pPr>
          </w:p>
        </w:tc>
        <w:tc>
          <w:tcPr>
            <w:tcW w:w="0" w:type="auto"/>
            <w:gridSpan w:val="3"/>
            <w:shd w:val="clear" w:color="auto" w:fill="auto"/>
            <w:vAlign w:val="center"/>
          </w:tcPr>
          <w:p w14:paraId="3693EAE1" w14:textId="77777777" w:rsidR="003734EC" w:rsidRDefault="003734EC">
            <w:pPr>
              <w:rPr>
                <w:rFonts w:ascii="宋体"/>
                <w:vanish/>
              </w:rPr>
            </w:pPr>
          </w:p>
        </w:tc>
        <w:tc>
          <w:tcPr>
            <w:tcW w:w="0" w:type="auto"/>
            <w:gridSpan w:val="3"/>
            <w:shd w:val="clear" w:color="auto" w:fill="auto"/>
            <w:vAlign w:val="center"/>
          </w:tcPr>
          <w:p w14:paraId="3693EAE2" w14:textId="77777777" w:rsidR="003734EC" w:rsidRDefault="003734EC">
            <w:pPr>
              <w:rPr>
                <w:rFonts w:ascii="宋体"/>
                <w:vanish/>
              </w:rPr>
            </w:pPr>
          </w:p>
        </w:tc>
        <w:tc>
          <w:tcPr>
            <w:tcW w:w="0" w:type="auto"/>
            <w:gridSpan w:val="3"/>
            <w:shd w:val="clear" w:color="auto" w:fill="auto"/>
            <w:vAlign w:val="center"/>
          </w:tcPr>
          <w:p w14:paraId="3693EAE3" w14:textId="77777777" w:rsidR="003734EC" w:rsidRDefault="003734EC">
            <w:pPr>
              <w:rPr>
                <w:rFonts w:ascii="宋体"/>
                <w:vanish/>
              </w:rPr>
            </w:pPr>
          </w:p>
        </w:tc>
        <w:tc>
          <w:tcPr>
            <w:tcW w:w="0" w:type="auto"/>
            <w:gridSpan w:val="3"/>
            <w:shd w:val="clear" w:color="auto" w:fill="auto"/>
            <w:vAlign w:val="center"/>
          </w:tcPr>
          <w:p w14:paraId="3693EAE4" w14:textId="77777777" w:rsidR="003734EC" w:rsidRDefault="003734EC">
            <w:pPr>
              <w:rPr>
                <w:rFonts w:ascii="宋体"/>
                <w:vanish/>
              </w:rPr>
            </w:pPr>
          </w:p>
        </w:tc>
        <w:tc>
          <w:tcPr>
            <w:tcW w:w="0" w:type="auto"/>
            <w:gridSpan w:val="3"/>
            <w:shd w:val="clear" w:color="auto" w:fill="auto"/>
            <w:vAlign w:val="center"/>
          </w:tcPr>
          <w:p w14:paraId="3693EAE5" w14:textId="77777777" w:rsidR="003734EC" w:rsidRDefault="003734EC">
            <w:pPr>
              <w:rPr>
                <w:rFonts w:ascii="宋体"/>
                <w:vanish/>
              </w:rPr>
            </w:pPr>
          </w:p>
        </w:tc>
        <w:tc>
          <w:tcPr>
            <w:tcW w:w="0" w:type="auto"/>
            <w:gridSpan w:val="2"/>
            <w:shd w:val="clear" w:color="auto" w:fill="auto"/>
            <w:vAlign w:val="center"/>
          </w:tcPr>
          <w:p w14:paraId="3693EAE6" w14:textId="77777777" w:rsidR="003734EC" w:rsidRDefault="003734EC">
            <w:pPr>
              <w:rPr>
                <w:rFonts w:ascii="宋体"/>
                <w:vanish/>
              </w:rPr>
            </w:pPr>
          </w:p>
        </w:tc>
        <w:tc>
          <w:tcPr>
            <w:tcW w:w="0" w:type="auto"/>
            <w:shd w:val="clear" w:color="auto" w:fill="auto"/>
            <w:vAlign w:val="center"/>
          </w:tcPr>
          <w:p w14:paraId="3693EAE7" w14:textId="77777777" w:rsidR="003734EC" w:rsidRDefault="003734EC">
            <w:pPr>
              <w:rPr>
                <w:rFonts w:ascii="宋体"/>
                <w:vanish/>
              </w:rPr>
            </w:pPr>
          </w:p>
        </w:tc>
      </w:tr>
      <w:tr w:rsidR="003734EC" w14:paraId="3693EB0A" w14:textId="77777777">
        <w:tc>
          <w:tcPr>
            <w:tcW w:w="0" w:type="auto"/>
            <w:gridSpan w:val="3"/>
            <w:shd w:val="clear" w:color="auto" w:fill="auto"/>
            <w:tcMar>
              <w:left w:w="20" w:type="dxa"/>
              <w:right w:w="20" w:type="dxa"/>
            </w:tcMar>
            <w:vAlign w:val="bottom"/>
          </w:tcPr>
          <w:p w14:paraId="3693EAE9" w14:textId="77777777" w:rsidR="003734EC" w:rsidRDefault="003734EC">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93EAEA" w14:textId="77777777" w:rsidR="003734EC" w:rsidRDefault="000E364E">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left w:w="20" w:type="dxa"/>
              <w:right w:w="20" w:type="dxa"/>
            </w:tcMar>
            <w:vAlign w:val="bottom"/>
          </w:tcPr>
          <w:p w14:paraId="3693EAEB"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AEC" w14:textId="77777777" w:rsidR="003734EC" w:rsidRDefault="000E364E">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left w:w="20" w:type="dxa"/>
              <w:right w:w="20" w:type="dxa"/>
            </w:tcMar>
            <w:vAlign w:val="bottom"/>
          </w:tcPr>
          <w:p w14:paraId="3693EAED"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AEE" w14:textId="77777777" w:rsidR="003734EC" w:rsidRDefault="000E364E">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left w:w="20" w:type="dxa"/>
              <w:right w:w="20" w:type="dxa"/>
            </w:tcMar>
            <w:vAlign w:val="bottom"/>
          </w:tcPr>
          <w:p w14:paraId="3693EAEF" w14:textId="77777777" w:rsidR="003734EC" w:rsidRDefault="003734EC">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AF0" w14:textId="77777777" w:rsidR="003734EC" w:rsidRDefault="000E364E">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left w:w="20" w:type="dxa"/>
              <w:right w:w="20" w:type="dxa"/>
            </w:tcMar>
            <w:vAlign w:val="bottom"/>
          </w:tcPr>
          <w:p w14:paraId="3693EAF1"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AF2" w14:textId="77777777" w:rsidR="003734EC" w:rsidRDefault="000E364E">
            <w:pPr>
              <w:jc w:val="center"/>
              <w:textAlignment w:val="bottom"/>
            </w:pPr>
            <w:r>
              <w:rPr>
                <w:rFonts w:ascii="sans-serif" w:eastAsia="sans-serif" w:hAnsi="sans-serif" w:cs="sans-serif"/>
                <w:b/>
                <w:bCs/>
                <w:color w:val="000000"/>
                <w:sz w:val="20"/>
                <w:szCs w:val="20"/>
              </w:rPr>
              <w:t>Reported as</w:t>
            </w:r>
          </w:p>
        </w:tc>
        <w:tc>
          <w:tcPr>
            <w:tcW w:w="0" w:type="auto"/>
            <w:gridSpan w:val="3"/>
            <w:shd w:val="clear" w:color="auto" w:fill="auto"/>
            <w:vAlign w:val="center"/>
          </w:tcPr>
          <w:p w14:paraId="3693EAF3" w14:textId="77777777" w:rsidR="003734EC" w:rsidRDefault="003734EC">
            <w:pPr>
              <w:rPr>
                <w:rFonts w:ascii="宋体"/>
                <w:vanish/>
              </w:rPr>
            </w:pPr>
          </w:p>
        </w:tc>
        <w:tc>
          <w:tcPr>
            <w:tcW w:w="0" w:type="auto"/>
            <w:gridSpan w:val="3"/>
            <w:shd w:val="clear" w:color="auto" w:fill="auto"/>
            <w:vAlign w:val="center"/>
          </w:tcPr>
          <w:p w14:paraId="3693EAF4" w14:textId="77777777" w:rsidR="003734EC" w:rsidRDefault="003734EC">
            <w:pPr>
              <w:rPr>
                <w:rFonts w:ascii="宋体"/>
                <w:vanish/>
              </w:rPr>
            </w:pPr>
          </w:p>
        </w:tc>
        <w:tc>
          <w:tcPr>
            <w:tcW w:w="0" w:type="auto"/>
            <w:shd w:val="clear" w:color="auto" w:fill="auto"/>
            <w:vAlign w:val="center"/>
          </w:tcPr>
          <w:p w14:paraId="3693EAF5" w14:textId="77777777" w:rsidR="003734EC" w:rsidRDefault="003734EC">
            <w:pPr>
              <w:rPr>
                <w:rFonts w:ascii="宋体"/>
              </w:rPr>
            </w:pPr>
          </w:p>
        </w:tc>
        <w:tc>
          <w:tcPr>
            <w:tcW w:w="0" w:type="auto"/>
            <w:shd w:val="clear" w:color="auto" w:fill="auto"/>
            <w:vAlign w:val="center"/>
          </w:tcPr>
          <w:p w14:paraId="3693EAF6" w14:textId="77777777" w:rsidR="003734EC" w:rsidRDefault="003734EC">
            <w:pPr>
              <w:rPr>
                <w:rFonts w:ascii="宋体"/>
              </w:rPr>
            </w:pPr>
          </w:p>
        </w:tc>
        <w:tc>
          <w:tcPr>
            <w:tcW w:w="0" w:type="auto"/>
            <w:shd w:val="clear" w:color="auto" w:fill="auto"/>
            <w:vAlign w:val="center"/>
          </w:tcPr>
          <w:p w14:paraId="3693EAF7" w14:textId="77777777" w:rsidR="003734EC" w:rsidRDefault="003734EC">
            <w:pPr>
              <w:rPr>
                <w:rFonts w:ascii="宋体"/>
              </w:rPr>
            </w:pPr>
          </w:p>
        </w:tc>
        <w:tc>
          <w:tcPr>
            <w:tcW w:w="0" w:type="auto"/>
            <w:shd w:val="clear" w:color="auto" w:fill="auto"/>
            <w:vAlign w:val="center"/>
          </w:tcPr>
          <w:p w14:paraId="3693EAF8" w14:textId="77777777" w:rsidR="003734EC" w:rsidRDefault="003734EC">
            <w:pPr>
              <w:rPr>
                <w:rFonts w:ascii="宋体"/>
              </w:rPr>
            </w:pPr>
          </w:p>
        </w:tc>
        <w:tc>
          <w:tcPr>
            <w:tcW w:w="0" w:type="auto"/>
            <w:shd w:val="clear" w:color="auto" w:fill="auto"/>
            <w:vAlign w:val="center"/>
          </w:tcPr>
          <w:p w14:paraId="3693EAF9" w14:textId="77777777" w:rsidR="003734EC" w:rsidRDefault="003734EC">
            <w:pPr>
              <w:rPr>
                <w:rFonts w:ascii="宋体"/>
              </w:rPr>
            </w:pPr>
          </w:p>
        </w:tc>
        <w:tc>
          <w:tcPr>
            <w:tcW w:w="0" w:type="auto"/>
            <w:shd w:val="clear" w:color="auto" w:fill="auto"/>
            <w:vAlign w:val="center"/>
          </w:tcPr>
          <w:p w14:paraId="3693EAFA" w14:textId="77777777" w:rsidR="003734EC" w:rsidRDefault="003734EC">
            <w:pPr>
              <w:rPr>
                <w:rFonts w:ascii="宋体"/>
              </w:rPr>
            </w:pPr>
          </w:p>
        </w:tc>
        <w:tc>
          <w:tcPr>
            <w:tcW w:w="0" w:type="auto"/>
            <w:shd w:val="clear" w:color="auto" w:fill="auto"/>
            <w:vAlign w:val="center"/>
          </w:tcPr>
          <w:p w14:paraId="3693EAFB" w14:textId="77777777" w:rsidR="003734EC" w:rsidRDefault="003734EC">
            <w:pPr>
              <w:rPr>
                <w:rFonts w:ascii="宋体"/>
              </w:rPr>
            </w:pPr>
          </w:p>
        </w:tc>
        <w:tc>
          <w:tcPr>
            <w:tcW w:w="0" w:type="auto"/>
            <w:shd w:val="clear" w:color="auto" w:fill="auto"/>
            <w:vAlign w:val="center"/>
          </w:tcPr>
          <w:p w14:paraId="3693EAFC" w14:textId="77777777" w:rsidR="003734EC" w:rsidRDefault="003734EC">
            <w:pPr>
              <w:rPr>
                <w:rFonts w:ascii="宋体"/>
              </w:rPr>
            </w:pPr>
          </w:p>
        </w:tc>
        <w:tc>
          <w:tcPr>
            <w:tcW w:w="0" w:type="auto"/>
            <w:shd w:val="clear" w:color="auto" w:fill="auto"/>
            <w:vAlign w:val="center"/>
          </w:tcPr>
          <w:p w14:paraId="3693EAFD" w14:textId="77777777" w:rsidR="003734EC" w:rsidRDefault="003734EC">
            <w:pPr>
              <w:rPr>
                <w:rFonts w:ascii="宋体"/>
              </w:rPr>
            </w:pPr>
          </w:p>
        </w:tc>
        <w:tc>
          <w:tcPr>
            <w:tcW w:w="0" w:type="auto"/>
            <w:shd w:val="clear" w:color="auto" w:fill="auto"/>
            <w:vAlign w:val="center"/>
          </w:tcPr>
          <w:p w14:paraId="3693EAFE" w14:textId="77777777" w:rsidR="003734EC" w:rsidRDefault="003734EC">
            <w:pPr>
              <w:rPr>
                <w:rFonts w:ascii="宋体"/>
              </w:rPr>
            </w:pPr>
          </w:p>
        </w:tc>
        <w:tc>
          <w:tcPr>
            <w:tcW w:w="0" w:type="auto"/>
            <w:shd w:val="clear" w:color="auto" w:fill="auto"/>
            <w:vAlign w:val="center"/>
          </w:tcPr>
          <w:p w14:paraId="3693EAFF" w14:textId="77777777" w:rsidR="003734EC" w:rsidRDefault="003734EC">
            <w:pPr>
              <w:rPr>
                <w:rFonts w:ascii="宋体"/>
              </w:rPr>
            </w:pPr>
          </w:p>
        </w:tc>
        <w:tc>
          <w:tcPr>
            <w:tcW w:w="0" w:type="auto"/>
            <w:shd w:val="clear" w:color="auto" w:fill="auto"/>
            <w:vAlign w:val="center"/>
          </w:tcPr>
          <w:p w14:paraId="3693EB00" w14:textId="77777777" w:rsidR="003734EC" w:rsidRDefault="003734EC">
            <w:pPr>
              <w:rPr>
                <w:rFonts w:ascii="宋体"/>
              </w:rPr>
            </w:pPr>
          </w:p>
        </w:tc>
        <w:tc>
          <w:tcPr>
            <w:tcW w:w="0" w:type="auto"/>
            <w:shd w:val="clear" w:color="auto" w:fill="auto"/>
            <w:vAlign w:val="center"/>
          </w:tcPr>
          <w:p w14:paraId="3693EB01" w14:textId="77777777" w:rsidR="003734EC" w:rsidRDefault="003734EC">
            <w:pPr>
              <w:rPr>
                <w:rFonts w:ascii="宋体"/>
              </w:rPr>
            </w:pPr>
          </w:p>
        </w:tc>
        <w:tc>
          <w:tcPr>
            <w:tcW w:w="0" w:type="auto"/>
            <w:shd w:val="clear" w:color="auto" w:fill="auto"/>
            <w:vAlign w:val="center"/>
          </w:tcPr>
          <w:p w14:paraId="3693EB02" w14:textId="77777777" w:rsidR="003734EC" w:rsidRDefault="003734EC">
            <w:pPr>
              <w:rPr>
                <w:rFonts w:ascii="宋体"/>
              </w:rPr>
            </w:pPr>
          </w:p>
        </w:tc>
        <w:tc>
          <w:tcPr>
            <w:tcW w:w="0" w:type="auto"/>
            <w:shd w:val="clear" w:color="auto" w:fill="auto"/>
            <w:vAlign w:val="center"/>
          </w:tcPr>
          <w:p w14:paraId="3693EB03" w14:textId="77777777" w:rsidR="003734EC" w:rsidRDefault="003734EC">
            <w:pPr>
              <w:rPr>
                <w:rFonts w:ascii="宋体"/>
              </w:rPr>
            </w:pPr>
          </w:p>
        </w:tc>
        <w:tc>
          <w:tcPr>
            <w:tcW w:w="0" w:type="auto"/>
            <w:shd w:val="clear" w:color="auto" w:fill="auto"/>
            <w:vAlign w:val="center"/>
          </w:tcPr>
          <w:p w14:paraId="3693EB04" w14:textId="77777777" w:rsidR="003734EC" w:rsidRDefault="003734EC">
            <w:pPr>
              <w:rPr>
                <w:rFonts w:ascii="宋体"/>
              </w:rPr>
            </w:pPr>
          </w:p>
        </w:tc>
        <w:tc>
          <w:tcPr>
            <w:tcW w:w="0" w:type="auto"/>
            <w:shd w:val="clear" w:color="auto" w:fill="auto"/>
            <w:vAlign w:val="center"/>
          </w:tcPr>
          <w:p w14:paraId="3693EB05" w14:textId="77777777" w:rsidR="003734EC" w:rsidRDefault="003734EC">
            <w:pPr>
              <w:rPr>
                <w:rFonts w:ascii="宋体"/>
              </w:rPr>
            </w:pPr>
          </w:p>
        </w:tc>
        <w:tc>
          <w:tcPr>
            <w:tcW w:w="0" w:type="auto"/>
            <w:shd w:val="clear" w:color="auto" w:fill="auto"/>
            <w:vAlign w:val="center"/>
          </w:tcPr>
          <w:p w14:paraId="3693EB06" w14:textId="77777777" w:rsidR="003734EC" w:rsidRDefault="003734EC">
            <w:pPr>
              <w:rPr>
                <w:rFonts w:ascii="宋体"/>
              </w:rPr>
            </w:pPr>
          </w:p>
        </w:tc>
        <w:tc>
          <w:tcPr>
            <w:tcW w:w="0" w:type="auto"/>
            <w:shd w:val="clear" w:color="auto" w:fill="auto"/>
            <w:vAlign w:val="center"/>
          </w:tcPr>
          <w:p w14:paraId="3693EB07" w14:textId="77777777" w:rsidR="003734EC" w:rsidRDefault="003734EC">
            <w:pPr>
              <w:rPr>
                <w:rFonts w:ascii="宋体"/>
              </w:rPr>
            </w:pPr>
          </w:p>
        </w:tc>
        <w:tc>
          <w:tcPr>
            <w:tcW w:w="0" w:type="auto"/>
            <w:shd w:val="clear" w:color="auto" w:fill="auto"/>
            <w:vAlign w:val="center"/>
          </w:tcPr>
          <w:p w14:paraId="3693EB08" w14:textId="77777777" w:rsidR="003734EC" w:rsidRDefault="003734EC">
            <w:pPr>
              <w:rPr>
                <w:rFonts w:ascii="宋体"/>
              </w:rPr>
            </w:pPr>
          </w:p>
        </w:tc>
        <w:tc>
          <w:tcPr>
            <w:tcW w:w="0" w:type="auto"/>
            <w:shd w:val="clear" w:color="auto" w:fill="auto"/>
            <w:vAlign w:val="center"/>
          </w:tcPr>
          <w:p w14:paraId="3693EB09" w14:textId="77777777" w:rsidR="003734EC" w:rsidRDefault="003734EC">
            <w:pPr>
              <w:rPr>
                <w:rFonts w:ascii="宋体"/>
              </w:rPr>
            </w:pPr>
          </w:p>
        </w:tc>
      </w:tr>
      <w:tr w:rsidR="003734EC" w14:paraId="3693EB2A" w14:textId="77777777">
        <w:tc>
          <w:tcPr>
            <w:tcW w:w="0" w:type="auto"/>
            <w:gridSpan w:val="3"/>
            <w:shd w:val="clear" w:color="auto" w:fill="auto"/>
            <w:tcMar>
              <w:top w:w="40" w:type="dxa"/>
              <w:left w:w="20" w:type="dxa"/>
              <w:bottom w:w="40" w:type="dxa"/>
              <w:right w:w="20" w:type="dxa"/>
            </w:tcMar>
            <w:vAlign w:val="bottom"/>
          </w:tcPr>
          <w:p w14:paraId="3693EB0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93EB0C" w14:textId="77777777" w:rsidR="003734EC" w:rsidRDefault="003734EC">
            <w:pPr>
              <w:jc w:val="center"/>
              <w:rPr>
                <w:rFonts w:ascii="宋体"/>
              </w:rPr>
            </w:pPr>
          </w:p>
        </w:tc>
        <w:tc>
          <w:tcPr>
            <w:tcW w:w="0" w:type="auto"/>
            <w:gridSpan w:val="3"/>
            <w:shd w:val="clear" w:color="auto" w:fill="auto"/>
            <w:vAlign w:val="center"/>
          </w:tcPr>
          <w:p w14:paraId="3693EB0D" w14:textId="77777777" w:rsidR="003734EC" w:rsidRDefault="003734EC">
            <w:pPr>
              <w:rPr>
                <w:rFonts w:ascii="宋体"/>
                <w:vanish/>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B0E"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B0F" w14:textId="77777777" w:rsidR="003734EC" w:rsidRDefault="003734EC">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B10" w14:textId="77777777" w:rsidR="003734EC" w:rsidRDefault="003734EC">
            <w:pPr>
              <w:jc w:val="center"/>
              <w:rPr>
                <w:rFonts w:ascii="宋体"/>
              </w:rPr>
            </w:pPr>
          </w:p>
        </w:tc>
        <w:tc>
          <w:tcPr>
            <w:tcW w:w="0" w:type="auto"/>
            <w:gridSpan w:val="3"/>
            <w:shd w:val="clear" w:color="auto" w:fill="auto"/>
            <w:vAlign w:val="center"/>
          </w:tcPr>
          <w:p w14:paraId="3693EB11" w14:textId="77777777" w:rsidR="003734EC" w:rsidRDefault="003734EC">
            <w:pPr>
              <w:rPr>
                <w:rFonts w:ascii="宋体"/>
                <w:vanish/>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B12" w14:textId="77777777" w:rsidR="003734EC" w:rsidRDefault="003734EC">
            <w:pPr>
              <w:jc w:val="center"/>
              <w:rPr>
                <w:rFonts w:ascii="宋体"/>
              </w:rPr>
            </w:pPr>
          </w:p>
        </w:tc>
        <w:tc>
          <w:tcPr>
            <w:tcW w:w="0" w:type="auto"/>
            <w:gridSpan w:val="3"/>
            <w:shd w:val="clear" w:color="auto" w:fill="auto"/>
            <w:tcMar>
              <w:left w:w="20" w:type="dxa"/>
              <w:right w:w="20" w:type="dxa"/>
            </w:tcMar>
            <w:vAlign w:val="bottom"/>
          </w:tcPr>
          <w:p w14:paraId="3693EB13" w14:textId="77777777" w:rsidR="003734EC" w:rsidRDefault="003734EC">
            <w:pPr>
              <w:rPr>
                <w:rFonts w:ascii="宋体"/>
              </w:rPr>
            </w:pPr>
          </w:p>
        </w:tc>
        <w:tc>
          <w:tcPr>
            <w:tcW w:w="0" w:type="auto"/>
            <w:gridSpan w:val="3"/>
            <w:shd w:val="clear" w:color="auto" w:fill="auto"/>
            <w:vAlign w:val="center"/>
          </w:tcPr>
          <w:p w14:paraId="3693EB14"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B15" w14:textId="77777777" w:rsidR="003734EC" w:rsidRDefault="003734EC">
            <w:pPr>
              <w:rPr>
                <w:rFonts w:ascii="宋体"/>
              </w:rPr>
            </w:pPr>
          </w:p>
        </w:tc>
        <w:tc>
          <w:tcPr>
            <w:tcW w:w="0" w:type="auto"/>
            <w:gridSpan w:val="3"/>
            <w:shd w:val="clear" w:color="auto" w:fill="auto"/>
            <w:vAlign w:val="center"/>
          </w:tcPr>
          <w:p w14:paraId="3693EB16"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B17"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B18" w14:textId="77777777" w:rsidR="003734EC" w:rsidRDefault="000E364E">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left w:w="20" w:type="dxa"/>
              <w:right w:w="20" w:type="dxa"/>
            </w:tcMar>
            <w:vAlign w:val="bottom"/>
          </w:tcPr>
          <w:p w14:paraId="3693EB19"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B1A" w14:textId="77777777" w:rsidR="003734EC" w:rsidRDefault="000E364E">
            <w:pPr>
              <w:jc w:val="center"/>
              <w:textAlignment w:val="bottom"/>
            </w:pPr>
            <w:r>
              <w:rPr>
                <w:rFonts w:ascii="sans-serif" w:eastAsia="sans-serif" w:hAnsi="sans-serif" w:cs="sans-serif"/>
                <w:b/>
                <w:bCs/>
                <w:color w:val="000000"/>
                <w:sz w:val="20"/>
                <w:szCs w:val="20"/>
              </w:rPr>
              <w:t>Marketable Securities</w:t>
            </w:r>
          </w:p>
        </w:tc>
        <w:tc>
          <w:tcPr>
            <w:tcW w:w="0" w:type="auto"/>
            <w:shd w:val="clear" w:color="auto" w:fill="auto"/>
            <w:vAlign w:val="center"/>
          </w:tcPr>
          <w:p w14:paraId="3693EB1B" w14:textId="77777777" w:rsidR="003734EC" w:rsidRDefault="003734EC">
            <w:pPr>
              <w:rPr>
                <w:rFonts w:ascii="宋体"/>
              </w:rPr>
            </w:pPr>
          </w:p>
        </w:tc>
        <w:tc>
          <w:tcPr>
            <w:tcW w:w="0" w:type="auto"/>
            <w:shd w:val="clear" w:color="auto" w:fill="auto"/>
            <w:vAlign w:val="center"/>
          </w:tcPr>
          <w:p w14:paraId="3693EB1C" w14:textId="77777777" w:rsidR="003734EC" w:rsidRDefault="003734EC">
            <w:pPr>
              <w:rPr>
                <w:rFonts w:ascii="宋体"/>
              </w:rPr>
            </w:pPr>
          </w:p>
        </w:tc>
        <w:tc>
          <w:tcPr>
            <w:tcW w:w="0" w:type="auto"/>
            <w:shd w:val="clear" w:color="auto" w:fill="auto"/>
            <w:vAlign w:val="center"/>
          </w:tcPr>
          <w:p w14:paraId="3693EB1D" w14:textId="77777777" w:rsidR="003734EC" w:rsidRDefault="003734EC">
            <w:pPr>
              <w:rPr>
                <w:rFonts w:ascii="宋体"/>
              </w:rPr>
            </w:pPr>
          </w:p>
        </w:tc>
        <w:tc>
          <w:tcPr>
            <w:tcW w:w="0" w:type="auto"/>
            <w:shd w:val="clear" w:color="auto" w:fill="auto"/>
            <w:vAlign w:val="center"/>
          </w:tcPr>
          <w:p w14:paraId="3693EB1E" w14:textId="77777777" w:rsidR="003734EC" w:rsidRDefault="003734EC">
            <w:pPr>
              <w:rPr>
                <w:rFonts w:ascii="宋体"/>
              </w:rPr>
            </w:pPr>
          </w:p>
        </w:tc>
        <w:tc>
          <w:tcPr>
            <w:tcW w:w="0" w:type="auto"/>
            <w:shd w:val="clear" w:color="auto" w:fill="auto"/>
            <w:vAlign w:val="center"/>
          </w:tcPr>
          <w:p w14:paraId="3693EB1F" w14:textId="77777777" w:rsidR="003734EC" w:rsidRDefault="003734EC">
            <w:pPr>
              <w:rPr>
                <w:rFonts w:ascii="宋体"/>
              </w:rPr>
            </w:pPr>
          </w:p>
        </w:tc>
        <w:tc>
          <w:tcPr>
            <w:tcW w:w="0" w:type="auto"/>
            <w:shd w:val="clear" w:color="auto" w:fill="auto"/>
            <w:vAlign w:val="center"/>
          </w:tcPr>
          <w:p w14:paraId="3693EB20" w14:textId="77777777" w:rsidR="003734EC" w:rsidRDefault="003734EC">
            <w:pPr>
              <w:rPr>
                <w:rFonts w:ascii="宋体"/>
              </w:rPr>
            </w:pPr>
          </w:p>
        </w:tc>
        <w:tc>
          <w:tcPr>
            <w:tcW w:w="0" w:type="auto"/>
            <w:shd w:val="clear" w:color="auto" w:fill="auto"/>
            <w:vAlign w:val="center"/>
          </w:tcPr>
          <w:p w14:paraId="3693EB21" w14:textId="77777777" w:rsidR="003734EC" w:rsidRDefault="003734EC">
            <w:pPr>
              <w:rPr>
                <w:rFonts w:ascii="宋体"/>
              </w:rPr>
            </w:pPr>
          </w:p>
        </w:tc>
        <w:tc>
          <w:tcPr>
            <w:tcW w:w="0" w:type="auto"/>
            <w:shd w:val="clear" w:color="auto" w:fill="auto"/>
            <w:vAlign w:val="center"/>
          </w:tcPr>
          <w:p w14:paraId="3693EB22" w14:textId="77777777" w:rsidR="003734EC" w:rsidRDefault="003734EC">
            <w:pPr>
              <w:rPr>
                <w:rFonts w:ascii="宋体"/>
              </w:rPr>
            </w:pPr>
          </w:p>
        </w:tc>
        <w:tc>
          <w:tcPr>
            <w:tcW w:w="0" w:type="auto"/>
            <w:shd w:val="clear" w:color="auto" w:fill="auto"/>
            <w:vAlign w:val="center"/>
          </w:tcPr>
          <w:p w14:paraId="3693EB23" w14:textId="77777777" w:rsidR="003734EC" w:rsidRDefault="003734EC">
            <w:pPr>
              <w:rPr>
                <w:rFonts w:ascii="宋体"/>
              </w:rPr>
            </w:pPr>
          </w:p>
        </w:tc>
        <w:tc>
          <w:tcPr>
            <w:tcW w:w="0" w:type="auto"/>
            <w:shd w:val="clear" w:color="auto" w:fill="auto"/>
            <w:vAlign w:val="center"/>
          </w:tcPr>
          <w:p w14:paraId="3693EB24" w14:textId="77777777" w:rsidR="003734EC" w:rsidRDefault="003734EC">
            <w:pPr>
              <w:rPr>
                <w:rFonts w:ascii="宋体"/>
              </w:rPr>
            </w:pPr>
          </w:p>
        </w:tc>
        <w:tc>
          <w:tcPr>
            <w:tcW w:w="0" w:type="auto"/>
            <w:shd w:val="clear" w:color="auto" w:fill="auto"/>
            <w:vAlign w:val="center"/>
          </w:tcPr>
          <w:p w14:paraId="3693EB25" w14:textId="77777777" w:rsidR="003734EC" w:rsidRDefault="003734EC">
            <w:pPr>
              <w:rPr>
                <w:rFonts w:ascii="宋体"/>
              </w:rPr>
            </w:pPr>
          </w:p>
        </w:tc>
        <w:tc>
          <w:tcPr>
            <w:tcW w:w="0" w:type="auto"/>
            <w:shd w:val="clear" w:color="auto" w:fill="auto"/>
            <w:vAlign w:val="center"/>
          </w:tcPr>
          <w:p w14:paraId="3693EB26" w14:textId="77777777" w:rsidR="003734EC" w:rsidRDefault="003734EC">
            <w:pPr>
              <w:rPr>
                <w:rFonts w:ascii="宋体"/>
              </w:rPr>
            </w:pPr>
          </w:p>
        </w:tc>
        <w:tc>
          <w:tcPr>
            <w:tcW w:w="0" w:type="auto"/>
            <w:shd w:val="clear" w:color="auto" w:fill="auto"/>
            <w:vAlign w:val="center"/>
          </w:tcPr>
          <w:p w14:paraId="3693EB27" w14:textId="77777777" w:rsidR="003734EC" w:rsidRDefault="003734EC">
            <w:pPr>
              <w:rPr>
                <w:rFonts w:ascii="宋体"/>
              </w:rPr>
            </w:pPr>
          </w:p>
        </w:tc>
        <w:tc>
          <w:tcPr>
            <w:tcW w:w="0" w:type="auto"/>
            <w:shd w:val="clear" w:color="auto" w:fill="auto"/>
            <w:vAlign w:val="center"/>
          </w:tcPr>
          <w:p w14:paraId="3693EB28" w14:textId="77777777" w:rsidR="003734EC" w:rsidRDefault="003734EC">
            <w:pPr>
              <w:rPr>
                <w:rFonts w:ascii="宋体"/>
              </w:rPr>
            </w:pPr>
          </w:p>
        </w:tc>
        <w:tc>
          <w:tcPr>
            <w:tcW w:w="0" w:type="auto"/>
            <w:shd w:val="clear" w:color="auto" w:fill="auto"/>
            <w:vAlign w:val="center"/>
          </w:tcPr>
          <w:p w14:paraId="3693EB29" w14:textId="77777777" w:rsidR="003734EC" w:rsidRDefault="003734EC">
            <w:pPr>
              <w:rPr>
                <w:rFonts w:ascii="宋体"/>
              </w:rPr>
            </w:pPr>
          </w:p>
        </w:tc>
      </w:tr>
      <w:tr w:rsidR="003734EC" w14:paraId="3693EB37" w14:textId="77777777">
        <w:tc>
          <w:tcPr>
            <w:tcW w:w="0" w:type="auto"/>
            <w:gridSpan w:val="3"/>
            <w:shd w:val="clear" w:color="auto" w:fill="auto"/>
            <w:tcMar>
              <w:top w:w="40" w:type="dxa"/>
              <w:left w:w="20" w:type="dxa"/>
              <w:bottom w:w="40" w:type="dxa"/>
              <w:right w:w="20" w:type="dxa"/>
            </w:tcMar>
            <w:vAlign w:val="bottom"/>
          </w:tcPr>
          <w:p w14:paraId="3693EB2B" w14:textId="77777777" w:rsidR="003734EC" w:rsidRDefault="000E364E">
            <w:pPr>
              <w:textAlignment w:val="bottom"/>
            </w:pPr>
            <w:r>
              <w:rPr>
                <w:rFonts w:ascii="sans-serif" w:eastAsia="sans-serif" w:hAnsi="sans-serif" w:cs="sans-serif"/>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693EB2C"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B2D" w14:textId="77777777" w:rsidR="003734EC" w:rsidRDefault="003734EC">
            <w:pPr>
              <w:rPr>
                <w:rFonts w:ascii="宋体"/>
                <w:vanish/>
              </w:rPr>
            </w:pPr>
          </w:p>
        </w:tc>
        <w:tc>
          <w:tcPr>
            <w:tcW w:w="0" w:type="auto"/>
            <w:gridSpan w:val="3"/>
            <w:shd w:val="clear" w:color="auto" w:fill="auto"/>
            <w:vAlign w:val="center"/>
          </w:tcPr>
          <w:p w14:paraId="3693EB2E" w14:textId="77777777" w:rsidR="003734EC" w:rsidRDefault="003734EC">
            <w:pPr>
              <w:rPr>
                <w:rFonts w:ascii="宋体"/>
                <w:vanish/>
              </w:rPr>
            </w:pPr>
          </w:p>
        </w:tc>
        <w:tc>
          <w:tcPr>
            <w:tcW w:w="0" w:type="auto"/>
            <w:gridSpan w:val="3"/>
            <w:shd w:val="clear" w:color="auto" w:fill="auto"/>
            <w:vAlign w:val="center"/>
          </w:tcPr>
          <w:p w14:paraId="3693EB2F" w14:textId="77777777" w:rsidR="003734EC" w:rsidRDefault="003734EC">
            <w:pPr>
              <w:rPr>
                <w:rFonts w:ascii="宋体"/>
                <w:vanish/>
              </w:rPr>
            </w:pPr>
          </w:p>
        </w:tc>
        <w:tc>
          <w:tcPr>
            <w:tcW w:w="0" w:type="auto"/>
            <w:gridSpan w:val="3"/>
            <w:shd w:val="clear" w:color="auto" w:fill="auto"/>
            <w:vAlign w:val="center"/>
          </w:tcPr>
          <w:p w14:paraId="3693EB30" w14:textId="77777777" w:rsidR="003734EC" w:rsidRDefault="003734EC">
            <w:pPr>
              <w:rPr>
                <w:rFonts w:ascii="宋体"/>
                <w:vanish/>
              </w:rPr>
            </w:pPr>
          </w:p>
        </w:tc>
        <w:tc>
          <w:tcPr>
            <w:tcW w:w="0" w:type="auto"/>
            <w:gridSpan w:val="3"/>
            <w:shd w:val="clear" w:color="auto" w:fill="auto"/>
            <w:vAlign w:val="center"/>
          </w:tcPr>
          <w:p w14:paraId="3693EB31" w14:textId="77777777" w:rsidR="003734EC" w:rsidRDefault="003734EC">
            <w:pPr>
              <w:rPr>
                <w:rFonts w:ascii="宋体"/>
                <w:vanish/>
              </w:rPr>
            </w:pPr>
          </w:p>
        </w:tc>
        <w:tc>
          <w:tcPr>
            <w:tcW w:w="0" w:type="auto"/>
            <w:gridSpan w:val="3"/>
            <w:shd w:val="clear" w:color="auto" w:fill="auto"/>
            <w:vAlign w:val="center"/>
          </w:tcPr>
          <w:p w14:paraId="3693EB32" w14:textId="77777777" w:rsidR="003734EC" w:rsidRDefault="003734EC">
            <w:pPr>
              <w:rPr>
                <w:rFonts w:ascii="宋体"/>
                <w:vanish/>
              </w:rPr>
            </w:pPr>
          </w:p>
        </w:tc>
        <w:tc>
          <w:tcPr>
            <w:tcW w:w="0" w:type="auto"/>
            <w:gridSpan w:val="3"/>
            <w:shd w:val="clear" w:color="auto" w:fill="auto"/>
            <w:vAlign w:val="center"/>
          </w:tcPr>
          <w:p w14:paraId="3693EB33" w14:textId="77777777" w:rsidR="003734EC" w:rsidRDefault="003734EC">
            <w:pPr>
              <w:rPr>
                <w:rFonts w:ascii="宋体"/>
                <w:vanish/>
              </w:rPr>
            </w:pPr>
          </w:p>
        </w:tc>
        <w:tc>
          <w:tcPr>
            <w:tcW w:w="0" w:type="auto"/>
            <w:gridSpan w:val="3"/>
            <w:shd w:val="clear" w:color="auto" w:fill="auto"/>
            <w:vAlign w:val="center"/>
          </w:tcPr>
          <w:p w14:paraId="3693EB34" w14:textId="77777777" w:rsidR="003734EC" w:rsidRDefault="003734EC">
            <w:pPr>
              <w:rPr>
                <w:rFonts w:ascii="宋体"/>
                <w:vanish/>
              </w:rPr>
            </w:pPr>
          </w:p>
        </w:tc>
        <w:tc>
          <w:tcPr>
            <w:tcW w:w="0" w:type="auto"/>
            <w:gridSpan w:val="2"/>
            <w:shd w:val="clear" w:color="auto" w:fill="auto"/>
            <w:vAlign w:val="center"/>
          </w:tcPr>
          <w:p w14:paraId="3693EB35" w14:textId="77777777" w:rsidR="003734EC" w:rsidRDefault="003734EC">
            <w:pPr>
              <w:rPr>
                <w:rFonts w:ascii="宋体"/>
                <w:vanish/>
              </w:rPr>
            </w:pPr>
          </w:p>
        </w:tc>
        <w:tc>
          <w:tcPr>
            <w:tcW w:w="0" w:type="auto"/>
            <w:shd w:val="clear" w:color="auto" w:fill="auto"/>
            <w:vAlign w:val="center"/>
          </w:tcPr>
          <w:p w14:paraId="3693EB36" w14:textId="77777777" w:rsidR="003734EC" w:rsidRDefault="003734EC">
            <w:pPr>
              <w:rPr>
                <w:rFonts w:ascii="宋体"/>
                <w:vanish/>
              </w:rPr>
            </w:pPr>
          </w:p>
        </w:tc>
      </w:tr>
      <w:tr w:rsidR="000E364E" w14:paraId="3693EB6B" w14:textId="77777777">
        <w:tc>
          <w:tcPr>
            <w:tcW w:w="0" w:type="auto"/>
            <w:gridSpan w:val="3"/>
            <w:shd w:val="clear" w:color="auto" w:fill="E2EFD9"/>
            <w:tcMar>
              <w:top w:w="40" w:type="dxa"/>
              <w:left w:w="20" w:type="dxa"/>
              <w:bottom w:w="40" w:type="dxa"/>
              <w:right w:w="20" w:type="dxa"/>
            </w:tcMar>
            <w:vAlign w:val="bottom"/>
          </w:tcPr>
          <w:p w14:paraId="3693EB38" w14:textId="77777777" w:rsidR="003734EC" w:rsidRDefault="000E364E">
            <w:pPr>
              <w:textAlignment w:val="bottom"/>
            </w:pPr>
            <w:r>
              <w:rPr>
                <w:rFonts w:ascii="sans-serif" w:eastAsia="sans-serif" w:hAnsi="sans-serif" w:cs="sans-serif"/>
                <w:color w:val="000000"/>
                <w:sz w:val="20"/>
                <w:szCs w:val="20"/>
              </w:rPr>
              <w:t>Money market funds</w:t>
            </w:r>
          </w:p>
        </w:tc>
        <w:tc>
          <w:tcPr>
            <w:tcW w:w="0" w:type="auto"/>
            <w:shd w:val="clear" w:color="auto" w:fill="E2EFD9"/>
            <w:tcMar>
              <w:top w:w="40" w:type="dxa"/>
              <w:left w:w="20" w:type="dxa"/>
              <w:bottom w:w="40" w:type="dxa"/>
            </w:tcMar>
            <w:vAlign w:val="bottom"/>
          </w:tcPr>
          <w:p w14:paraId="3693EB3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3A" w14:textId="77777777" w:rsidR="003734EC" w:rsidRDefault="000E364E">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3693EB3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3C"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B3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3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3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40"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B4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4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4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44"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B4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46" w14:textId="77777777" w:rsidR="003734EC" w:rsidRDefault="000E364E">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3693EB4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48"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B4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4A" w14:textId="77777777" w:rsidR="003734EC" w:rsidRDefault="000E364E">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3693EB4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4C" w14:textId="77777777" w:rsidR="003734EC" w:rsidRDefault="003734EC">
            <w:pPr>
              <w:jc w:val="right"/>
              <w:rPr>
                <w:rFonts w:ascii="宋体"/>
              </w:rPr>
            </w:pPr>
          </w:p>
        </w:tc>
        <w:tc>
          <w:tcPr>
            <w:tcW w:w="0" w:type="auto"/>
            <w:shd w:val="clear" w:color="auto" w:fill="E2EFD9"/>
            <w:tcMar>
              <w:top w:w="40" w:type="dxa"/>
              <w:left w:w="20" w:type="dxa"/>
              <w:bottom w:w="40" w:type="dxa"/>
            </w:tcMar>
            <w:vAlign w:val="bottom"/>
          </w:tcPr>
          <w:p w14:paraId="3693EB4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B4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4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B50" w14:textId="77777777" w:rsidR="003734EC" w:rsidRDefault="003734EC">
            <w:pPr>
              <w:rPr>
                <w:rFonts w:ascii="宋体"/>
              </w:rPr>
            </w:pPr>
          </w:p>
        </w:tc>
        <w:tc>
          <w:tcPr>
            <w:tcW w:w="0" w:type="auto"/>
            <w:shd w:val="clear" w:color="auto" w:fill="auto"/>
            <w:vAlign w:val="center"/>
          </w:tcPr>
          <w:p w14:paraId="3693EB51" w14:textId="77777777" w:rsidR="003734EC" w:rsidRDefault="003734EC">
            <w:pPr>
              <w:rPr>
                <w:rFonts w:ascii="宋体"/>
              </w:rPr>
            </w:pPr>
          </w:p>
        </w:tc>
        <w:tc>
          <w:tcPr>
            <w:tcW w:w="0" w:type="auto"/>
            <w:shd w:val="clear" w:color="auto" w:fill="auto"/>
            <w:vAlign w:val="center"/>
          </w:tcPr>
          <w:p w14:paraId="3693EB52" w14:textId="77777777" w:rsidR="003734EC" w:rsidRDefault="003734EC">
            <w:pPr>
              <w:rPr>
                <w:rFonts w:ascii="宋体"/>
              </w:rPr>
            </w:pPr>
          </w:p>
        </w:tc>
        <w:tc>
          <w:tcPr>
            <w:tcW w:w="0" w:type="auto"/>
            <w:shd w:val="clear" w:color="auto" w:fill="auto"/>
            <w:vAlign w:val="center"/>
          </w:tcPr>
          <w:p w14:paraId="3693EB53" w14:textId="77777777" w:rsidR="003734EC" w:rsidRDefault="003734EC">
            <w:pPr>
              <w:rPr>
                <w:rFonts w:ascii="宋体"/>
              </w:rPr>
            </w:pPr>
          </w:p>
        </w:tc>
        <w:tc>
          <w:tcPr>
            <w:tcW w:w="0" w:type="auto"/>
            <w:shd w:val="clear" w:color="auto" w:fill="auto"/>
            <w:vAlign w:val="center"/>
          </w:tcPr>
          <w:p w14:paraId="3693EB54" w14:textId="77777777" w:rsidR="003734EC" w:rsidRDefault="003734EC">
            <w:pPr>
              <w:rPr>
                <w:rFonts w:ascii="宋体"/>
              </w:rPr>
            </w:pPr>
          </w:p>
        </w:tc>
        <w:tc>
          <w:tcPr>
            <w:tcW w:w="0" w:type="auto"/>
            <w:shd w:val="clear" w:color="auto" w:fill="auto"/>
            <w:vAlign w:val="center"/>
          </w:tcPr>
          <w:p w14:paraId="3693EB55" w14:textId="77777777" w:rsidR="003734EC" w:rsidRDefault="003734EC">
            <w:pPr>
              <w:rPr>
                <w:rFonts w:ascii="宋体"/>
              </w:rPr>
            </w:pPr>
          </w:p>
        </w:tc>
        <w:tc>
          <w:tcPr>
            <w:tcW w:w="0" w:type="auto"/>
            <w:shd w:val="clear" w:color="auto" w:fill="auto"/>
            <w:vAlign w:val="center"/>
          </w:tcPr>
          <w:p w14:paraId="3693EB56" w14:textId="77777777" w:rsidR="003734EC" w:rsidRDefault="003734EC">
            <w:pPr>
              <w:rPr>
                <w:rFonts w:ascii="宋体"/>
              </w:rPr>
            </w:pPr>
          </w:p>
        </w:tc>
        <w:tc>
          <w:tcPr>
            <w:tcW w:w="0" w:type="auto"/>
            <w:shd w:val="clear" w:color="auto" w:fill="auto"/>
            <w:vAlign w:val="center"/>
          </w:tcPr>
          <w:p w14:paraId="3693EB57" w14:textId="77777777" w:rsidR="003734EC" w:rsidRDefault="003734EC">
            <w:pPr>
              <w:rPr>
                <w:rFonts w:ascii="宋体"/>
              </w:rPr>
            </w:pPr>
          </w:p>
        </w:tc>
        <w:tc>
          <w:tcPr>
            <w:tcW w:w="0" w:type="auto"/>
            <w:shd w:val="clear" w:color="auto" w:fill="auto"/>
            <w:vAlign w:val="center"/>
          </w:tcPr>
          <w:p w14:paraId="3693EB58" w14:textId="77777777" w:rsidR="003734EC" w:rsidRDefault="003734EC">
            <w:pPr>
              <w:rPr>
                <w:rFonts w:ascii="宋体"/>
              </w:rPr>
            </w:pPr>
          </w:p>
        </w:tc>
        <w:tc>
          <w:tcPr>
            <w:tcW w:w="0" w:type="auto"/>
            <w:shd w:val="clear" w:color="auto" w:fill="auto"/>
            <w:vAlign w:val="center"/>
          </w:tcPr>
          <w:p w14:paraId="3693EB59" w14:textId="77777777" w:rsidR="003734EC" w:rsidRDefault="003734EC">
            <w:pPr>
              <w:rPr>
                <w:rFonts w:ascii="宋体"/>
              </w:rPr>
            </w:pPr>
          </w:p>
        </w:tc>
        <w:tc>
          <w:tcPr>
            <w:tcW w:w="0" w:type="auto"/>
            <w:shd w:val="clear" w:color="auto" w:fill="auto"/>
            <w:vAlign w:val="center"/>
          </w:tcPr>
          <w:p w14:paraId="3693EB5A" w14:textId="77777777" w:rsidR="003734EC" w:rsidRDefault="003734EC">
            <w:pPr>
              <w:rPr>
                <w:rFonts w:ascii="宋体"/>
              </w:rPr>
            </w:pPr>
          </w:p>
        </w:tc>
        <w:tc>
          <w:tcPr>
            <w:tcW w:w="0" w:type="auto"/>
            <w:shd w:val="clear" w:color="auto" w:fill="auto"/>
            <w:vAlign w:val="center"/>
          </w:tcPr>
          <w:p w14:paraId="3693EB5B" w14:textId="77777777" w:rsidR="003734EC" w:rsidRDefault="003734EC">
            <w:pPr>
              <w:rPr>
                <w:rFonts w:ascii="宋体"/>
              </w:rPr>
            </w:pPr>
          </w:p>
        </w:tc>
        <w:tc>
          <w:tcPr>
            <w:tcW w:w="0" w:type="auto"/>
            <w:shd w:val="clear" w:color="auto" w:fill="auto"/>
            <w:vAlign w:val="center"/>
          </w:tcPr>
          <w:p w14:paraId="3693EB5C" w14:textId="77777777" w:rsidR="003734EC" w:rsidRDefault="003734EC">
            <w:pPr>
              <w:rPr>
                <w:rFonts w:ascii="宋体"/>
              </w:rPr>
            </w:pPr>
          </w:p>
        </w:tc>
        <w:tc>
          <w:tcPr>
            <w:tcW w:w="0" w:type="auto"/>
            <w:shd w:val="clear" w:color="auto" w:fill="auto"/>
            <w:vAlign w:val="center"/>
          </w:tcPr>
          <w:p w14:paraId="3693EB5D" w14:textId="77777777" w:rsidR="003734EC" w:rsidRDefault="003734EC">
            <w:pPr>
              <w:rPr>
                <w:rFonts w:ascii="宋体"/>
              </w:rPr>
            </w:pPr>
          </w:p>
        </w:tc>
        <w:tc>
          <w:tcPr>
            <w:tcW w:w="0" w:type="auto"/>
            <w:shd w:val="clear" w:color="auto" w:fill="auto"/>
            <w:vAlign w:val="center"/>
          </w:tcPr>
          <w:p w14:paraId="3693EB5E" w14:textId="77777777" w:rsidR="003734EC" w:rsidRDefault="003734EC">
            <w:pPr>
              <w:rPr>
                <w:rFonts w:ascii="宋体"/>
              </w:rPr>
            </w:pPr>
          </w:p>
        </w:tc>
        <w:tc>
          <w:tcPr>
            <w:tcW w:w="0" w:type="auto"/>
            <w:shd w:val="clear" w:color="auto" w:fill="auto"/>
            <w:vAlign w:val="center"/>
          </w:tcPr>
          <w:p w14:paraId="3693EB5F" w14:textId="77777777" w:rsidR="003734EC" w:rsidRDefault="003734EC">
            <w:pPr>
              <w:rPr>
                <w:rFonts w:ascii="宋体"/>
              </w:rPr>
            </w:pPr>
          </w:p>
        </w:tc>
        <w:tc>
          <w:tcPr>
            <w:tcW w:w="0" w:type="auto"/>
            <w:shd w:val="clear" w:color="auto" w:fill="auto"/>
            <w:vAlign w:val="center"/>
          </w:tcPr>
          <w:p w14:paraId="3693EB60" w14:textId="77777777" w:rsidR="003734EC" w:rsidRDefault="003734EC">
            <w:pPr>
              <w:rPr>
                <w:rFonts w:ascii="宋体"/>
              </w:rPr>
            </w:pPr>
          </w:p>
        </w:tc>
        <w:tc>
          <w:tcPr>
            <w:tcW w:w="0" w:type="auto"/>
            <w:shd w:val="clear" w:color="auto" w:fill="auto"/>
            <w:vAlign w:val="center"/>
          </w:tcPr>
          <w:p w14:paraId="3693EB61" w14:textId="77777777" w:rsidR="003734EC" w:rsidRDefault="003734EC">
            <w:pPr>
              <w:rPr>
                <w:rFonts w:ascii="宋体"/>
              </w:rPr>
            </w:pPr>
          </w:p>
        </w:tc>
        <w:tc>
          <w:tcPr>
            <w:tcW w:w="0" w:type="auto"/>
            <w:shd w:val="clear" w:color="auto" w:fill="auto"/>
            <w:vAlign w:val="center"/>
          </w:tcPr>
          <w:p w14:paraId="3693EB62" w14:textId="77777777" w:rsidR="003734EC" w:rsidRDefault="003734EC">
            <w:pPr>
              <w:rPr>
                <w:rFonts w:ascii="宋体"/>
              </w:rPr>
            </w:pPr>
          </w:p>
        </w:tc>
        <w:tc>
          <w:tcPr>
            <w:tcW w:w="0" w:type="auto"/>
            <w:shd w:val="clear" w:color="auto" w:fill="auto"/>
            <w:vAlign w:val="center"/>
          </w:tcPr>
          <w:p w14:paraId="3693EB63" w14:textId="77777777" w:rsidR="003734EC" w:rsidRDefault="003734EC">
            <w:pPr>
              <w:rPr>
                <w:rFonts w:ascii="宋体"/>
              </w:rPr>
            </w:pPr>
          </w:p>
        </w:tc>
        <w:tc>
          <w:tcPr>
            <w:tcW w:w="0" w:type="auto"/>
            <w:shd w:val="clear" w:color="auto" w:fill="auto"/>
            <w:vAlign w:val="center"/>
          </w:tcPr>
          <w:p w14:paraId="3693EB64" w14:textId="77777777" w:rsidR="003734EC" w:rsidRDefault="003734EC">
            <w:pPr>
              <w:rPr>
                <w:rFonts w:ascii="宋体"/>
              </w:rPr>
            </w:pPr>
          </w:p>
        </w:tc>
        <w:tc>
          <w:tcPr>
            <w:tcW w:w="0" w:type="auto"/>
            <w:shd w:val="clear" w:color="auto" w:fill="auto"/>
            <w:vAlign w:val="center"/>
          </w:tcPr>
          <w:p w14:paraId="3693EB65" w14:textId="77777777" w:rsidR="003734EC" w:rsidRDefault="003734EC">
            <w:pPr>
              <w:rPr>
                <w:rFonts w:ascii="宋体"/>
              </w:rPr>
            </w:pPr>
          </w:p>
        </w:tc>
        <w:tc>
          <w:tcPr>
            <w:tcW w:w="0" w:type="auto"/>
            <w:shd w:val="clear" w:color="auto" w:fill="auto"/>
            <w:vAlign w:val="center"/>
          </w:tcPr>
          <w:p w14:paraId="3693EB66" w14:textId="77777777" w:rsidR="003734EC" w:rsidRDefault="003734EC">
            <w:pPr>
              <w:rPr>
                <w:rFonts w:ascii="宋体"/>
              </w:rPr>
            </w:pPr>
          </w:p>
        </w:tc>
        <w:tc>
          <w:tcPr>
            <w:tcW w:w="0" w:type="auto"/>
            <w:shd w:val="clear" w:color="auto" w:fill="auto"/>
            <w:vAlign w:val="center"/>
          </w:tcPr>
          <w:p w14:paraId="3693EB67" w14:textId="77777777" w:rsidR="003734EC" w:rsidRDefault="003734EC">
            <w:pPr>
              <w:rPr>
                <w:rFonts w:ascii="宋体"/>
              </w:rPr>
            </w:pPr>
          </w:p>
        </w:tc>
        <w:tc>
          <w:tcPr>
            <w:tcW w:w="0" w:type="auto"/>
            <w:shd w:val="clear" w:color="auto" w:fill="auto"/>
            <w:vAlign w:val="center"/>
          </w:tcPr>
          <w:p w14:paraId="3693EB68" w14:textId="77777777" w:rsidR="003734EC" w:rsidRDefault="003734EC">
            <w:pPr>
              <w:rPr>
                <w:rFonts w:ascii="宋体"/>
              </w:rPr>
            </w:pPr>
          </w:p>
        </w:tc>
        <w:tc>
          <w:tcPr>
            <w:tcW w:w="0" w:type="auto"/>
            <w:shd w:val="clear" w:color="auto" w:fill="auto"/>
            <w:vAlign w:val="center"/>
          </w:tcPr>
          <w:p w14:paraId="3693EB69" w14:textId="77777777" w:rsidR="003734EC" w:rsidRDefault="003734EC">
            <w:pPr>
              <w:rPr>
                <w:rFonts w:ascii="宋体"/>
              </w:rPr>
            </w:pPr>
          </w:p>
        </w:tc>
        <w:tc>
          <w:tcPr>
            <w:tcW w:w="0" w:type="auto"/>
            <w:shd w:val="clear" w:color="auto" w:fill="auto"/>
            <w:vAlign w:val="center"/>
          </w:tcPr>
          <w:p w14:paraId="3693EB6A" w14:textId="77777777" w:rsidR="003734EC" w:rsidRDefault="003734EC">
            <w:pPr>
              <w:rPr>
                <w:rFonts w:ascii="宋体"/>
              </w:rPr>
            </w:pPr>
          </w:p>
        </w:tc>
      </w:tr>
      <w:tr w:rsidR="003734EC" w14:paraId="3693EB99" w14:textId="77777777">
        <w:tc>
          <w:tcPr>
            <w:tcW w:w="0" w:type="auto"/>
            <w:gridSpan w:val="3"/>
            <w:shd w:val="clear" w:color="auto" w:fill="FFFFFF"/>
            <w:tcMar>
              <w:top w:w="40" w:type="dxa"/>
              <w:left w:w="20" w:type="dxa"/>
              <w:bottom w:w="40" w:type="dxa"/>
              <w:right w:w="20" w:type="dxa"/>
            </w:tcMar>
            <w:vAlign w:val="bottom"/>
          </w:tcPr>
          <w:p w14:paraId="3693EB6C" w14:textId="77777777" w:rsidR="003734EC" w:rsidRDefault="000E364E">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FFFFFF"/>
            <w:tcMar>
              <w:top w:w="40" w:type="dxa"/>
              <w:left w:w="20" w:type="dxa"/>
              <w:bottom w:w="40" w:type="dxa"/>
              <w:right w:w="0" w:type="dxa"/>
            </w:tcMar>
            <w:vAlign w:val="bottom"/>
          </w:tcPr>
          <w:p w14:paraId="3693EB6D" w14:textId="77777777" w:rsidR="003734EC" w:rsidRDefault="000E364E">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3693EB6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6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7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7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7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7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7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7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76" w14:textId="77777777" w:rsidR="003734EC" w:rsidRDefault="000E364E">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3693EB7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78"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B79" w14:textId="77777777" w:rsidR="003734EC" w:rsidRDefault="000E364E">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3693EB7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7B"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B7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7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B7E" w14:textId="77777777" w:rsidR="003734EC" w:rsidRDefault="003734EC">
            <w:pPr>
              <w:rPr>
                <w:rFonts w:ascii="宋体"/>
              </w:rPr>
            </w:pPr>
          </w:p>
        </w:tc>
        <w:tc>
          <w:tcPr>
            <w:tcW w:w="0" w:type="auto"/>
            <w:shd w:val="clear" w:color="auto" w:fill="auto"/>
            <w:vAlign w:val="center"/>
          </w:tcPr>
          <w:p w14:paraId="3693EB7F" w14:textId="77777777" w:rsidR="003734EC" w:rsidRDefault="003734EC">
            <w:pPr>
              <w:rPr>
                <w:rFonts w:ascii="宋体"/>
              </w:rPr>
            </w:pPr>
          </w:p>
        </w:tc>
        <w:tc>
          <w:tcPr>
            <w:tcW w:w="0" w:type="auto"/>
            <w:shd w:val="clear" w:color="auto" w:fill="auto"/>
            <w:vAlign w:val="center"/>
          </w:tcPr>
          <w:p w14:paraId="3693EB80" w14:textId="77777777" w:rsidR="003734EC" w:rsidRDefault="003734EC">
            <w:pPr>
              <w:rPr>
                <w:rFonts w:ascii="宋体"/>
              </w:rPr>
            </w:pPr>
          </w:p>
        </w:tc>
        <w:tc>
          <w:tcPr>
            <w:tcW w:w="0" w:type="auto"/>
            <w:shd w:val="clear" w:color="auto" w:fill="auto"/>
            <w:vAlign w:val="center"/>
          </w:tcPr>
          <w:p w14:paraId="3693EB81" w14:textId="77777777" w:rsidR="003734EC" w:rsidRDefault="003734EC">
            <w:pPr>
              <w:rPr>
                <w:rFonts w:ascii="宋体"/>
              </w:rPr>
            </w:pPr>
          </w:p>
        </w:tc>
        <w:tc>
          <w:tcPr>
            <w:tcW w:w="0" w:type="auto"/>
            <w:shd w:val="clear" w:color="auto" w:fill="auto"/>
            <w:vAlign w:val="center"/>
          </w:tcPr>
          <w:p w14:paraId="3693EB82" w14:textId="77777777" w:rsidR="003734EC" w:rsidRDefault="003734EC">
            <w:pPr>
              <w:rPr>
                <w:rFonts w:ascii="宋体"/>
              </w:rPr>
            </w:pPr>
          </w:p>
        </w:tc>
        <w:tc>
          <w:tcPr>
            <w:tcW w:w="0" w:type="auto"/>
            <w:shd w:val="clear" w:color="auto" w:fill="auto"/>
            <w:vAlign w:val="center"/>
          </w:tcPr>
          <w:p w14:paraId="3693EB83" w14:textId="77777777" w:rsidR="003734EC" w:rsidRDefault="003734EC">
            <w:pPr>
              <w:rPr>
                <w:rFonts w:ascii="宋体"/>
              </w:rPr>
            </w:pPr>
          </w:p>
        </w:tc>
        <w:tc>
          <w:tcPr>
            <w:tcW w:w="0" w:type="auto"/>
            <w:shd w:val="clear" w:color="auto" w:fill="auto"/>
            <w:vAlign w:val="center"/>
          </w:tcPr>
          <w:p w14:paraId="3693EB84" w14:textId="77777777" w:rsidR="003734EC" w:rsidRDefault="003734EC">
            <w:pPr>
              <w:rPr>
                <w:rFonts w:ascii="宋体"/>
              </w:rPr>
            </w:pPr>
          </w:p>
        </w:tc>
        <w:tc>
          <w:tcPr>
            <w:tcW w:w="0" w:type="auto"/>
            <w:shd w:val="clear" w:color="auto" w:fill="auto"/>
            <w:vAlign w:val="center"/>
          </w:tcPr>
          <w:p w14:paraId="3693EB85" w14:textId="77777777" w:rsidR="003734EC" w:rsidRDefault="003734EC">
            <w:pPr>
              <w:rPr>
                <w:rFonts w:ascii="宋体"/>
              </w:rPr>
            </w:pPr>
          </w:p>
        </w:tc>
        <w:tc>
          <w:tcPr>
            <w:tcW w:w="0" w:type="auto"/>
            <w:shd w:val="clear" w:color="auto" w:fill="auto"/>
            <w:vAlign w:val="center"/>
          </w:tcPr>
          <w:p w14:paraId="3693EB86" w14:textId="77777777" w:rsidR="003734EC" w:rsidRDefault="003734EC">
            <w:pPr>
              <w:rPr>
                <w:rFonts w:ascii="宋体"/>
              </w:rPr>
            </w:pPr>
          </w:p>
        </w:tc>
        <w:tc>
          <w:tcPr>
            <w:tcW w:w="0" w:type="auto"/>
            <w:shd w:val="clear" w:color="auto" w:fill="auto"/>
            <w:vAlign w:val="center"/>
          </w:tcPr>
          <w:p w14:paraId="3693EB87" w14:textId="77777777" w:rsidR="003734EC" w:rsidRDefault="003734EC">
            <w:pPr>
              <w:rPr>
                <w:rFonts w:ascii="宋体"/>
              </w:rPr>
            </w:pPr>
          </w:p>
        </w:tc>
        <w:tc>
          <w:tcPr>
            <w:tcW w:w="0" w:type="auto"/>
            <w:shd w:val="clear" w:color="auto" w:fill="auto"/>
            <w:vAlign w:val="center"/>
          </w:tcPr>
          <w:p w14:paraId="3693EB88" w14:textId="77777777" w:rsidR="003734EC" w:rsidRDefault="003734EC">
            <w:pPr>
              <w:rPr>
                <w:rFonts w:ascii="宋体"/>
              </w:rPr>
            </w:pPr>
          </w:p>
        </w:tc>
        <w:tc>
          <w:tcPr>
            <w:tcW w:w="0" w:type="auto"/>
            <w:shd w:val="clear" w:color="auto" w:fill="auto"/>
            <w:vAlign w:val="center"/>
          </w:tcPr>
          <w:p w14:paraId="3693EB89" w14:textId="77777777" w:rsidR="003734EC" w:rsidRDefault="003734EC">
            <w:pPr>
              <w:rPr>
                <w:rFonts w:ascii="宋体"/>
              </w:rPr>
            </w:pPr>
          </w:p>
        </w:tc>
        <w:tc>
          <w:tcPr>
            <w:tcW w:w="0" w:type="auto"/>
            <w:shd w:val="clear" w:color="auto" w:fill="auto"/>
            <w:vAlign w:val="center"/>
          </w:tcPr>
          <w:p w14:paraId="3693EB8A" w14:textId="77777777" w:rsidR="003734EC" w:rsidRDefault="003734EC">
            <w:pPr>
              <w:rPr>
                <w:rFonts w:ascii="宋体"/>
              </w:rPr>
            </w:pPr>
          </w:p>
        </w:tc>
        <w:tc>
          <w:tcPr>
            <w:tcW w:w="0" w:type="auto"/>
            <w:shd w:val="clear" w:color="auto" w:fill="auto"/>
            <w:vAlign w:val="center"/>
          </w:tcPr>
          <w:p w14:paraId="3693EB8B" w14:textId="77777777" w:rsidR="003734EC" w:rsidRDefault="003734EC">
            <w:pPr>
              <w:rPr>
                <w:rFonts w:ascii="宋体"/>
              </w:rPr>
            </w:pPr>
          </w:p>
        </w:tc>
        <w:tc>
          <w:tcPr>
            <w:tcW w:w="0" w:type="auto"/>
            <w:shd w:val="clear" w:color="auto" w:fill="auto"/>
            <w:vAlign w:val="center"/>
          </w:tcPr>
          <w:p w14:paraId="3693EB8C" w14:textId="77777777" w:rsidR="003734EC" w:rsidRDefault="003734EC">
            <w:pPr>
              <w:rPr>
                <w:rFonts w:ascii="宋体"/>
              </w:rPr>
            </w:pPr>
          </w:p>
        </w:tc>
        <w:tc>
          <w:tcPr>
            <w:tcW w:w="0" w:type="auto"/>
            <w:shd w:val="clear" w:color="auto" w:fill="auto"/>
            <w:vAlign w:val="center"/>
          </w:tcPr>
          <w:p w14:paraId="3693EB8D" w14:textId="77777777" w:rsidR="003734EC" w:rsidRDefault="003734EC">
            <w:pPr>
              <w:rPr>
                <w:rFonts w:ascii="宋体"/>
              </w:rPr>
            </w:pPr>
          </w:p>
        </w:tc>
        <w:tc>
          <w:tcPr>
            <w:tcW w:w="0" w:type="auto"/>
            <w:shd w:val="clear" w:color="auto" w:fill="auto"/>
            <w:vAlign w:val="center"/>
          </w:tcPr>
          <w:p w14:paraId="3693EB8E" w14:textId="77777777" w:rsidR="003734EC" w:rsidRDefault="003734EC">
            <w:pPr>
              <w:rPr>
                <w:rFonts w:ascii="宋体"/>
              </w:rPr>
            </w:pPr>
          </w:p>
        </w:tc>
        <w:tc>
          <w:tcPr>
            <w:tcW w:w="0" w:type="auto"/>
            <w:shd w:val="clear" w:color="auto" w:fill="auto"/>
            <w:vAlign w:val="center"/>
          </w:tcPr>
          <w:p w14:paraId="3693EB8F" w14:textId="77777777" w:rsidR="003734EC" w:rsidRDefault="003734EC">
            <w:pPr>
              <w:rPr>
                <w:rFonts w:ascii="宋体"/>
              </w:rPr>
            </w:pPr>
          </w:p>
        </w:tc>
        <w:tc>
          <w:tcPr>
            <w:tcW w:w="0" w:type="auto"/>
            <w:shd w:val="clear" w:color="auto" w:fill="auto"/>
            <w:vAlign w:val="center"/>
          </w:tcPr>
          <w:p w14:paraId="3693EB90" w14:textId="77777777" w:rsidR="003734EC" w:rsidRDefault="003734EC">
            <w:pPr>
              <w:rPr>
                <w:rFonts w:ascii="宋体"/>
              </w:rPr>
            </w:pPr>
          </w:p>
        </w:tc>
        <w:tc>
          <w:tcPr>
            <w:tcW w:w="0" w:type="auto"/>
            <w:shd w:val="clear" w:color="auto" w:fill="auto"/>
            <w:vAlign w:val="center"/>
          </w:tcPr>
          <w:p w14:paraId="3693EB91" w14:textId="77777777" w:rsidR="003734EC" w:rsidRDefault="003734EC">
            <w:pPr>
              <w:rPr>
                <w:rFonts w:ascii="宋体"/>
              </w:rPr>
            </w:pPr>
          </w:p>
        </w:tc>
        <w:tc>
          <w:tcPr>
            <w:tcW w:w="0" w:type="auto"/>
            <w:shd w:val="clear" w:color="auto" w:fill="auto"/>
            <w:vAlign w:val="center"/>
          </w:tcPr>
          <w:p w14:paraId="3693EB92" w14:textId="77777777" w:rsidR="003734EC" w:rsidRDefault="003734EC">
            <w:pPr>
              <w:rPr>
                <w:rFonts w:ascii="宋体"/>
              </w:rPr>
            </w:pPr>
          </w:p>
        </w:tc>
        <w:tc>
          <w:tcPr>
            <w:tcW w:w="0" w:type="auto"/>
            <w:shd w:val="clear" w:color="auto" w:fill="auto"/>
            <w:vAlign w:val="center"/>
          </w:tcPr>
          <w:p w14:paraId="3693EB93" w14:textId="77777777" w:rsidR="003734EC" w:rsidRDefault="003734EC">
            <w:pPr>
              <w:rPr>
                <w:rFonts w:ascii="宋体"/>
              </w:rPr>
            </w:pPr>
          </w:p>
        </w:tc>
        <w:tc>
          <w:tcPr>
            <w:tcW w:w="0" w:type="auto"/>
            <w:shd w:val="clear" w:color="auto" w:fill="auto"/>
            <w:vAlign w:val="center"/>
          </w:tcPr>
          <w:p w14:paraId="3693EB94" w14:textId="77777777" w:rsidR="003734EC" w:rsidRDefault="003734EC">
            <w:pPr>
              <w:rPr>
                <w:rFonts w:ascii="宋体"/>
              </w:rPr>
            </w:pPr>
          </w:p>
        </w:tc>
        <w:tc>
          <w:tcPr>
            <w:tcW w:w="0" w:type="auto"/>
            <w:shd w:val="clear" w:color="auto" w:fill="auto"/>
            <w:vAlign w:val="center"/>
          </w:tcPr>
          <w:p w14:paraId="3693EB95" w14:textId="77777777" w:rsidR="003734EC" w:rsidRDefault="003734EC">
            <w:pPr>
              <w:rPr>
                <w:rFonts w:ascii="宋体"/>
              </w:rPr>
            </w:pPr>
          </w:p>
        </w:tc>
        <w:tc>
          <w:tcPr>
            <w:tcW w:w="0" w:type="auto"/>
            <w:shd w:val="clear" w:color="auto" w:fill="auto"/>
            <w:vAlign w:val="center"/>
          </w:tcPr>
          <w:p w14:paraId="3693EB96" w14:textId="77777777" w:rsidR="003734EC" w:rsidRDefault="003734EC">
            <w:pPr>
              <w:rPr>
                <w:rFonts w:ascii="宋体"/>
              </w:rPr>
            </w:pPr>
          </w:p>
        </w:tc>
        <w:tc>
          <w:tcPr>
            <w:tcW w:w="0" w:type="auto"/>
            <w:shd w:val="clear" w:color="auto" w:fill="auto"/>
            <w:vAlign w:val="center"/>
          </w:tcPr>
          <w:p w14:paraId="3693EB97" w14:textId="77777777" w:rsidR="003734EC" w:rsidRDefault="003734EC">
            <w:pPr>
              <w:rPr>
                <w:rFonts w:ascii="宋体"/>
              </w:rPr>
            </w:pPr>
          </w:p>
        </w:tc>
        <w:tc>
          <w:tcPr>
            <w:tcW w:w="0" w:type="auto"/>
            <w:shd w:val="clear" w:color="auto" w:fill="auto"/>
            <w:vAlign w:val="center"/>
          </w:tcPr>
          <w:p w14:paraId="3693EB98" w14:textId="77777777" w:rsidR="003734EC" w:rsidRDefault="003734EC">
            <w:pPr>
              <w:rPr>
                <w:rFonts w:ascii="宋体"/>
              </w:rPr>
            </w:pPr>
          </w:p>
        </w:tc>
      </w:tr>
      <w:tr w:rsidR="003734EC" w14:paraId="3693EBC7" w14:textId="77777777">
        <w:tc>
          <w:tcPr>
            <w:tcW w:w="0" w:type="auto"/>
            <w:gridSpan w:val="3"/>
            <w:shd w:val="clear" w:color="auto" w:fill="E2EFD9"/>
            <w:tcMar>
              <w:top w:w="40" w:type="dxa"/>
              <w:left w:w="20" w:type="dxa"/>
              <w:bottom w:w="40" w:type="dxa"/>
              <w:right w:w="20" w:type="dxa"/>
            </w:tcMar>
            <w:vAlign w:val="bottom"/>
          </w:tcPr>
          <w:p w14:paraId="3693EB9A" w14:textId="77777777" w:rsidR="003734EC" w:rsidRDefault="000E364E">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3693EB9B" w14:textId="77777777" w:rsidR="003734EC" w:rsidRDefault="000E364E">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3693EB9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9D"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B9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9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A0"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BA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A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A3"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BA4" w14:textId="77777777" w:rsidR="003734EC" w:rsidRDefault="000E364E">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3693EBA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A6"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BA7" w14:textId="77777777" w:rsidR="003734EC" w:rsidRDefault="000E364E">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3693EBA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A9" w14:textId="77777777" w:rsidR="003734EC" w:rsidRDefault="003734EC">
            <w:pPr>
              <w:jc w:val="right"/>
              <w:rPr>
                <w:rFonts w:ascii="宋体"/>
              </w:rPr>
            </w:pPr>
          </w:p>
        </w:tc>
        <w:tc>
          <w:tcPr>
            <w:tcW w:w="0" w:type="auto"/>
            <w:gridSpan w:val="2"/>
            <w:shd w:val="clear" w:color="auto" w:fill="E2EFD9"/>
            <w:tcMar>
              <w:top w:w="40" w:type="dxa"/>
              <w:left w:w="20" w:type="dxa"/>
              <w:bottom w:w="40" w:type="dxa"/>
              <w:right w:w="0" w:type="dxa"/>
            </w:tcMar>
            <w:vAlign w:val="bottom"/>
          </w:tcPr>
          <w:p w14:paraId="3693EBA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BAC" w14:textId="77777777" w:rsidR="003734EC" w:rsidRDefault="003734EC">
            <w:pPr>
              <w:rPr>
                <w:rFonts w:ascii="宋体"/>
              </w:rPr>
            </w:pPr>
          </w:p>
        </w:tc>
        <w:tc>
          <w:tcPr>
            <w:tcW w:w="0" w:type="auto"/>
            <w:shd w:val="clear" w:color="auto" w:fill="auto"/>
            <w:vAlign w:val="center"/>
          </w:tcPr>
          <w:p w14:paraId="3693EBAD" w14:textId="77777777" w:rsidR="003734EC" w:rsidRDefault="003734EC">
            <w:pPr>
              <w:rPr>
                <w:rFonts w:ascii="宋体"/>
              </w:rPr>
            </w:pPr>
          </w:p>
        </w:tc>
        <w:tc>
          <w:tcPr>
            <w:tcW w:w="0" w:type="auto"/>
            <w:shd w:val="clear" w:color="auto" w:fill="auto"/>
            <w:vAlign w:val="center"/>
          </w:tcPr>
          <w:p w14:paraId="3693EBAE" w14:textId="77777777" w:rsidR="003734EC" w:rsidRDefault="003734EC">
            <w:pPr>
              <w:rPr>
                <w:rFonts w:ascii="宋体"/>
              </w:rPr>
            </w:pPr>
          </w:p>
        </w:tc>
        <w:tc>
          <w:tcPr>
            <w:tcW w:w="0" w:type="auto"/>
            <w:shd w:val="clear" w:color="auto" w:fill="auto"/>
            <w:vAlign w:val="center"/>
          </w:tcPr>
          <w:p w14:paraId="3693EBAF" w14:textId="77777777" w:rsidR="003734EC" w:rsidRDefault="003734EC">
            <w:pPr>
              <w:rPr>
                <w:rFonts w:ascii="宋体"/>
              </w:rPr>
            </w:pPr>
          </w:p>
        </w:tc>
        <w:tc>
          <w:tcPr>
            <w:tcW w:w="0" w:type="auto"/>
            <w:shd w:val="clear" w:color="auto" w:fill="auto"/>
            <w:vAlign w:val="center"/>
          </w:tcPr>
          <w:p w14:paraId="3693EBB0" w14:textId="77777777" w:rsidR="003734EC" w:rsidRDefault="003734EC">
            <w:pPr>
              <w:rPr>
                <w:rFonts w:ascii="宋体"/>
              </w:rPr>
            </w:pPr>
          </w:p>
        </w:tc>
        <w:tc>
          <w:tcPr>
            <w:tcW w:w="0" w:type="auto"/>
            <w:shd w:val="clear" w:color="auto" w:fill="auto"/>
            <w:vAlign w:val="center"/>
          </w:tcPr>
          <w:p w14:paraId="3693EBB1" w14:textId="77777777" w:rsidR="003734EC" w:rsidRDefault="003734EC">
            <w:pPr>
              <w:rPr>
                <w:rFonts w:ascii="宋体"/>
              </w:rPr>
            </w:pPr>
          </w:p>
        </w:tc>
        <w:tc>
          <w:tcPr>
            <w:tcW w:w="0" w:type="auto"/>
            <w:shd w:val="clear" w:color="auto" w:fill="auto"/>
            <w:vAlign w:val="center"/>
          </w:tcPr>
          <w:p w14:paraId="3693EBB2" w14:textId="77777777" w:rsidR="003734EC" w:rsidRDefault="003734EC">
            <w:pPr>
              <w:rPr>
                <w:rFonts w:ascii="宋体"/>
              </w:rPr>
            </w:pPr>
          </w:p>
        </w:tc>
        <w:tc>
          <w:tcPr>
            <w:tcW w:w="0" w:type="auto"/>
            <w:shd w:val="clear" w:color="auto" w:fill="auto"/>
            <w:vAlign w:val="center"/>
          </w:tcPr>
          <w:p w14:paraId="3693EBB3" w14:textId="77777777" w:rsidR="003734EC" w:rsidRDefault="003734EC">
            <w:pPr>
              <w:rPr>
                <w:rFonts w:ascii="宋体"/>
              </w:rPr>
            </w:pPr>
          </w:p>
        </w:tc>
        <w:tc>
          <w:tcPr>
            <w:tcW w:w="0" w:type="auto"/>
            <w:shd w:val="clear" w:color="auto" w:fill="auto"/>
            <w:vAlign w:val="center"/>
          </w:tcPr>
          <w:p w14:paraId="3693EBB4" w14:textId="77777777" w:rsidR="003734EC" w:rsidRDefault="003734EC">
            <w:pPr>
              <w:rPr>
                <w:rFonts w:ascii="宋体"/>
              </w:rPr>
            </w:pPr>
          </w:p>
        </w:tc>
        <w:tc>
          <w:tcPr>
            <w:tcW w:w="0" w:type="auto"/>
            <w:shd w:val="clear" w:color="auto" w:fill="auto"/>
            <w:vAlign w:val="center"/>
          </w:tcPr>
          <w:p w14:paraId="3693EBB5" w14:textId="77777777" w:rsidR="003734EC" w:rsidRDefault="003734EC">
            <w:pPr>
              <w:rPr>
                <w:rFonts w:ascii="宋体"/>
              </w:rPr>
            </w:pPr>
          </w:p>
        </w:tc>
        <w:tc>
          <w:tcPr>
            <w:tcW w:w="0" w:type="auto"/>
            <w:shd w:val="clear" w:color="auto" w:fill="auto"/>
            <w:vAlign w:val="center"/>
          </w:tcPr>
          <w:p w14:paraId="3693EBB6" w14:textId="77777777" w:rsidR="003734EC" w:rsidRDefault="003734EC">
            <w:pPr>
              <w:rPr>
                <w:rFonts w:ascii="宋体"/>
              </w:rPr>
            </w:pPr>
          </w:p>
        </w:tc>
        <w:tc>
          <w:tcPr>
            <w:tcW w:w="0" w:type="auto"/>
            <w:shd w:val="clear" w:color="auto" w:fill="auto"/>
            <w:vAlign w:val="center"/>
          </w:tcPr>
          <w:p w14:paraId="3693EBB7" w14:textId="77777777" w:rsidR="003734EC" w:rsidRDefault="003734EC">
            <w:pPr>
              <w:rPr>
                <w:rFonts w:ascii="宋体"/>
              </w:rPr>
            </w:pPr>
          </w:p>
        </w:tc>
        <w:tc>
          <w:tcPr>
            <w:tcW w:w="0" w:type="auto"/>
            <w:shd w:val="clear" w:color="auto" w:fill="auto"/>
            <w:vAlign w:val="center"/>
          </w:tcPr>
          <w:p w14:paraId="3693EBB8" w14:textId="77777777" w:rsidR="003734EC" w:rsidRDefault="003734EC">
            <w:pPr>
              <w:rPr>
                <w:rFonts w:ascii="宋体"/>
              </w:rPr>
            </w:pPr>
          </w:p>
        </w:tc>
        <w:tc>
          <w:tcPr>
            <w:tcW w:w="0" w:type="auto"/>
            <w:shd w:val="clear" w:color="auto" w:fill="auto"/>
            <w:vAlign w:val="center"/>
          </w:tcPr>
          <w:p w14:paraId="3693EBB9" w14:textId="77777777" w:rsidR="003734EC" w:rsidRDefault="003734EC">
            <w:pPr>
              <w:rPr>
                <w:rFonts w:ascii="宋体"/>
              </w:rPr>
            </w:pPr>
          </w:p>
        </w:tc>
        <w:tc>
          <w:tcPr>
            <w:tcW w:w="0" w:type="auto"/>
            <w:shd w:val="clear" w:color="auto" w:fill="auto"/>
            <w:vAlign w:val="center"/>
          </w:tcPr>
          <w:p w14:paraId="3693EBBA" w14:textId="77777777" w:rsidR="003734EC" w:rsidRDefault="003734EC">
            <w:pPr>
              <w:rPr>
                <w:rFonts w:ascii="宋体"/>
              </w:rPr>
            </w:pPr>
          </w:p>
        </w:tc>
        <w:tc>
          <w:tcPr>
            <w:tcW w:w="0" w:type="auto"/>
            <w:shd w:val="clear" w:color="auto" w:fill="auto"/>
            <w:vAlign w:val="center"/>
          </w:tcPr>
          <w:p w14:paraId="3693EBBB" w14:textId="77777777" w:rsidR="003734EC" w:rsidRDefault="003734EC">
            <w:pPr>
              <w:rPr>
                <w:rFonts w:ascii="宋体"/>
              </w:rPr>
            </w:pPr>
          </w:p>
        </w:tc>
        <w:tc>
          <w:tcPr>
            <w:tcW w:w="0" w:type="auto"/>
            <w:shd w:val="clear" w:color="auto" w:fill="auto"/>
            <w:vAlign w:val="center"/>
          </w:tcPr>
          <w:p w14:paraId="3693EBBC" w14:textId="77777777" w:rsidR="003734EC" w:rsidRDefault="003734EC">
            <w:pPr>
              <w:rPr>
                <w:rFonts w:ascii="宋体"/>
              </w:rPr>
            </w:pPr>
          </w:p>
        </w:tc>
        <w:tc>
          <w:tcPr>
            <w:tcW w:w="0" w:type="auto"/>
            <w:shd w:val="clear" w:color="auto" w:fill="auto"/>
            <w:vAlign w:val="center"/>
          </w:tcPr>
          <w:p w14:paraId="3693EBBD" w14:textId="77777777" w:rsidR="003734EC" w:rsidRDefault="003734EC">
            <w:pPr>
              <w:rPr>
                <w:rFonts w:ascii="宋体"/>
              </w:rPr>
            </w:pPr>
          </w:p>
        </w:tc>
        <w:tc>
          <w:tcPr>
            <w:tcW w:w="0" w:type="auto"/>
            <w:shd w:val="clear" w:color="auto" w:fill="auto"/>
            <w:vAlign w:val="center"/>
          </w:tcPr>
          <w:p w14:paraId="3693EBBE" w14:textId="77777777" w:rsidR="003734EC" w:rsidRDefault="003734EC">
            <w:pPr>
              <w:rPr>
                <w:rFonts w:ascii="宋体"/>
              </w:rPr>
            </w:pPr>
          </w:p>
        </w:tc>
        <w:tc>
          <w:tcPr>
            <w:tcW w:w="0" w:type="auto"/>
            <w:shd w:val="clear" w:color="auto" w:fill="auto"/>
            <w:vAlign w:val="center"/>
          </w:tcPr>
          <w:p w14:paraId="3693EBBF" w14:textId="77777777" w:rsidR="003734EC" w:rsidRDefault="003734EC">
            <w:pPr>
              <w:rPr>
                <w:rFonts w:ascii="宋体"/>
              </w:rPr>
            </w:pPr>
          </w:p>
        </w:tc>
        <w:tc>
          <w:tcPr>
            <w:tcW w:w="0" w:type="auto"/>
            <w:shd w:val="clear" w:color="auto" w:fill="auto"/>
            <w:vAlign w:val="center"/>
          </w:tcPr>
          <w:p w14:paraId="3693EBC0" w14:textId="77777777" w:rsidR="003734EC" w:rsidRDefault="003734EC">
            <w:pPr>
              <w:rPr>
                <w:rFonts w:ascii="宋体"/>
              </w:rPr>
            </w:pPr>
          </w:p>
        </w:tc>
        <w:tc>
          <w:tcPr>
            <w:tcW w:w="0" w:type="auto"/>
            <w:shd w:val="clear" w:color="auto" w:fill="auto"/>
            <w:vAlign w:val="center"/>
          </w:tcPr>
          <w:p w14:paraId="3693EBC1" w14:textId="77777777" w:rsidR="003734EC" w:rsidRDefault="003734EC">
            <w:pPr>
              <w:rPr>
                <w:rFonts w:ascii="宋体"/>
              </w:rPr>
            </w:pPr>
          </w:p>
        </w:tc>
        <w:tc>
          <w:tcPr>
            <w:tcW w:w="0" w:type="auto"/>
            <w:shd w:val="clear" w:color="auto" w:fill="auto"/>
            <w:vAlign w:val="center"/>
          </w:tcPr>
          <w:p w14:paraId="3693EBC2" w14:textId="77777777" w:rsidR="003734EC" w:rsidRDefault="003734EC">
            <w:pPr>
              <w:rPr>
                <w:rFonts w:ascii="宋体"/>
              </w:rPr>
            </w:pPr>
          </w:p>
        </w:tc>
        <w:tc>
          <w:tcPr>
            <w:tcW w:w="0" w:type="auto"/>
            <w:shd w:val="clear" w:color="auto" w:fill="auto"/>
            <w:vAlign w:val="center"/>
          </w:tcPr>
          <w:p w14:paraId="3693EBC3" w14:textId="77777777" w:rsidR="003734EC" w:rsidRDefault="003734EC">
            <w:pPr>
              <w:rPr>
                <w:rFonts w:ascii="宋体"/>
              </w:rPr>
            </w:pPr>
          </w:p>
        </w:tc>
        <w:tc>
          <w:tcPr>
            <w:tcW w:w="0" w:type="auto"/>
            <w:shd w:val="clear" w:color="auto" w:fill="auto"/>
            <w:vAlign w:val="center"/>
          </w:tcPr>
          <w:p w14:paraId="3693EBC4" w14:textId="77777777" w:rsidR="003734EC" w:rsidRDefault="003734EC">
            <w:pPr>
              <w:rPr>
                <w:rFonts w:ascii="宋体"/>
              </w:rPr>
            </w:pPr>
          </w:p>
        </w:tc>
        <w:tc>
          <w:tcPr>
            <w:tcW w:w="0" w:type="auto"/>
            <w:shd w:val="clear" w:color="auto" w:fill="auto"/>
            <w:vAlign w:val="center"/>
          </w:tcPr>
          <w:p w14:paraId="3693EBC5" w14:textId="77777777" w:rsidR="003734EC" w:rsidRDefault="003734EC">
            <w:pPr>
              <w:rPr>
                <w:rFonts w:ascii="宋体"/>
              </w:rPr>
            </w:pPr>
          </w:p>
        </w:tc>
        <w:tc>
          <w:tcPr>
            <w:tcW w:w="0" w:type="auto"/>
            <w:shd w:val="clear" w:color="auto" w:fill="auto"/>
            <w:vAlign w:val="center"/>
          </w:tcPr>
          <w:p w14:paraId="3693EBC6" w14:textId="77777777" w:rsidR="003734EC" w:rsidRDefault="003734EC">
            <w:pPr>
              <w:rPr>
                <w:rFonts w:ascii="宋体"/>
              </w:rPr>
            </w:pPr>
          </w:p>
        </w:tc>
      </w:tr>
      <w:tr w:rsidR="003734EC" w14:paraId="3693EBF5" w14:textId="77777777">
        <w:tc>
          <w:tcPr>
            <w:tcW w:w="0" w:type="auto"/>
            <w:gridSpan w:val="3"/>
            <w:shd w:val="clear" w:color="auto" w:fill="FFFFFF"/>
            <w:tcMar>
              <w:top w:w="40" w:type="dxa"/>
              <w:left w:w="20" w:type="dxa"/>
              <w:bottom w:w="40" w:type="dxa"/>
              <w:right w:w="20" w:type="dxa"/>
            </w:tcMar>
            <w:vAlign w:val="bottom"/>
          </w:tcPr>
          <w:p w14:paraId="3693EBC8" w14:textId="77777777" w:rsidR="003734EC" w:rsidRDefault="000E364E">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693EBC9" w14:textId="77777777" w:rsidR="003734EC" w:rsidRDefault="000E364E">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3693EBC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C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C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C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CE"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C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D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D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D2" w14:textId="77777777" w:rsidR="003734EC" w:rsidRDefault="000E364E">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3693EBD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D4"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D5" w14:textId="77777777" w:rsidR="003734EC" w:rsidRDefault="000E364E">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3693EBD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BD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BD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BD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BDA" w14:textId="77777777" w:rsidR="003734EC" w:rsidRDefault="003734EC">
            <w:pPr>
              <w:rPr>
                <w:rFonts w:ascii="宋体"/>
              </w:rPr>
            </w:pPr>
          </w:p>
        </w:tc>
        <w:tc>
          <w:tcPr>
            <w:tcW w:w="0" w:type="auto"/>
            <w:shd w:val="clear" w:color="auto" w:fill="auto"/>
            <w:vAlign w:val="center"/>
          </w:tcPr>
          <w:p w14:paraId="3693EBDB" w14:textId="77777777" w:rsidR="003734EC" w:rsidRDefault="003734EC">
            <w:pPr>
              <w:rPr>
                <w:rFonts w:ascii="宋体"/>
              </w:rPr>
            </w:pPr>
          </w:p>
        </w:tc>
        <w:tc>
          <w:tcPr>
            <w:tcW w:w="0" w:type="auto"/>
            <w:shd w:val="clear" w:color="auto" w:fill="auto"/>
            <w:vAlign w:val="center"/>
          </w:tcPr>
          <w:p w14:paraId="3693EBDC" w14:textId="77777777" w:rsidR="003734EC" w:rsidRDefault="003734EC">
            <w:pPr>
              <w:rPr>
                <w:rFonts w:ascii="宋体"/>
              </w:rPr>
            </w:pPr>
          </w:p>
        </w:tc>
        <w:tc>
          <w:tcPr>
            <w:tcW w:w="0" w:type="auto"/>
            <w:shd w:val="clear" w:color="auto" w:fill="auto"/>
            <w:vAlign w:val="center"/>
          </w:tcPr>
          <w:p w14:paraId="3693EBDD" w14:textId="77777777" w:rsidR="003734EC" w:rsidRDefault="003734EC">
            <w:pPr>
              <w:rPr>
                <w:rFonts w:ascii="宋体"/>
              </w:rPr>
            </w:pPr>
          </w:p>
        </w:tc>
        <w:tc>
          <w:tcPr>
            <w:tcW w:w="0" w:type="auto"/>
            <w:shd w:val="clear" w:color="auto" w:fill="auto"/>
            <w:vAlign w:val="center"/>
          </w:tcPr>
          <w:p w14:paraId="3693EBDE" w14:textId="77777777" w:rsidR="003734EC" w:rsidRDefault="003734EC">
            <w:pPr>
              <w:rPr>
                <w:rFonts w:ascii="宋体"/>
              </w:rPr>
            </w:pPr>
          </w:p>
        </w:tc>
        <w:tc>
          <w:tcPr>
            <w:tcW w:w="0" w:type="auto"/>
            <w:shd w:val="clear" w:color="auto" w:fill="auto"/>
            <w:vAlign w:val="center"/>
          </w:tcPr>
          <w:p w14:paraId="3693EBDF" w14:textId="77777777" w:rsidR="003734EC" w:rsidRDefault="003734EC">
            <w:pPr>
              <w:rPr>
                <w:rFonts w:ascii="宋体"/>
              </w:rPr>
            </w:pPr>
          </w:p>
        </w:tc>
        <w:tc>
          <w:tcPr>
            <w:tcW w:w="0" w:type="auto"/>
            <w:shd w:val="clear" w:color="auto" w:fill="auto"/>
            <w:vAlign w:val="center"/>
          </w:tcPr>
          <w:p w14:paraId="3693EBE0" w14:textId="77777777" w:rsidR="003734EC" w:rsidRDefault="003734EC">
            <w:pPr>
              <w:rPr>
                <w:rFonts w:ascii="宋体"/>
              </w:rPr>
            </w:pPr>
          </w:p>
        </w:tc>
        <w:tc>
          <w:tcPr>
            <w:tcW w:w="0" w:type="auto"/>
            <w:shd w:val="clear" w:color="auto" w:fill="auto"/>
            <w:vAlign w:val="center"/>
          </w:tcPr>
          <w:p w14:paraId="3693EBE1" w14:textId="77777777" w:rsidR="003734EC" w:rsidRDefault="003734EC">
            <w:pPr>
              <w:rPr>
                <w:rFonts w:ascii="宋体"/>
              </w:rPr>
            </w:pPr>
          </w:p>
        </w:tc>
        <w:tc>
          <w:tcPr>
            <w:tcW w:w="0" w:type="auto"/>
            <w:shd w:val="clear" w:color="auto" w:fill="auto"/>
            <w:vAlign w:val="center"/>
          </w:tcPr>
          <w:p w14:paraId="3693EBE2" w14:textId="77777777" w:rsidR="003734EC" w:rsidRDefault="003734EC">
            <w:pPr>
              <w:rPr>
                <w:rFonts w:ascii="宋体"/>
              </w:rPr>
            </w:pPr>
          </w:p>
        </w:tc>
        <w:tc>
          <w:tcPr>
            <w:tcW w:w="0" w:type="auto"/>
            <w:shd w:val="clear" w:color="auto" w:fill="auto"/>
            <w:vAlign w:val="center"/>
          </w:tcPr>
          <w:p w14:paraId="3693EBE3" w14:textId="77777777" w:rsidR="003734EC" w:rsidRDefault="003734EC">
            <w:pPr>
              <w:rPr>
                <w:rFonts w:ascii="宋体"/>
              </w:rPr>
            </w:pPr>
          </w:p>
        </w:tc>
        <w:tc>
          <w:tcPr>
            <w:tcW w:w="0" w:type="auto"/>
            <w:shd w:val="clear" w:color="auto" w:fill="auto"/>
            <w:vAlign w:val="center"/>
          </w:tcPr>
          <w:p w14:paraId="3693EBE4" w14:textId="77777777" w:rsidR="003734EC" w:rsidRDefault="003734EC">
            <w:pPr>
              <w:rPr>
                <w:rFonts w:ascii="宋体"/>
              </w:rPr>
            </w:pPr>
          </w:p>
        </w:tc>
        <w:tc>
          <w:tcPr>
            <w:tcW w:w="0" w:type="auto"/>
            <w:shd w:val="clear" w:color="auto" w:fill="auto"/>
            <w:vAlign w:val="center"/>
          </w:tcPr>
          <w:p w14:paraId="3693EBE5" w14:textId="77777777" w:rsidR="003734EC" w:rsidRDefault="003734EC">
            <w:pPr>
              <w:rPr>
                <w:rFonts w:ascii="宋体"/>
              </w:rPr>
            </w:pPr>
          </w:p>
        </w:tc>
        <w:tc>
          <w:tcPr>
            <w:tcW w:w="0" w:type="auto"/>
            <w:shd w:val="clear" w:color="auto" w:fill="auto"/>
            <w:vAlign w:val="center"/>
          </w:tcPr>
          <w:p w14:paraId="3693EBE6" w14:textId="77777777" w:rsidR="003734EC" w:rsidRDefault="003734EC">
            <w:pPr>
              <w:rPr>
                <w:rFonts w:ascii="宋体"/>
              </w:rPr>
            </w:pPr>
          </w:p>
        </w:tc>
        <w:tc>
          <w:tcPr>
            <w:tcW w:w="0" w:type="auto"/>
            <w:shd w:val="clear" w:color="auto" w:fill="auto"/>
            <w:vAlign w:val="center"/>
          </w:tcPr>
          <w:p w14:paraId="3693EBE7" w14:textId="77777777" w:rsidR="003734EC" w:rsidRDefault="003734EC">
            <w:pPr>
              <w:rPr>
                <w:rFonts w:ascii="宋体"/>
              </w:rPr>
            </w:pPr>
          </w:p>
        </w:tc>
        <w:tc>
          <w:tcPr>
            <w:tcW w:w="0" w:type="auto"/>
            <w:shd w:val="clear" w:color="auto" w:fill="auto"/>
            <w:vAlign w:val="center"/>
          </w:tcPr>
          <w:p w14:paraId="3693EBE8" w14:textId="77777777" w:rsidR="003734EC" w:rsidRDefault="003734EC">
            <w:pPr>
              <w:rPr>
                <w:rFonts w:ascii="宋体"/>
              </w:rPr>
            </w:pPr>
          </w:p>
        </w:tc>
        <w:tc>
          <w:tcPr>
            <w:tcW w:w="0" w:type="auto"/>
            <w:shd w:val="clear" w:color="auto" w:fill="auto"/>
            <w:vAlign w:val="center"/>
          </w:tcPr>
          <w:p w14:paraId="3693EBE9" w14:textId="77777777" w:rsidR="003734EC" w:rsidRDefault="003734EC">
            <w:pPr>
              <w:rPr>
                <w:rFonts w:ascii="宋体"/>
              </w:rPr>
            </w:pPr>
          </w:p>
        </w:tc>
        <w:tc>
          <w:tcPr>
            <w:tcW w:w="0" w:type="auto"/>
            <w:shd w:val="clear" w:color="auto" w:fill="auto"/>
            <w:vAlign w:val="center"/>
          </w:tcPr>
          <w:p w14:paraId="3693EBEA" w14:textId="77777777" w:rsidR="003734EC" w:rsidRDefault="003734EC">
            <w:pPr>
              <w:rPr>
                <w:rFonts w:ascii="宋体"/>
              </w:rPr>
            </w:pPr>
          </w:p>
        </w:tc>
        <w:tc>
          <w:tcPr>
            <w:tcW w:w="0" w:type="auto"/>
            <w:shd w:val="clear" w:color="auto" w:fill="auto"/>
            <w:vAlign w:val="center"/>
          </w:tcPr>
          <w:p w14:paraId="3693EBEB" w14:textId="77777777" w:rsidR="003734EC" w:rsidRDefault="003734EC">
            <w:pPr>
              <w:rPr>
                <w:rFonts w:ascii="宋体"/>
              </w:rPr>
            </w:pPr>
          </w:p>
        </w:tc>
        <w:tc>
          <w:tcPr>
            <w:tcW w:w="0" w:type="auto"/>
            <w:shd w:val="clear" w:color="auto" w:fill="auto"/>
            <w:vAlign w:val="center"/>
          </w:tcPr>
          <w:p w14:paraId="3693EBEC" w14:textId="77777777" w:rsidR="003734EC" w:rsidRDefault="003734EC">
            <w:pPr>
              <w:rPr>
                <w:rFonts w:ascii="宋体"/>
              </w:rPr>
            </w:pPr>
          </w:p>
        </w:tc>
        <w:tc>
          <w:tcPr>
            <w:tcW w:w="0" w:type="auto"/>
            <w:shd w:val="clear" w:color="auto" w:fill="auto"/>
            <w:vAlign w:val="center"/>
          </w:tcPr>
          <w:p w14:paraId="3693EBED" w14:textId="77777777" w:rsidR="003734EC" w:rsidRDefault="003734EC">
            <w:pPr>
              <w:rPr>
                <w:rFonts w:ascii="宋体"/>
              </w:rPr>
            </w:pPr>
          </w:p>
        </w:tc>
        <w:tc>
          <w:tcPr>
            <w:tcW w:w="0" w:type="auto"/>
            <w:shd w:val="clear" w:color="auto" w:fill="auto"/>
            <w:vAlign w:val="center"/>
          </w:tcPr>
          <w:p w14:paraId="3693EBEE" w14:textId="77777777" w:rsidR="003734EC" w:rsidRDefault="003734EC">
            <w:pPr>
              <w:rPr>
                <w:rFonts w:ascii="宋体"/>
              </w:rPr>
            </w:pPr>
          </w:p>
        </w:tc>
        <w:tc>
          <w:tcPr>
            <w:tcW w:w="0" w:type="auto"/>
            <w:shd w:val="clear" w:color="auto" w:fill="auto"/>
            <w:vAlign w:val="center"/>
          </w:tcPr>
          <w:p w14:paraId="3693EBEF" w14:textId="77777777" w:rsidR="003734EC" w:rsidRDefault="003734EC">
            <w:pPr>
              <w:rPr>
                <w:rFonts w:ascii="宋体"/>
              </w:rPr>
            </w:pPr>
          </w:p>
        </w:tc>
        <w:tc>
          <w:tcPr>
            <w:tcW w:w="0" w:type="auto"/>
            <w:shd w:val="clear" w:color="auto" w:fill="auto"/>
            <w:vAlign w:val="center"/>
          </w:tcPr>
          <w:p w14:paraId="3693EBF0" w14:textId="77777777" w:rsidR="003734EC" w:rsidRDefault="003734EC">
            <w:pPr>
              <w:rPr>
                <w:rFonts w:ascii="宋体"/>
              </w:rPr>
            </w:pPr>
          </w:p>
        </w:tc>
        <w:tc>
          <w:tcPr>
            <w:tcW w:w="0" w:type="auto"/>
            <w:shd w:val="clear" w:color="auto" w:fill="auto"/>
            <w:vAlign w:val="center"/>
          </w:tcPr>
          <w:p w14:paraId="3693EBF1" w14:textId="77777777" w:rsidR="003734EC" w:rsidRDefault="003734EC">
            <w:pPr>
              <w:rPr>
                <w:rFonts w:ascii="宋体"/>
              </w:rPr>
            </w:pPr>
          </w:p>
        </w:tc>
        <w:tc>
          <w:tcPr>
            <w:tcW w:w="0" w:type="auto"/>
            <w:shd w:val="clear" w:color="auto" w:fill="auto"/>
            <w:vAlign w:val="center"/>
          </w:tcPr>
          <w:p w14:paraId="3693EBF2" w14:textId="77777777" w:rsidR="003734EC" w:rsidRDefault="003734EC">
            <w:pPr>
              <w:rPr>
                <w:rFonts w:ascii="宋体"/>
              </w:rPr>
            </w:pPr>
          </w:p>
        </w:tc>
        <w:tc>
          <w:tcPr>
            <w:tcW w:w="0" w:type="auto"/>
            <w:shd w:val="clear" w:color="auto" w:fill="auto"/>
            <w:vAlign w:val="center"/>
          </w:tcPr>
          <w:p w14:paraId="3693EBF3" w14:textId="77777777" w:rsidR="003734EC" w:rsidRDefault="003734EC">
            <w:pPr>
              <w:rPr>
                <w:rFonts w:ascii="宋体"/>
              </w:rPr>
            </w:pPr>
          </w:p>
        </w:tc>
        <w:tc>
          <w:tcPr>
            <w:tcW w:w="0" w:type="auto"/>
            <w:shd w:val="clear" w:color="auto" w:fill="auto"/>
            <w:vAlign w:val="center"/>
          </w:tcPr>
          <w:p w14:paraId="3693EBF4" w14:textId="77777777" w:rsidR="003734EC" w:rsidRDefault="003734EC">
            <w:pPr>
              <w:rPr>
                <w:rFonts w:ascii="宋体"/>
              </w:rPr>
            </w:pPr>
          </w:p>
        </w:tc>
      </w:tr>
      <w:tr w:rsidR="003734EC" w14:paraId="3693EC23" w14:textId="77777777">
        <w:tc>
          <w:tcPr>
            <w:tcW w:w="0" w:type="auto"/>
            <w:gridSpan w:val="3"/>
            <w:shd w:val="clear" w:color="auto" w:fill="E2EFD9"/>
            <w:tcMar>
              <w:top w:w="40" w:type="dxa"/>
              <w:left w:w="20" w:type="dxa"/>
              <w:bottom w:w="40" w:type="dxa"/>
              <w:right w:w="20" w:type="dxa"/>
            </w:tcMar>
            <w:vAlign w:val="bottom"/>
          </w:tcPr>
          <w:p w14:paraId="3693EBF6" w14:textId="77777777" w:rsidR="003734EC" w:rsidRDefault="000E364E">
            <w:pPr>
              <w:textAlignment w:val="bottom"/>
            </w:pPr>
            <w:r>
              <w:rPr>
                <w:rFonts w:ascii="sans-serif" w:eastAsia="sans-serif" w:hAnsi="sans-serif" w:cs="sans-serif"/>
                <w:color w:val="000000"/>
                <w:sz w:val="20"/>
                <w:szCs w:val="20"/>
              </w:rPr>
              <w:t>Foreign government bonds</w:t>
            </w:r>
          </w:p>
        </w:tc>
        <w:tc>
          <w:tcPr>
            <w:tcW w:w="0" w:type="auto"/>
            <w:gridSpan w:val="2"/>
            <w:shd w:val="clear" w:color="auto" w:fill="E2EFD9"/>
            <w:tcMar>
              <w:top w:w="40" w:type="dxa"/>
              <w:left w:w="20" w:type="dxa"/>
              <w:bottom w:w="40" w:type="dxa"/>
              <w:right w:w="0" w:type="dxa"/>
            </w:tcMar>
            <w:vAlign w:val="bottom"/>
          </w:tcPr>
          <w:p w14:paraId="3693EBF7" w14:textId="77777777" w:rsidR="003734EC" w:rsidRDefault="000E364E">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3693EBF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F9"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BF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F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F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BF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BF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BFF"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00" w14:textId="77777777" w:rsidR="003734EC" w:rsidRDefault="000E364E">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3693EC0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02"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03" w14:textId="77777777" w:rsidR="003734EC" w:rsidRDefault="000E364E">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3693EC0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0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0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C0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C08" w14:textId="77777777" w:rsidR="003734EC" w:rsidRDefault="003734EC">
            <w:pPr>
              <w:rPr>
                <w:rFonts w:ascii="宋体"/>
              </w:rPr>
            </w:pPr>
          </w:p>
        </w:tc>
        <w:tc>
          <w:tcPr>
            <w:tcW w:w="0" w:type="auto"/>
            <w:shd w:val="clear" w:color="auto" w:fill="auto"/>
            <w:vAlign w:val="center"/>
          </w:tcPr>
          <w:p w14:paraId="3693EC09" w14:textId="77777777" w:rsidR="003734EC" w:rsidRDefault="003734EC">
            <w:pPr>
              <w:rPr>
                <w:rFonts w:ascii="宋体"/>
              </w:rPr>
            </w:pPr>
          </w:p>
        </w:tc>
        <w:tc>
          <w:tcPr>
            <w:tcW w:w="0" w:type="auto"/>
            <w:shd w:val="clear" w:color="auto" w:fill="auto"/>
            <w:vAlign w:val="center"/>
          </w:tcPr>
          <w:p w14:paraId="3693EC0A" w14:textId="77777777" w:rsidR="003734EC" w:rsidRDefault="003734EC">
            <w:pPr>
              <w:rPr>
                <w:rFonts w:ascii="宋体"/>
              </w:rPr>
            </w:pPr>
          </w:p>
        </w:tc>
        <w:tc>
          <w:tcPr>
            <w:tcW w:w="0" w:type="auto"/>
            <w:shd w:val="clear" w:color="auto" w:fill="auto"/>
            <w:vAlign w:val="center"/>
          </w:tcPr>
          <w:p w14:paraId="3693EC0B" w14:textId="77777777" w:rsidR="003734EC" w:rsidRDefault="003734EC">
            <w:pPr>
              <w:rPr>
                <w:rFonts w:ascii="宋体"/>
              </w:rPr>
            </w:pPr>
          </w:p>
        </w:tc>
        <w:tc>
          <w:tcPr>
            <w:tcW w:w="0" w:type="auto"/>
            <w:shd w:val="clear" w:color="auto" w:fill="auto"/>
            <w:vAlign w:val="center"/>
          </w:tcPr>
          <w:p w14:paraId="3693EC0C" w14:textId="77777777" w:rsidR="003734EC" w:rsidRDefault="003734EC">
            <w:pPr>
              <w:rPr>
                <w:rFonts w:ascii="宋体"/>
              </w:rPr>
            </w:pPr>
          </w:p>
        </w:tc>
        <w:tc>
          <w:tcPr>
            <w:tcW w:w="0" w:type="auto"/>
            <w:shd w:val="clear" w:color="auto" w:fill="auto"/>
            <w:vAlign w:val="center"/>
          </w:tcPr>
          <w:p w14:paraId="3693EC0D" w14:textId="77777777" w:rsidR="003734EC" w:rsidRDefault="003734EC">
            <w:pPr>
              <w:rPr>
                <w:rFonts w:ascii="宋体"/>
              </w:rPr>
            </w:pPr>
          </w:p>
        </w:tc>
        <w:tc>
          <w:tcPr>
            <w:tcW w:w="0" w:type="auto"/>
            <w:shd w:val="clear" w:color="auto" w:fill="auto"/>
            <w:vAlign w:val="center"/>
          </w:tcPr>
          <w:p w14:paraId="3693EC0E" w14:textId="77777777" w:rsidR="003734EC" w:rsidRDefault="003734EC">
            <w:pPr>
              <w:rPr>
                <w:rFonts w:ascii="宋体"/>
              </w:rPr>
            </w:pPr>
          </w:p>
        </w:tc>
        <w:tc>
          <w:tcPr>
            <w:tcW w:w="0" w:type="auto"/>
            <w:shd w:val="clear" w:color="auto" w:fill="auto"/>
            <w:vAlign w:val="center"/>
          </w:tcPr>
          <w:p w14:paraId="3693EC0F" w14:textId="77777777" w:rsidR="003734EC" w:rsidRDefault="003734EC">
            <w:pPr>
              <w:rPr>
                <w:rFonts w:ascii="宋体"/>
              </w:rPr>
            </w:pPr>
          </w:p>
        </w:tc>
        <w:tc>
          <w:tcPr>
            <w:tcW w:w="0" w:type="auto"/>
            <w:shd w:val="clear" w:color="auto" w:fill="auto"/>
            <w:vAlign w:val="center"/>
          </w:tcPr>
          <w:p w14:paraId="3693EC10" w14:textId="77777777" w:rsidR="003734EC" w:rsidRDefault="003734EC">
            <w:pPr>
              <w:rPr>
                <w:rFonts w:ascii="宋体"/>
              </w:rPr>
            </w:pPr>
          </w:p>
        </w:tc>
        <w:tc>
          <w:tcPr>
            <w:tcW w:w="0" w:type="auto"/>
            <w:shd w:val="clear" w:color="auto" w:fill="auto"/>
            <w:vAlign w:val="center"/>
          </w:tcPr>
          <w:p w14:paraId="3693EC11" w14:textId="77777777" w:rsidR="003734EC" w:rsidRDefault="003734EC">
            <w:pPr>
              <w:rPr>
                <w:rFonts w:ascii="宋体"/>
              </w:rPr>
            </w:pPr>
          </w:p>
        </w:tc>
        <w:tc>
          <w:tcPr>
            <w:tcW w:w="0" w:type="auto"/>
            <w:shd w:val="clear" w:color="auto" w:fill="auto"/>
            <w:vAlign w:val="center"/>
          </w:tcPr>
          <w:p w14:paraId="3693EC12" w14:textId="77777777" w:rsidR="003734EC" w:rsidRDefault="003734EC">
            <w:pPr>
              <w:rPr>
                <w:rFonts w:ascii="宋体"/>
              </w:rPr>
            </w:pPr>
          </w:p>
        </w:tc>
        <w:tc>
          <w:tcPr>
            <w:tcW w:w="0" w:type="auto"/>
            <w:shd w:val="clear" w:color="auto" w:fill="auto"/>
            <w:vAlign w:val="center"/>
          </w:tcPr>
          <w:p w14:paraId="3693EC13" w14:textId="77777777" w:rsidR="003734EC" w:rsidRDefault="003734EC">
            <w:pPr>
              <w:rPr>
                <w:rFonts w:ascii="宋体"/>
              </w:rPr>
            </w:pPr>
          </w:p>
        </w:tc>
        <w:tc>
          <w:tcPr>
            <w:tcW w:w="0" w:type="auto"/>
            <w:shd w:val="clear" w:color="auto" w:fill="auto"/>
            <w:vAlign w:val="center"/>
          </w:tcPr>
          <w:p w14:paraId="3693EC14" w14:textId="77777777" w:rsidR="003734EC" w:rsidRDefault="003734EC">
            <w:pPr>
              <w:rPr>
                <w:rFonts w:ascii="宋体"/>
              </w:rPr>
            </w:pPr>
          </w:p>
        </w:tc>
        <w:tc>
          <w:tcPr>
            <w:tcW w:w="0" w:type="auto"/>
            <w:shd w:val="clear" w:color="auto" w:fill="auto"/>
            <w:vAlign w:val="center"/>
          </w:tcPr>
          <w:p w14:paraId="3693EC15" w14:textId="77777777" w:rsidR="003734EC" w:rsidRDefault="003734EC">
            <w:pPr>
              <w:rPr>
                <w:rFonts w:ascii="宋体"/>
              </w:rPr>
            </w:pPr>
          </w:p>
        </w:tc>
        <w:tc>
          <w:tcPr>
            <w:tcW w:w="0" w:type="auto"/>
            <w:shd w:val="clear" w:color="auto" w:fill="auto"/>
            <w:vAlign w:val="center"/>
          </w:tcPr>
          <w:p w14:paraId="3693EC16" w14:textId="77777777" w:rsidR="003734EC" w:rsidRDefault="003734EC">
            <w:pPr>
              <w:rPr>
                <w:rFonts w:ascii="宋体"/>
              </w:rPr>
            </w:pPr>
          </w:p>
        </w:tc>
        <w:tc>
          <w:tcPr>
            <w:tcW w:w="0" w:type="auto"/>
            <w:shd w:val="clear" w:color="auto" w:fill="auto"/>
            <w:vAlign w:val="center"/>
          </w:tcPr>
          <w:p w14:paraId="3693EC17" w14:textId="77777777" w:rsidR="003734EC" w:rsidRDefault="003734EC">
            <w:pPr>
              <w:rPr>
                <w:rFonts w:ascii="宋体"/>
              </w:rPr>
            </w:pPr>
          </w:p>
        </w:tc>
        <w:tc>
          <w:tcPr>
            <w:tcW w:w="0" w:type="auto"/>
            <w:shd w:val="clear" w:color="auto" w:fill="auto"/>
            <w:vAlign w:val="center"/>
          </w:tcPr>
          <w:p w14:paraId="3693EC18" w14:textId="77777777" w:rsidR="003734EC" w:rsidRDefault="003734EC">
            <w:pPr>
              <w:rPr>
                <w:rFonts w:ascii="宋体"/>
              </w:rPr>
            </w:pPr>
          </w:p>
        </w:tc>
        <w:tc>
          <w:tcPr>
            <w:tcW w:w="0" w:type="auto"/>
            <w:shd w:val="clear" w:color="auto" w:fill="auto"/>
            <w:vAlign w:val="center"/>
          </w:tcPr>
          <w:p w14:paraId="3693EC19" w14:textId="77777777" w:rsidR="003734EC" w:rsidRDefault="003734EC">
            <w:pPr>
              <w:rPr>
                <w:rFonts w:ascii="宋体"/>
              </w:rPr>
            </w:pPr>
          </w:p>
        </w:tc>
        <w:tc>
          <w:tcPr>
            <w:tcW w:w="0" w:type="auto"/>
            <w:shd w:val="clear" w:color="auto" w:fill="auto"/>
            <w:vAlign w:val="center"/>
          </w:tcPr>
          <w:p w14:paraId="3693EC1A" w14:textId="77777777" w:rsidR="003734EC" w:rsidRDefault="003734EC">
            <w:pPr>
              <w:rPr>
                <w:rFonts w:ascii="宋体"/>
              </w:rPr>
            </w:pPr>
          </w:p>
        </w:tc>
        <w:tc>
          <w:tcPr>
            <w:tcW w:w="0" w:type="auto"/>
            <w:shd w:val="clear" w:color="auto" w:fill="auto"/>
            <w:vAlign w:val="center"/>
          </w:tcPr>
          <w:p w14:paraId="3693EC1B" w14:textId="77777777" w:rsidR="003734EC" w:rsidRDefault="003734EC">
            <w:pPr>
              <w:rPr>
                <w:rFonts w:ascii="宋体"/>
              </w:rPr>
            </w:pPr>
          </w:p>
        </w:tc>
        <w:tc>
          <w:tcPr>
            <w:tcW w:w="0" w:type="auto"/>
            <w:shd w:val="clear" w:color="auto" w:fill="auto"/>
            <w:vAlign w:val="center"/>
          </w:tcPr>
          <w:p w14:paraId="3693EC1C" w14:textId="77777777" w:rsidR="003734EC" w:rsidRDefault="003734EC">
            <w:pPr>
              <w:rPr>
                <w:rFonts w:ascii="宋体"/>
              </w:rPr>
            </w:pPr>
          </w:p>
        </w:tc>
        <w:tc>
          <w:tcPr>
            <w:tcW w:w="0" w:type="auto"/>
            <w:shd w:val="clear" w:color="auto" w:fill="auto"/>
            <w:vAlign w:val="center"/>
          </w:tcPr>
          <w:p w14:paraId="3693EC1D" w14:textId="77777777" w:rsidR="003734EC" w:rsidRDefault="003734EC">
            <w:pPr>
              <w:rPr>
                <w:rFonts w:ascii="宋体"/>
              </w:rPr>
            </w:pPr>
          </w:p>
        </w:tc>
        <w:tc>
          <w:tcPr>
            <w:tcW w:w="0" w:type="auto"/>
            <w:shd w:val="clear" w:color="auto" w:fill="auto"/>
            <w:vAlign w:val="center"/>
          </w:tcPr>
          <w:p w14:paraId="3693EC1E" w14:textId="77777777" w:rsidR="003734EC" w:rsidRDefault="003734EC">
            <w:pPr>
              <w:rPr>
                <w:rFonts w:ascii="宋体"/>
              </w:rPr>
            </w:pPr>
          </w:p>
        </w:tc>
        <w:tc>
          <w:tcPr>
            <w:tcW w:w="0" w:type="auto"/>
            <w:shd w:val="clear" w:color="auto" w:fill="auto"/>
            <w:vAlign w:val="center"/>
          </w:tcPr>
          <w:p w14:paraId="3693EC1F" w14:textId="77777777" w:rsidR="003734EC" w:rsidRDefault="003734EC">
            <w:pPr>
              <w:rPr>
                <w:rFonts w:ascii="宋体"/>
              </w:rPr>
            </w:pPr>
          </w:p>
        </w:tc>
        <w:tc>
          <w:tcPr>
            <w:tcW w:w="0" w:type="auto"/>
            <w:shd w:val="clear" w:color="auto" w:fill="auto"/>
            <w:vAlign w:val="center"/>
          </w:tcPr>
          <w:p w14:paraId="3693EC20" w14:textId="77777777" w:rsidR="003734EC" w:rsidRDefault="003734EC">
            <w:pPr>
              <w:rPr>
                <w:rFonts w:ascii="宋体"/>
              </w:rPr>
            </w:pPr>
          </w:p>
        </w:tc>
        <w:tc>
          <w:tcPr>
            <w:tcW w:w="0" w:type="auto"/>
            <w:shd w:val="clear" w:color="auto" w:fill="auto"/>
            <w:vAlign w:val="center"/>
          </w:tcPr>
          <w:p w14:paraId="3693EC21" w14:textId="77777777" w:rsidR="003734EC" w:rsidRDefault="003734EC">
            <w:pPr>
              <w:rPr>
                <w:rFonts w:ascii="宋体"/>
              </w:rPr>
            </w:pPr>
          </w:p>
        </w:tc>
        <w:tc>
          <w:tcPr>
            <w:tcW w:w="0" w:type="auto"/>
            <w:shd w:val="clear" w:color="auto" w:fill="auto"/>
            <w:vAlign w:val="center"/>
          </w:tcPr>
          <w:p w14:paraId="3693EC22" w14:textId="77777777" w:rsidR="003734EC" w:rsidRDefault="003734EC">
            <w:pPr>
              <w:rPr>
                <w:rFonts w:ascii="宋体"/>
              </w:rPr>
            </w:pPr>
          </w:p>
        </w:tc>
      </w:tr>
      <w:tr w:rsidR="003734EC" w14:paraId="3693EC51" w14:textId="77777777">
        <w:tc>
          <w:tcPr>
            <w:tcW w:w="0" w:type="auto"/>
            <w:gridSpan w:val="3"/>
            <w:shd w:val="clear" w:color="auto" w:fill="FFFFFF"/>
            <w:tcMar>
              <w:top w:w="40" w:type="dxa"/>
              <w:left w:w="20" w:type="dxa"/>
              <w:bottom w:w="40" w:type="dxa"/>
              <w:right w:w="20" w:type="dxa"/>
            </w:tcMar>
            <w:vAlign w:val="bottom"/>
          </w:tcPr>
          <w:p w14:paraId="3693EC24" w14:textId="77777777" w:rsidR="003734EC" w:rsidRDefault="000E364E">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3693EC25" w14:textId="77777777" w:rsidR="003734EC" w:rsidRDefault="000E364E">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3693EC2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2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C2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C2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2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C2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C2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2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C2E" w14:textId="77777777" w:rsidR="003734EC" w:rsidRDefault="000E364E">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3693EC2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30" w14:textId="77777777" w:rsidR="003734EC" w:rsidRDefault="003734EC">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93EC31" w14:textId="77777777" w:rsidR="003734EC" w:rsidRDefault="000E364E">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3693EC3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33" w14:textId="77777777" w:rsidR="003734EC" w:rsidRDefault="003734EC">
            <w:pPr>
              <w:jc w:val="right"/>
              <w:rPr>
                <w:rFonts w:ascii="宋体"/>
              </w:rPr>
            </w:pPr>
          </w:p>
        </w:tc>
        <w:tc>
          <w:tcPr>
            <w:tcW w:w="0" w:type="auto"/>
            <w:gridSpan w:val="2"/>
            <w:shd w:val="clear" w:color="auto" w:fill="FFFFFF"/>
            <w:tcMar>
              <w:left w:w="20" w:type="dxa"/>
              <w:right w:w="0" w:type="dxa"/>
            </w:tcMar>
            <w:vAlign w:val="bottom"/>
          </w:tcPr>
          <w:p w14:paraId="3693EC34" w14:textId="77777777" w:rsidR="003734EC" w:rsidRDefault="003734EC">
            <w:pPr>
              <w:jc w:val="right"/>
              <w:rPr>
                <w:rFonts w:ascii="宋体"/>
              </w:rPr>
            </w:pPr>
          </w:p>
        </w:tc>
        <w:tc>
          <w:tcPr>
            <w:tcW w:w="0" w:type="auto"/>
            <w:shd w:val="clear" w:color="auto" w:fill="FFFFFF"/>
            <w:tcMar>
              <w:right w:w="20" w:type="dxa"/>
            </w:tcMar>
            <w:vAlign w:val="bottom"/>
          </w:tcPr>
          <w:p w14:paraId="3693EC35" w14:textId="77777777" w:rsidR="003734EC" w:rsidRDefault="003734EC">
            <w:pPr>
              <w:jc w:val="right"/>
              <w:rPr>
                <w:rFonts w:ascii="宋体"/>
              </w:rPr>
            </w:pPr>
          </w:p>
        </w:tc>
        <w:tc>
          <w:tcPr>
            <w:tcW w:w="0" w:type="auto"/>
            <w:shd w:val="clear" w:color="auto" w:fill="auto"/>
            <w:vAlign w:val="center"/>
          </w:tcPr>
          <w:p w14:paraId="3693EC36" w14:textId="77777777" w:rsidR="003734EC" w:rsidRDefault="003734EC">
            <w:pPr>
              <w:rPr>
                <w:rFonts w:ascii="宋体"/>
              </w:rPr>
            </w:pPr>
          </w:p>
        </w:tc>
        <w:tc>
          <w:tcPr>
            <w:tcW w:w="0" w:type="auto"/>
            <w:shd w:val="clear" w:color="auto" w:fill="auto"/>
            <w:vAlign w:val="center"/>
          </w:tcPr>
          <w:p w14:paraId="3693EC37" w14:textId="77777777" w:rsidR="003734EC" w:rsidRDefault="003734EC">
            <w:pPr>
              <w:rPr>
                <w:rFonts w:ascii="宋体"/>
              </w:rPr>
            </w:pPr>
          </w:p>
        </w:tc>
        <w:tc>
          <w:tcPr>
            <w:tcW w:w="0" w:type="auto"/>
            <w:shd w:val="clear" w:color="auto" w:fill="auto"/>
            <w:vAlign w:val="center"/>
          </w:tcPr>
          <w:p w14:paraId="3693EC38" w14:textId="77777777" w:rsidR="003734EC" w:rsidRDefault="003734EC">
            <w:pPr>
              <w:rPr>
                <w:rFonts w:ascii="宋体"/>
              </w:rPr>
            </w:pPr>
          </w:p>
        </w:tc>
        <w:tc>
          <w:tcPr>
            <w:tcW w:w="0" w:type="auto"/>
            <w:shd w:val="clear" w:color="auto" w:fill="auto"/>
            <w:vAlign w:val="center"/>
          </w:tcPr>
          <w:p w14:paraId="3693EC39" w14:textId="77777777" w:rsidR="003734EC" w:rsidRDefault="003734EC">
            <w:pPr>
              <w:rPr>
                <w:rFonts w:ascii="宋体"/>
              </w:rPr>
            </w:pPr>
          </w:p>
        </w:tc>
        <w:tc>
          <w:tcPr>
            <w:tcW w:w="0" w:type="auto"/>
            <w:shd w:val="clear" w:color="auto" w:fill="auto"/>
            <w:vAlign w:val="center"/>
          </w:tcPr>
          <w:p w14:paraId="3693EC3A" w14:textId="77777777" w:rsidR="003734EC" w:rsidRDefault="003734EC">
            <w:pPr>
              <w:rPr>
                <w:rFonts w:ascii="宋体"/>
              </w:rPr>
            </w:pPr>
          </w:p>
        </w:tc>
        <w:tc>
          <w:tcPr>
            <w:tcW w:w="0" w:type="auto"/>
            <w:shd w:val="clear" w:color="auto" w:fill="auto"/>
            <w:vAlign w:val="center"/>
          </w:tcPr>
          <w:p w14:paraId="3693EC3B" w14:textId="77777777" w:rsidR="003734EC" w:rsidRDefault="003734EC">
            <w:pPr>
              <w:rPr>
                <w:rFonts w:ascii="宋体"/>
              </w:rPr>
            </w:pPr>
          </w:p>
        </w:tc>
        <w:tc>
          <w:tcPr>
            <w:tcW w:w="0" w:type="auto"/>
            <w:shd w:val="clear" w:color="auto" w:fill="auto"/>
            <w:vAlign w:val="center"/>
          </w:tcPr>
          <w:p w14:paraId="3693EC3C" w14:textId="77777777" w:rsidR="003734EC" w:rsidRDefault="003734EC">
            <w:pPr>
              <w:rPr>
                <w:rFonts w:ascii="宋体"/>
              </w:rPr>
            </w:pPr>
          </w:p>
        </w:tc>
        <w:tc>
          <w:tcPr>
            <w:tcW w:w="0" w:type="auto"/>
            <w:shd w:val="clear" w:color="auto" w:fill="auto"/>
            <w:vAlign w:val="center"/>
          </w:tcPr>
          <w:p w14:paraId="3693EC3D" w14:textId="77777777" w:rsidR="003734EC" w:rsidRDefault="003734EC">
            <w:pPr>
              <w:rPr>
                <w:rFonts w:ascii="宋体"/>
              </w:rPr>
            </w:pPr>
          </w:p>
        </w:tc>
        <w:tc>
          <w:tcPr>
            <w:tcW w:w="0" w:type="auto"/>
            <w:shd w:val="clear" w:color="auto" w:fill="auto"/>
            <w:vAlign w:val="center"/>
          </w:tcPr>
          <w:p w14:paraId="3693EC3E" w14:textId="77777777" w:rsidR="003734EC" w:rsidRDefault="003734EC">
            <w:pPr>
              <w:rPr>
                <w:rFonts w:ascii="宋体"/>
              </w:rPr>
            </w:pPr>
          </w:p>
        </w:tc>
        <w:tc>
          <w:tcPr>
            <w:tcW w:w="0" w:type="auto"/>
            <w:shd w:val="clear" w:color="auto" w:fill="auto"/>
            <w:vAlign w:val="center"/>
          </w:tcPr>
          <w:p w14:paraId="3693EC3F" w14:textId="77777777" w:rsidR="003734EC" w:rsidRDefault="003734EC">
            <w:pPr>
              <w:rPr>
                <w:rFonts w:ascii="宋体"/>
              </w:rPr>
            </w:pPr>
          </w:p>
        </w:tc>
        <w:tc>
          <w:tcPr>
            <w:tcW w:w="0" w:type="auto"/>
            <w:shd w:val="clear" w:color="auto" w:fill="auto"/>
            <w:vAlign w:val="center"/>
          </w:tcPr>
          <w:p w14:paraId="3693EC40" w14:textId="77777777" w:rsidR="003734EC" w:rsidRDefault="003734EC">
            <w:pPr>
              <w:rPr>
                <w:rFonts w:ascii="宋体"/>
              </w:rPr>
            </w:pPr>
          </w:p>
        </w:tc>
        <w:tc>
          <w:tcPr>
            <w:tcW w:w="0" w:type="auto"/>
            <w:shd w:val="clear" w:color="auto" w:fill="auto"/>
            <w:vAlign w:val="center"/>
          </w:tcPr>
          <w:p w14:paraId="3693EC41" w14:textId="77777777" w:rsidR="003734EC" w:rsidRDefault="003734EC">
            <w:pPr>
              <w:rPr>
                <w:rFonts w:ascii="宋体"/>
              </w:rPr>
            </w:pPr>
          </w:p>
        </w:tc>
        <w:tc>
          <w:tcPr>
            <w:tcW w:w="0" w:type="auto"/>
            <w:shd w:val="clear" w:color="auto" w:fill="auto"/>
            <w:vAlign w:val="center"/>
          </w:tcPr>
          <w:p w14:paraId="3693EC42" w14:textId="77777777" w:rsidR="003734EC" w:rsidRDefault="003734EC">
            <w:pPr>
              <w:rPr>
                <w:rFonts w:ascii="宋体"/>
              </w:rPr>
            </w:pPr>
          </w:p>
        </w:tc>
        <w:tc>
          <w:tcPr>
            <w:tcW w:w="0" w:type="auto"/>
            <w:shd w:val="clear" w:color="auto" w:fill="auto"/>
            <w:vAlign w:val="center"/>
          </w:tcPr>
          <w:p w14:paraId="3693EC43" w14:textId="77777777" w:rsidR="003734EC" w:rsidRDefault="003734EC">
            <w:pPr>
              <w:rPr>
                <w:rFonts w:ascii="宋体"/>
              </w:rPr>
            </w:pPr>
          </w:p>
        </w:tc>
        <w:tc>
          <w:tcPr>
            <w:tcW w:w="0" w:type="auto"/>
            <w:shd w:val="clear" w:color="auto" w:fill="auto"/>
            <w:vAlign w:val="center"/>
          </w:tcPr>
          <w:p w14:paraId="3693EC44" w14:textId="77777777" w:rsidR="003734EC" w:rsidRDefault="003734EC">
            <w:pPr>
              <w:rPr>
                <w:rFonts w:ascii="宋体"/>
              </w:rPr>
            </w:pPr>
          </w:p>
        </w:tc>
        <w:tc>
          <w:tcPr>
            <w:tcW w:w="0" w:type="auto"/>
            <w:shd w:val="clear" w:color="auto" w:fill="auto"/>
            <w:vAlign w:val="center"/>
          </w:tcPr>
          <w:p w14:paraId="3693EC45" w14:textId="77777777" w:rsidR="003734EC" w:rsidRDefault="003734EC">
            <w:pPr>
              <w:rPr>
                <w:rFonts w:ascii="宋体"/>
              </w:rPr>
            </w:pPr>
          </w:p>
        </w:tc>
        <w:tc>
          <w:tcPr>
            <w:tcW w:w="0" w:type="auto"/>
            <w:shd w:val="clear" w:color="auto" w:fill="auto"/>
            <w:vAlign w:val="center"/>
          </w:tcPr>
          <w:p w14:paraId="3693EC46" w14:textId="77777777" w:rsidR="003734EC" w:rsidRDefault="003734EC">
            <w:pPr>
              <w:rPr>
                <w:rFonts w:ascii="宋体"/>
              </w:rPr>
            </w:pPr>
          </w:p>
        </w:tc>
        <w:tc>
          <w:tcPr>
            <w:tcW w:w="0" w:type="auto"/>
            <w:shd w:val="clear" w:color="auto" w:fill="auto"/>
            <w:vAlign w:val="center"/>
          </w:tcPr>
          <w:p w14:paraId="3693EC47" w14:textId="77777777" w:rsidR="003734EC" w:rsidRDefault="003734EC">
            <w:pPr>
              <w:rPr>
                <w:rFonts w:ascii="宋体"/>
              </w:rPr>
            </w:pPr>
          </w:p>
        </w:tc>
        <w:tc>
          <w:tcPr>
            <w:tcW w:w="0" w:type="auto"/>
            <w:shd w:val="clear" w:color="auto" w:fill="auto"/>
            <w:vAlign w:val="center"/>
          </w:tcPr>
          <w:p w14:paraId="3693EC48" w14:textId="77777777" w:rsidR="003734EC" w:rsidRDefault="003734EC">
            <w:pPr>
              <w:rPr>
                <w:rFonts w:ascii="宋体"/>
              </w:rPr>
            </w:pPr>
          </w:p>
        </w:tc>
        <w:tc>
          <w:tcPr>
            <w:tcW w:w="0" w:type="auto"/>
            <w:shd w:val="clear" w:color="auto" w:fill="auto"/>
            <w:vAlign w:val="center"/>
          </w:tcPr>
          <w:p w14:paraId="3693EC49" w14:textId="77777777" w:rsidR="003734EC" w:rsidRDefault="003734EC">
            <w:pPr>
              <w:rPr>
                <w:rFonts w:ascii="宋体"/>
              </w:rPr>
            </w:pPr>
          </w:p>
        </w:tc>
        <w:tc>
          <w:tcPr>
            <w:tcW w:w="0" w:type="auto"/>
            <w:shd w:val="clear" w:color="auto" w:fill="auto"/>
            <w:vAlign w:val="center"/>
          </w:tcPr>
          <w:p w14:paraId="3693EC4A" w14:textId="77777777" w:rsidR="003734EC" w:rsidRDefault="003734EC">
            <w:pPr>
              <w:rPr>
                <w:rFonts w:ascii="宋体"/>
              </w:rPr>
            </w:pPr>
          </w:p>
        </w:tc>
        <w:tc>
          <w:tcPr>
            <w:tcW w:w="0" w:type="auto"/>
            <w:shd w:val="clear" w:color="auto" w:fill="auto"/>
            <w:vAlign w:val="center"/>
          </w:tcPr>
          <w:p w14:paraId="3693EC4B" w14:textId="77777777" w:rsidR="003734EC" w:rsidRDefault="003734EC">
            <w:pPr>
              <w:rPr>
                <w:rFonts w:ascii="宋体"/>
              </w:rPr>
            </w:pPr>
          </w:p>
        </w:tc>
        <w:tc>
          <w:tcPr>
            <w:tcW w:w="0" w:type="auto"/>
            <w:shd w:val="clear" w:color="auto" w:fill="auto"/>
            <w:vAlign w:val="center"/>
          </w:tcPr>
          <w:p w14:paraId="3693EC4C" w14:textId="77777777" w:rsidR="003734EC" w:rsidRDefault="003734EC">
            <w:pPr>
              <w:rPr>
                <w:rFonts w:ascii="宋体"/>
              </w:rPr>
            </w:pPr>
          </w:p>
        </w:tc>
        <w:tc>
          <w:tcPr>
            <w:tcW w:w="0" w:type="auto"/>
            <w:shd w:val="clear" w:color="auto" w:fill="auto"/>
            <w:vAlign w:val="center"/>
          </w:tcPr>
          <w:p w14:paraId="3693EC4D" w14:textId="77777777" w:rsidR="003734EC" w:rsidRDefault="003734EC">
            <w:pPr>
              <w:rPr>
                <w:rFonts w:ascii="宋体"/>
              </w:rPr>
            </w:pPr>
          </w:p>
        </w:tc>
        <w:tc>
          <w:tcPr>
            <w:tcW w:w="0" w:type="auto"/>
            <w:shd w:val="clear" w:color="auto" w:fill="auto"/>
            <w:vAlign w:val="center"/>
          </w:tcPr>
          <w:p w14:paraId="3693EC4E" w14:textId="77777777" w:rsidR="003734EC" w:rsidRDefault="003734EC">
            <w:pPr>
              <w:rPr>
                <w:rFonts w:ascii="宋体"/>
              </w:rPr>
            </w:pPr>
          </w:p>
        </w:tc>
        <w:tc>
          <w:tcPr>
            <w:tcW w:w="0" w:type="auto"/>
            <w:shd w:val="clear" w:color="auto" w:fill="auto"/>
            <w:vAlign w:val="center"/>
          </w:tcPr>
          <w:p w14:paraId="3693EC4F" w14:textId="77777777" w:rsidR="003734EC" w:rsidRDefault="003734EC">
            <w:pPr>
              <w:rPr>
                <w:rFonts w:ascii="宋体"/>
              </w:rPr>
            </w:pPr>
          </w:p>
        </w:tc>
        <w:tc>
          <w:tcPr>
            <w:tcW w:w="0" w:type="auto"/>
            <w:shd w:val="clear" w:color="auto" w:fill="auto"/>
            <w:vAlign w:val="center"/>
          </w:tcPr>
          <w:p w14:paraId="3693EC50" w14:textId="77777777" w:rsidR="003734EC" w:rsidRDefault="003734EC">
            <w:pPr>
              <w:rPr>
                <w:rFonts w:ascii="宋体"/>
              </w:rPr>
            </w:pPr>
          </w:p>
        </w:tc>
      </w:tr>
      <w:tr w:rsidR="003734EC" w14:paraId="3693EC7F" w14:textId="77777777">
        <w:tc>
          <w:tcPr>
            <w:tcW w:w="0" w:type="auto"/>
            <w:gridSpan w:val="3"/>
            <w:shd w:val="clear" w:color="auto" w:fill="E2EFD9"/>
            <w:tcMar>
              <w:top w:w="40" w:type="dxa"/>
              <w:left w:w="20" w:type="dxa"/>
              <w:bottom w:w="40" w:type="dxa"/>
              <w:right w:w="20" w:type="dxa"/>
            </w:tcMar>
            <w:vAlign w:val="bottom"/>
          </w:tcPr>
          <w:p w14:paraId="3693EC52" w14:textId="77777777" w:rsidR="003734EC" w:rsidRDefault="000E364E">
            <w:pPr>
              <w:textAlignment w:val="bottom"/>
            </w:pPr>
            <w:r>
              <w:rPr>
                <w:rFonts w:ascii="sans-serif" w:eastAsia="sans-serif" w:hAnsi="sans-serif" w:cs="sans-serif"/>
                <w:color w:val="000000"/>
                <w:sz w:val="20"/>
                <w:szCs w:val="20"/>
              </w:rPr>
              <w:t>As</w:t>
            </w:r>
            <w:r>
              <w:rPr>
                <w:rFonts w:ascii="sans-serif" w:eastAsia="sans-serif" w:hAnsi="sans-serif" w:cs="sans-serif"/>
                <w:color w:val="000000"/>
                <w:sz w:val="20"/>
                <w:szCs w:val="20"/>
              </w:rPr>
              <w:t>set-backed securities</w:t>
            </w:r>
          </w:p>
        </w:tc>
        <w:tc>
          <w:tcPr>
            <w:tcW w:w="0" w:type="auto"/>
            <w:gridSpan w:val="2"/>
            <w:shd w:val="clear" w:color="auto" w:fill="E2EFD9"/>
            <w:tcMar>
              <w:top w:w="40" w:type="dxa"/>
              <w:left w:w="20" w:type="dxa"/>
              <w:bottom w:w="40" w:type="dxa"/>
              <w:right w:w="0" w:type="dxa"/>
            </w:tcMar>
            <w:vAlign w:val="bottom"/>
          </w:tcPr>
          <w:p w14:paraId="3693EC53"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3693EC5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5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5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C5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58"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5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C5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5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5C"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3693EC5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5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5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C6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C6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EC62"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3693EC6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C64" w14:textId="77777777" w:rsidR="003734EC" w:rsidRDefault="003734EC">
            <w:pPr>
              <w:rPr>
                <w:rFonts w:ascii="宋体"/>
              </w:rPr>
            </w:pPr>
          </w:p>
        </w:tc>
        <w:tc>
          <w:tcPr>
            <w:tcW w:w="0" w:type="auto"/>
            <w:shd w:val="clear" w:color="auto" w:fill="auto"/>
            <w:vAlign w:val="center"/>
          </w:tcPr>
          <w:p w14:paraId="3693EC65" w14:textId="77777777" w:rsidR="003734EC" w:rsidRDefault="003734EC">
            <w:pPr>
              <w:rPr>
                <w:rFonts w:ascii="宋体"/>
              </w:rPr>
            </w:pPr>
          </w:p>
        </w:tc>
        <w:tc>
          <w:tcPr>
            <w:tcW w:w="0" w:type="auto"/>
            <w:shd w:val="clear" w:color="auto" w:fill="auto"/>
            <w:vAlign w:val="center"/>
          </w:tcPr>
          <w:p w14:paraId="3693EC66" w14:textId="77777777" w:rsidR="003734EC" w:rsidRDefault="003734EC">
            <w:pPr>
              <w:rPr>
                <w:rFonts w:ascii="宋体"/>
              </w:rPr>
            </w:pPr>
          </w:p>
        </w:tc>
        <w:tc>
          <w:tcPr>
            <w:tcW w:w="0" w:type="auto"/>
            <w:shd w:val="clear" w:color="auto" w:fill="auto"/>
            <w:vAlign w:val="center"/>
          </w:tcPr>
          <w:p w14:paraId="3693EC67" w14:textId="77777777" w:rsidR="003734EC" w:rsidRDefault="003734EC">
            <w:pPr>
              <w:rPr>
                <w:rFonts w:ascii="宋体"/>
              </w:rPr>
            </w:pPr>
          </w:p>
        </w:tc>
        <w:tc>
          <w:tcPr>
            <w:tcW w:w="0" w:type="auto"/>
            <w:shd w:val="clear" w:color="auto" w:fill="auto"/>
            <w:vAlign w:val="center"/>
          </w:tcPr>
          <w:p w14:paraId="3693EC68" w14:textId="77777777" w:rsidR="003734EC" w:rsidRDefault="003734EC">
            <w:pPr>
              <w:rPr>
                <w:rFonts w:ascii="宋体"/>
              </w:rPr>
            </w:pPr>
          </w:p>
        </w:tc>
        <w:tc>
          <w:tcPr>
            <w:tcW w:w="0" w:type="auto"/>
            <w:shd w:val="clear" w:color="auto" w:fill="auto"/>
            <w:vAlign w:val="center"/>
          </w:tcPr>
          <w:p w14:paraId="3693EC69" w14:textId="77777777" w:rsidR="003734EC" w:rsidRDefault="003734EC">
            <w:pPr>
              <w:rPr>
                <w:rFonts w:ascii="宋体"/>
              </w:rPr>
            </w:pPr>
          </w:p>
        </w:tc>
        <w:tc>
          <w:tcPr>
            <w:tcW w:w="0" w:type="auto"/>
            <w:shd w:val="clear" w:color="auto" w:fill="auto"/>
            <w:vAlign w:val="center"/>
          </w:tcPr>
          <w:p w14:paraId="3693EC6A" w14:textId="77777777" w:rsidR="003734EC" w:rsidRDefault="003734EC">
            <w:pPr>
              <w:rPr>
                <w:rFonts w:ascii="宋体"/>
              </w:rPr>
            </w:pPr>
          </w:p>
        </w:tc>
        <w:tc>
          <w:tcPr>
            <w:tcW w:w="0" w:type="auto"/>
            <w:shd w:val="clear" w:color="auto" w:fill="auto"/>
            <w:vAlign w:val="center"/>
          </w:tcPr>
          <w:p w14:paraId="3693EC6B" w14:textId="77777777" w:rsidR="003734EC" w:rsidRDefault="003734EC">
            <w:pPr>
              <w:rPr>
                <w:rFonts w:ascii="宋体"/>
              </w:rPr>
            </w:pPr>
          </w:p>
        </w:tc>
        <w:tc>
          <w:tcPr>
            <w:tcW w:w="0" w:type="auto"/>
            <w:shd w:val="clear" w:color="auto" w:fill="auto"/>
            <w:vAlign w:val="center"/>
          </w:tcPr>
          <w:p w14:paraId="3693EC6C" w14:textId="77777777" w:rsidR="003734EC" w:rsidRDefault="003734EC">
            <w:pPr>
              <w:rPr>
                <w:rFonts w:ascii="宋体"/>
              </w:rPr>
            </w:pPr>
          </w:p>
        </w:tc>
        <w:tc>
          <w:tcPr>
            <w:tcW w:w="0" w:type="auto"/>
            <w:shd w:val="clear" w:color="auto" w:fill="auto"/>
            <w:vAlign w:val="center"/>
          </w:tcPr>
          <w:p w14:paraId="3693EC6D" w14:textId="77777777" w:rsidR="003734EC" w:rsidRDefault="003734EC">
            <w:pPr>
              <w:rPr>
                <w:rFonts w:ascii="宋体"/>
              </w:rPr>
            </w:pPr>
          </w:p>
        </w:tc>
        <w:tc>
          <w:tcPr>
            <w:tcW w:w="0" w:type="auto"/>
            <w:shd w:val="clear" w:color="auto" w:fill="auto"/>
            <w:vAlign w:val="center"/>
          </w:tcPr>
          <w:p w14:paraId="3693EC6E" w14:textId="77777777" w:rsidR="003734EC" w:rsidRDefault="003734EC">
            <w:pPr>
              <w:rPr>
                <w:rFonts w:ascii="宋体"/>
              </w:rPr>
            </w:pPr>
          </w:p>
        </w:tc>
        <w:tc>
          <w:tcPr>
            <w:tcW w:w="0" w:type="auto"/>
            <w:shd w:val="clear" w:color="auto" w:fill="auto"/>
            <w:vAlign w:val="center"/>
          </w:tcPr>
          <w:p w14:paraId="3693EC6F" w14:textId="77777777" w:rsidR="003734EC" w:rsidRDefault="003734EC">
            <w:pPr>
              <w:rPr>
                <w:rFonts w:ascii="宋体"/>
              </w:rPr>
            </w:pPr>
          </w:p>
        </w:tc>
        <w:tc>
          <w:tcPr>
            <w:tcW w:w="0" w:type="auto"/>
            <w:shd w:val="clear" w:color="auto" w:fill="auto"/>
            <w:vAlign w:val="center"/>
          </w:tcPr>
          <w:p w14:paraId="3693EC70" w14:textId="77777777" w:rsidR="003734EC" w:rsidRDefault="003734EC">
            <w:pPr>
              <w:rPr>
                <w:rFonts w:ascii="宋体"/>
              </w:rPr>
            </w:pPr>
          </w:p>
        </w:tc>
        <w:tc>
          <w:tcPr>
            <w:tcW w:w="0" w:type="auto"/>
            <w:shd w:val="clear" w:color="auto" w:fill="auto"/>
            <w:vAlign w:val="center"/>
          </w:tcPr>
          <w:p w14:paraId="3693EC71" w14:textId="77777777" w:rsidR="003734EC" w:rsidRDefault="003734EC">
            <w:pPr>
              <w:rPr>
                <w:rFonts w:ascii="宋体"/>
              </w:rPr>
            </w:pPr>
          </w:p>
        </w:tc>
        <w:tc>
          <w:tcPr>
            <w:tcW w:w="0" w:type="auto"/>
            <w:shd w:val="clear" w:color="auto" w:fill="auto"/>
            <w:vAlign w:val="center"/>
          </w:tcPr>
          <w:p w14:paraId="3693EC72" w14:textId="77777777" w:rsidR="003734EC" w:rsidRDefault="003734EC">
            <w:pPr>
              <w:rPr>
                <w:rFonts w:ascii="宋体"/>
              </w:rPr>
            </w:pPr>
          </w:p>
        </w:tc>
        <w:tc>
          <w:tcPr>
            <w:tcW w:w="0" w:type="auto"/>
            <w:shd w:val="clear" w:color="auto" w:fill="auto"/>
            <w:vAlign w:val="center"/>
          </w:tcPr>
          <w:p w14:paraId="3693EC73" w14:textId="77777777" w:rsidR="003734EC" w:rsidRDefault="003734EC">
            <w:pPr>
              <w:rPr>
                <w:rFonts w:ascii="宋体"/>
              </w:rPr>
            </w:pPr>
          </w:p>
        </w:tc>
        <w:tc>
          <w:tcPr>
            <w:tcW w:w="0" w:type="auto"/>
            <w:shd w:val="clear" w:color="auto" w:fill="auto"/>
            <w:vAlign w:val="center"/>
          </w:tcPr>
          <w:p w14:paraId="3693EC74" w14:textId="77777777" w:rsidR="003734EC" w:rsidRDefault="003734EC">
            <w:pPr>
              <w:rPr>
                <w:rFonts w:ascii="宋体"/>
              </w:rPr>
            </w:pPr>
          </w:p>
        </w:tc>
        <w:tc>
          <w:tcPr>
            <w:tcW w:w="0" w:type="auto"/>
            <w:shd w:val="clear" w:color="auto" w:fill="auto"/>
            <w:vAlign w:val="center"/>
          </w:tcPr>
          <w:p w14:paraId="3693EC75" w14:textId="77777777" w:rsidR="003734EC" w:rsidRDefault="003734EC">
            <w:pPr>
              <w:rPr>
                <w:rFonts w:ascii="宋体"/>
              </w:rPr>
            </w:pPr>
          </w:p>
        </w:tc>
        <w:tc>
          <w:tcPr>
            <w:tcW w:w="0" w:type="auto"/>
            <w:shd w:val="clear" w:color="auto" w:fill="auto"/>
            <w:vAlign w:val="center"/>
          </w:tcPr>
          <w:p w14:paraId="3693EC76" w14:textId="77777777" w:rsidR="003734EC" w:rsidRDefault="003734EC">
            <w:pPr>
              <w:rPr>
                <w:rFonts w:ascii="宋体"/>
              </w:rPr>
            </w:pPr>
          </w:p>
        </w:tc>
        <w:tc>
          <w:tcPr>
            <w:tcW w:w="0" w:type="auto"/>
            <w:shd w:val="clear" w:color="auto" w:fill="auto"/>
            <w:vAlign w:val="center"/>
          </w:tcPr>
          <w:p w14:paraId="3693EC77" w14:textId="77777777" w:rsidR="003734EC" w:rsidRDefault="003734EC">
            <w:pPr>
              <w:rPr>
                <w:rFonts w:ascii="宋体"/>
              </w:rPr>
            </w:pPr>
          </w:p>
        </w:tc>
        <w:tc>
          <w:tcPr>
            <w:tcW w:w="0" w:type="auto"/>
            <w:shd w:val="clear" w:color="auto" w:fill="auto"/>
            <w:vAlign w:val="center"/>
          </w:tcPr>
          <w:p w14:paraId="3693EC78" w14:textId="77777777" w:rsidR="003734EC" w:rsidRDefault="003734EC">
            <w:pPr>
              <w:rPr>
                <w:rFonts w:ascii="宋体"/>
              </w:rPr>
            </w:pPr>
          </w:p>
        </w:tc>
        <w:tc>
          <w:tcPr>
            <w:tcW w:w="0" w:type="auto"/>
            <w:shd w:val="clear" w:color="auto" w:fill="auto"/>
            <w:vAlign w:val="center"/>
          </w:tcPr>
          <w:p w14:paraId="3693EC79" w14:textId="77777777" w:rsidR="003734EC" w:rsidRDefault="003734EC">
            <w:pPr>
              <w:rPr>
                <w:rFonts w:ascii="宋体"/>
              </w:rPr>
            </w:pPr>
          </w:p>
        </w:tc>
        <w:tc>
          <w:tcPr>
            <w:tcW w:w="0" w:type="auto"/>
            <w:shd w:val="clear" w:color="auto" w:fill="auto"/>
            <w:vAlign w:val="center"/>
          </w:tcPr>
          <w:p w14:paraId="3693EC7A" w14:textId="77777777" w:rsidR="003734EC" w:rsidRDefault="003734EC">
            <w:pPr>
              <w:rPr>
                <w:rFonts w:ascii="宋体"/>
              </w:rPr>
            </w:pPr>
          </w:p>
        </w:tc>
        <w:tc>
          <w:tcPr>
            <w:tcW w:w="0" w:type="auto"/>
            <w:shd w:val="clear" w:color="auto" w:fill="auto"/>
            <w:vAlign w:val="center"/>
          </w:tcPr>
          <w:p w14:paraId="3693EC7B" w14:textId="77777777" w:rsidR="003734EC" w:rsidRDefault="003734EC">
            <w:pPr>
              <w:rPr>
                <w:rFonts w:ascii="宋体"/>
              </w:rPr>
            </w:pPr>
          </w:p>
        </w:tc>
        <w:tc>
          <w:tcPr>
            <w:tcW w:w="0" w:type="auto"/>
            <w:shd w:val="clear" w:color="auto" w:fill="auto"/>
            <w:vAlign w:val="center"/>
          </w:tcPr>
          <w:p w14:paraId="3693EC7C" w14:textId="77777777" w:rsidR="003734EC" w:rsidRDefault="003734EC">
            <w:pPr>
              <w:rPr>
                <w:rFonts w:ascii="宋体"/>
              </w:rPr>
            </w:pPr>
          </w:p>
        </w:tc>
        <w:tc>
          <w:tcPr>
            <w:tcW w:w="0" w:type="auto"/>
            <w:shd w:val="clear" w:color="auto" w:fill="auto"/>
            <w:vAlign w:val="center"/>
          </w:tcPr>
          <w:p w14:paraId="3693EC7D" w14:textId="77777777" w:rsidR="003734EC" w:rsidRDefault="003734EC">
            <w:pPr>
              <w:rPr>
                <w:rFonts w:ascii="宋体"/>
              </w:rPr>
            </w:pPr>
          </w:p>
        </w:tc>
        <w:tc>
          <w:tcPr>
            <w:tcW w:w="0" w:type="auto"/>
            <w:shd w:val="clear" w:color="auto" w:fill="auto"/>
            <w:vAlign w:val="center"/>
          </w:tcPr>
          <w:p w14:paraId="3693EC7E" w14:textId="77777777" w:rsidR="003734EC" w:rsidRDefault="003734EC">
            <w:pPr>
              <w:rPr>
                <w:rFonts w:ascii="宋体"/>
              </w:rPr>
            </w:pPr>
          </w:p>
        </w:tc>
      </w:tr>
      <w:tr w:rsidR="003734EC" w14:paraId="3693ECA7" w14:textId="77777777">
        <w:trPr>
          <w:hidden/>
        </w:trPr>
        <w:tc>
          <w:tcPr>
            <w:tcW w:w="0" w:type="auto"/>
            <w:gridSpan w:val="3"/>
            <w:shd w:val="clear" w:color="auto" w:fill="auto"/>
            <w:vAlign w:val="center"/>
          </w:tcPr>
          <w:p w14:paraId="3693EC80" w14:textId="77777777" w:rsidR="003734EC" w:rsidRDefault="003734EC">
            <w:pPr>
              <w:rPr>
                <w:rFonts w:ascii="宋体"/>
                <w:vanish/>
              </w:rPr>
            </w:pPr>
          </w:p>
        </w:tc>
        <w:tc>
          <w:tcPr>
            <w:tcW w:w="0" w:type="auto"/>
            <w:gridSpan w:val="3"/>
            <w:shd w:val="clear" w:color="auto" w:fill="auto"/>
            <w:vAlign w:val="center"/>
          </w:tcPr>
          <w:p w14:paraId="3693EC81" w14:textId="77777777" w:rsidR="003734EC" w:rsidRDefault="003734EC">
            <w:pPr>
              <w:rPr>
                <w:rFonts w:ascii="宋体"/>
                <w:vanish/>
              </w:rPr>
            </w:pPr>
          </w:p>
        </w:tc>
        <w:tc>
          <w:tcPr>
            <w:tcW w:w="0" w:type="auto"/>
            <w:gridSpan w:val="3"/>
            <w:shd w:val="clear" w:color="auto" w:fill="auto"/>
            <w:vAlign w:val="center"/>
          </w:tcPr>
          <w:p w14:paraId="3693EC82" w14:textId="77777777" w:rsidR="003734EC" w:rsidRDefault="003734EC">
            <w:pPr>
              <w:rPr>
                <w:rFonts w:ascii="宋体"/>
                <w:vanish/>
              </w:rPr>
            </w:pPr>
          </w:p>
        </w:tc>
        <w:tc>
          <w:tcPr>
            <w:tcW w:w="0" w:type="auto"/>
            <w:gridSpan w:val="3"/>
            <w:shd w:val="clear" w:color="auto" w:fill="auto"/>
            <w:vAlign w:val="center"/>
          </w:tcPr>
          <w:p w14:paraId="3693EC83" w14:textId="77777777" w:rsidR="003734EC" w:rsidRDefault="003734EC">
            <w:pPr>
              <w:rPr>
                <w:rFonts w:ascii="宋体"/>
                <w:vanish/>
              </w:rPr>
            </w:pPr>
          </w:p>
        </w:tc>
        <w:tc>
          <w:tcPr>
            <w:tcW w:w="0" w:type="auto"/>
            <w:gridSpan w:val="3"/>
            <w:shd w:val="clear" w:color="auto" w:fill="auto"/>
            <w:vAlign w:val="center"/>
          </w:tcPr>
          <w:p w14:paraId="3693EC84" w14:textId="77777777" w:rsidR="003734EC" w:rsidRDefault="003734EC">
            <w:pPr>
              <w:rPr>
                <w:rFonts w:ascii="宋体"/>
                <w:vanish/>
              </w:rPr>
            </w:pPr>
          </w:p>
        </w:tc>
        <w:tc>
          <w:tcPr>
            <w:tcW w:w="0" w:type="auto"/>
            <w:gridSpan w:val="3"/>
            <w:shd w:val="clear" w:color="auto" w:fill="auto"/>
            <w:vAlign w:val="center"/>
          </w:tcPr>
          <w:p w14:paraId="3693EC85" w14:textId="77777777" w:rsidR="003734EC" w:rsidRDefault="003734EC">
            <w:pPr>
              <w:rPr>
                <w:rFonts w:ascii="宋体"/>
                <w:vanish/>
              </w:rPr>
            </w:pPr>
          </w:p>
        </w:tc>
        <w:tc>
          <w:tcPr>
            <w:tcW w:w="0" w:type="auto"/>
            <w:gridSpan w:val="3"/>
            <w:shd w:val="clear" w:color="auto" w:fill="auto"/>
            <w:vAlign w:val="center"/>
          </w:tcPr>
          <w:p w14:paraId="3693EC86" w14:textId="77777777" w:rsidR="003734EC" w:rsidRDefault="003734EC">
            <w:pPr>
              <w:rPr>
                <w:rFonts w:ascii="宋体"/>
                <w:vanish/>
              </w:rPr>
            </w:pPr>
          </w:p>
        </w:tc>
        <w:tc>
          <w:tcPr>
            <w:tcW w:w="0" w:type="auto"/>
            <w:gridSpan w:val="3"/>
            <w:shd w:val="clear" w:color="auto" w:fill="auto"/>
            <w:vAlign w:val="center"/>
          </w:tcPr>
          <w:p w14:paraId="3693EC87" w14:textId="77777777" w:rsidR="003734EC" w:rsidRDefault="003734EC">
            <w:pPr>
              <w:rPr>
                <w:rFonts w:ascii="宋体"/>
                <w:vanish/>
              </w:rPr>
            </w:pPr>
          </w:p>
        </w:tc>
        <w:tc>
          <w:tcPr>
            <w:tcW w:w="0" w:type="auto"/>
            <w:gridSpan w:val="3"/>
            <w:shd w:val="clear" w:color="auto" w:fill="auto"/>
            <w:vAlign w:val="center"/>
          </w:tcPr>
          <w:p w14:paraId="3693EC88" w14:textId="77777777" w:rsidR="003734EC" w:rsidRDefault="003734EC">
            <w:pPr>
              <w:rPr>
                <w:rFonts w:ascii="宋体"/>
                <w:vanish/>
              </w:rPr>
            </w:pPr>
          </w:p>
        </w:tc>
        <w:tc>
          <w:tcPr>
            <w:tcW w:w="0" w:type="auto"/>
            <w:gridSpan w:val="3"/>
            <w:shd w:val="clear" w:color="auto" w:fill="auto"/>
            <w:vAlign w:val="center"/>
          </w:tcPr>
          <w:p w14:paraId="3693EC89" w14:textId="77777777" w:rsidR="003734EC" w:rsidRDefault="003734EC">
            <w:pPr>
              <w:rPr>
                <w:rFonts w:ascii="宋体"/>
                <w:vanish/>
              </w:rPr>
            </w:pPr>
          </w:p>
        </w:tc>
        <w:tc>
          <w:tcPr>
            <w:tcW w:w="0" w:type="auto"/>
            <w:gridSpan w:val="3"/>
            <w:shd w:val="clear" w:color="auto" w:fill="auto"/>
            <w:vAlign w:val="center"/>
          </w:tcPr>
          <w:p w14:paraId="3693EC8A" w14:textId="77777777" w:rsidR="003734EC" w:rsidRDefault="003734EC">
            <w:pPr>
              <w:rPr>
                <w:rFonts w:ascii="宋体"/>
                <w:vanish/>
              </w:rPr>
            </w:pPr>
          </w:p>
        </w:tc>
        <w:tc>
          <w:tcPr>
            <w:tcW w:w="0" w:type="auto"/>
            <w:gridSpan w:val="3"/>
            <w:shd w:val="clear" w:color="auto" w:fill="auto"/>
            <w:vAlign w:val="center"/>
          </w:tcPr>
          <w:p w14:paraId="3693EC8B" w14:textId="77777777" w:rsidR="003734EC" w:rsidRDefault="003734EC">
            <w:pPr>
              <w:rPr>
                <w:rFonts w:ascii="宋体"/>
                <w:vanish/>
              </w:rPr>
            </w:pPr>
          </w:p>
        </w:tc>
        <w:tc>
          <w:tcPr>
            <w:tcW w:w="0" w:type="auto"/>
            <w:shd w:val="clear" w:color="auto" w:fill="auto"/>
            <w:vAlign w:val="center"/>
          </w:tcPr>
          <w:p w14:paraId="3693EC8C" w14:textId="77777777" w:rsidR="003734EC" w:rsidRDefault="003734EC">
            <w:pPr>
              <w:rPr>
                <w:rFonts w:ascii="宋体"/>
              </w:rPr>
            </w:pPr>
          </w:p>
        </w:tc>
        <w:tc>
          <w:tcPr>
            <w:tcW w:w="0" w:type="auto"/>
            <w:shd w:val="clear" w:color="auto" w:fill="auto"/>
            <w:vAlign w:val="center"/>
          </w:tcPr>
          <w:p w14:paraId="3693EC8D" w14:textId="77777777" w:rsidR="003734EC" w:rsidRDefault="003734EC">
            <w:pPr>
              <w:rPr>
                <w:rFonts w:ascii="宋体"/>
              </w:rPr>
            </w:pPr>
          </w:p>
        </w:tc>
        <w:tc>
          <w:tcPr>
            <w:tcW w:w="0" w:type="auto"/>
            <w:shd w:val="clear" w:color="auto" w:fill="auto"/>
            <w:vAlign w:val="center"/>
          </w:tcPr>
          <w:p w14:paraId="3693EC8E" w14:textId="77777777" w:rsidR="003734EC" w:rsidRDefault="003734EC">
            <w:pPr>
              <w:rPr>
                <w:rFonts w:ascii="宋体"/>
              </w:rPr>
            </w:pPr>
          </w:p>
        </w:tc>
        <w:tc>
          <w:tcPr>
            <w:tcW w:w="0" w:type="auto"/>
            <w:shd w:val="clear" w:color="auto" w:fill="auto"/>
            <w:vAlign w:val="center"/>
          </w:tcPr>
          <w:p w14:paraId="3693EC8F" w14:textId="77777777" w:rsidR="003734EC" w:rsidRDefault="003734EC">
            <w:pPr>
              <w:rPr>
                <w:rFonts w:ascii="宋体"/>
              </w:rPr>
            </w:pPr>
          </w:p>
        </w:tc>
        <w:tc>
          <w:tcPr>
            <w:tcW w:w="0" w:type="auto"/>
            <w:shd w:val="clear" w:color="auto" w:fill="auto"/>
            <w:vAlign w:val="center"/>
          </w:tcPr>
          <w:p w14:paraId="3693EC90" w14:textId="77777777" w:rsidR="003734EC" w:rsidRDefault="003734EC">
            <w:pPr>
              <w:rPr>
                <w:rFonts w:ascii="宋体"/>
              </w:rPr>
            </w:pPr>
          </w:p>
        </w:tc>
        <w:tc>
          <w:tcPr>
            <w:tcW w:w="0" w:type="auto"/>
            <w:shd w:val="clear" w:color="auto" w:fill="auto"/>
            <w:vAlign w:val="center"/>
          </w:tcPr>
          <w:p w14:paraId="3693EC91" w14:textId="77777777" w:rsidR="003734EC" w:rsidRDefault="003734EC">
            <w:pPr>
              <w:rPr>
                <w:rFonts w:ascii="宋体"/>
              </w:rPr>
            </w:pPr>
          </w:p>
        </w:tc>
        <w:tc>
          <w:tcPr>
            <w:tcW w:w="0" w:type="auto"/>
            <w:shd w:val="clear" w:color="auto" w:fill="auto"/>
            <w:vAlign w:val="center"/>
          </w:tcPr>
          <w:p w14:paraId="3693EC92" w14:textId="77777777" w:rsidR="003734EC" w:rsidRDefault="003734EC">
            <w:pPr>
              <w:rPr>
                <w:rFonts w:ascii="宋体"/>
              </w:rPr>
            </w:pPr>
          </w:p>
        </w:tc>
        <w:tc>
          <w:tcPr>
            <w:tcW w:w="0" w:type="auto"/>
            <w:shd w:val="clear" w:color="auto" w:fill="auto"/>
            <w:vAlign w:val="center"/>
          </w:tcPr>
          <w:p w14:paraId="3693EC93" w14:textId="77777777" w:rsidR="003734EC" w:rsidRDefault="003734EC">
            <w:pPr>
              <w:rPr>
                <w:rFonts w:ascii="宋体"/>
              </w:rPr>
            </w:pPr>
          </w:p>
        </w:tc>
        <w:tc>
          <w:tcPr>
            <w:tcW w:w="0" w:type="auto"/>
            <w:shd w:val="clear" w:color="auto" w:fill="auto"/>
            <w:vAlign w:val="center"/>
          </w:tcPr>
          <w:p w14:paraId="3693EC94" w14:textId="77777777" w:rsidR="003734EC" w:rsidRDefault="003734EC">
            <w:pPr>
              <w:rPr>
                <w:rFonts w:ascii="宋体"/>
              </w:rPr>
            </w:pPr>
          </w:p>
        </w:tc>
        <w:tc>
          <w:tcPr>
            <w:tcW w:w="0" w:type="auto"/>
            <w:shd w:val="clear" w:color="auto" w:fill="auto"/>
            <w:vAlign w:val="center"/>
          </w:tcPr>
          <w:p w14:paraId="3693EC95" w14:textId="77777777" w:rsidR="003734EC" w:rsidRDefault="003734EC">
            <w:pPr>
              <w:rPr>
                <w:rFonts w:ascii="宋体"/>
              </w:rPr>
            </w:pPr>
          </w:p>
        </w:tc>
        <w:tc>
          <w:tcPr>
            <w:tcW w:w="0" w:type="auto"/>
            <w:shd w:val="clear" w:color="auto" w:fill="auto"/>
            <w:vAlign w:val="center"/>
          </w:tcPr>
          <w:p w14:paraId="3693EC96" w14:textId="77777777" w:rsidR="003734EC" w:rsidRDefault="003734EC">
            <w:pPr>
              <w:rPr>
                <w:rFonts w:ascii="宋体"/>
              </w:rPr>
            </w:pPr>
          </w:p>
        </w:tc>
        <w:tc>
          <w:tcPr>
            <w:tcW w:w="0" w:type="auto"/>
            <w:shd w:val="clear" w:color="auto" w:fill="auto"/>
            <w:vAlign w:val="center"/>
          </w:tcPr>
          <w:p w14:paraId="3693EC97" w14:textId="77777777" w:rsidR="003734EC" w:rsidRDefault="003734EC">
            <w:pPr>
              <w:rPr>
                <w:rFonts w:ascii="宋体"/>
              </w:rPr>
            </w:pPr>
          </w:p>
        </w:tc>
        <w:tc>
          <w:tcPr>
            <w:tcW w:w="0" w:type="auto"/>
            <w:shd w:val="clear" w:color="auto" w:fill="auto"/>
            <w:vAlign w:val="center"/>
          </w:tcPr>
          <w:p w14:paraId="3693EC98" w14:textId="77777777" w:rsidR="003734EC" w:rsidRDefault="003734EC">
            <w:pPr>
              <w:rPr>
                <w:rFonts w:ascii="宋体"/>
              </w:rPr>
            </w:pPr>
          </w:p>
        </w:tc>
        <w:tc>
          <w:tcPr>
            <w:tcW w:w="0" w:type="auto"/>
            <w:shd w:val="clear" w:color="auto" w:fill="auto"/>
            <w:vAlign w:val="center"/>
          </w:tcPr>
          <w:p w14:paraId="3693EC99" w14:textId="77777777" w:rsidR="003734EC" w:rsidRDefault="003734EC">
            <w:pPr>
              <w:rPr>
                <w:rFonts w:ascii="宋体"/>
              </w:rPr>
            </w:pPr>
          </w:p>
        </w:tc>
        <w:tc>
          <w:tcPr>
            <w:tcW w:w="0" w:type="auto"/>
            <w:shd w:val="clear" w:color="auto" w:fill="auto"/>
            <w:vAlign w:val="center"/>
          </w:tcPr>
          <w:p w14:paraId="3693EC9A" w14:textId="77777777" w:rsidR="003734EC" w:rsidRDefault="003734EC">
            <w:pPr>
              <w:rPr>
                <w:rFonts w:ascii="宋体"/>
              </w:rPr>
            </w:pPr>
          </w:p>
        </w:tc>
        <w:tc>
          <w:tcPr>
            <w:tcW w:w="0" w:type="auto"/>
            <w:shd w:val="clear" w:color="auto" w:fill="auto"/>
            <w:vAlign w:val="center"/>
          </w:tcPr>
          <w:p w14:paraId="3693EC9B" w14:textId="77777777" w:rsidR="003734EC" w:rsidRDefault="003734EC">
            <w:pPr>
              <w:rPr>
                <w:rFonts w:ascii="宋体"/>
              </w:rPr>
            </w:pPr>
          </w:p>
        </w:tc>
        <w:tc>
          <w:tcPr>
            <w:tcW w:w="0" w:type="auto"/>
            <w:shd w:val="clear" w:color="auto" w:fill="auto"/>
            <w:vAlign w:val="center"/>
          </w:tcPr>
          <w:p w14:paraId="3693EC9C" w14:textId="77777777" w:rsidR="003734EC" w:rsidRDefault="003734EC">
            <w:pPr>
              <w:rPr>
                <w:rFonts w:ascii="宋体"/>
              </w:rPr>
            </w:pPr>
          </w:p>
        </w:tc>
        <w:tc>
          <w:tcPr>
            <w:tcW w:w="0" w:type="auto"/>
            <w:shd w:val="clear" w:color="auto" w:fill="auto"/>
            <w:vAlign w:val="center"/>
          </w:tcPr>
          <w:p w14:paraId="3693EC9D" w14:textId="77777777" w:rsidR="003734EC" w:rsidRDefault="003734EC">
            <w:pPr>
              <w:rPr>
                <w:rFonts w:ascii="宋体"/>
              </w:rPr>
            </w:pPr>
          </w:p>
        </w:tc>
        <w:tc>
          <w:tcPr>
            <w:tcW w:w="0" w:type="auto"/>
            <w:shd w:val="clear" w:color="auto" w:fill="auto"/>
            <w:vAlign w:val="center"/>
          </w:tcPr>
          <w:p w14:paraId="3693EC9E" w14:textId="77777777" w:rsidR="003734EC" w:rsidRDefault="003734EC">
            <w:pPr>
              <w:rPr>
                <w:rFonts w:ascii="宋体"/>
              </w:rPr>
            </w:pPr>
          </w:p>
        </w:tc>
        <w:tc>
          <w:tcPr>
            <w:tcW w:w="0" w:type="auto"/>
            <w:shd w:val="clear" w:color="auto" w:fill="auto"/>
            <w:vAlign w:val="center"/>
          </w:tcPr>
          <w:p w14:paraId="3693EC9F" w14:textId="77777777" w:rsidR="003734EC" w:rsidRDefault="003734EC">
            <w:pPr>
              <w:rPr>
                <w:rFonts w:ascii="宋体"/>
              </w:rPr>
            </w:pPr>
          </w:p>
        </w:tc>
        <w:tc>
          <w:tcPr>
            <w:tcW w:w="0" w:type="auto"/>
            <w:shd w:val="clear" w:color="auto" w:fill="auto"/>
            <w:vAlign w:val="center"/>
          </w:tcPr>
          <w:p w14:paraId="3693ECA0" w14:textId="77777777" w:rsidR="003734EC" w:rsidRDefault="003734EC">
            <w:pPr>
              <w:rPr>
                <w:rFonts w:ascii="宋体"/>
              </w:rPr>
            </w:pPr>
          </w:p>
        </w:tc>
        <w:tc>
          <w:tcPr>
            <w:tcW w:w="0" w:type="auto"/>
            <w:shd w:val="clear" w:color="auto" w:fill="auto"/>
            <w:vAlign w:val="center"/>
          </w:tcPr>
          <w:p w14:paraId="3693ECA1" w14:textId="77777777" w:rsidR="003734EC" w:rsidRDefault="003734EC">
            <w:pPr>
              <w:rPr>
                <w:rFonts w:ascii="宋体"/>
              </w:rPr>
            </w:pPr>
          </w:p>
        </w:tc>
        <w:tc>
          <w:tcPr>
            <w:tcW w:w="0" w:type="auto"/>
            <w:shd w:val="clear" w:color="auto" w:fill="auto"/>
            <w:vAlign w:val="center"/>
          </w:tcPr>
          <w:p w14:paraId="3693ECA2" w14:textId="77777777" w:rsidR="003734EC" w:rsidRDefault="003734EC">
            <w:pPr>
              <w:rPr>
                <w:rFonts w:ascii="宋体"/>
              </w:rPr>
            </w:pPr>
          </w:p>
        </w:tc>
        <w:tc>
          <w:tcPr>
            <w:tcW w:w="0" w:type="auto"/>
            <w:shd w:val="clear" w:color="auto" w:fill="auto"/>
            <w:vAlign w:val="center"/>
          </w:tcPr>
          <w:p w14:paraId="3693ECA3" w14:textId="77777777" w:rsidR="003734EC" w:rsidRDefault="003734EC">
            <w:pPr>
              <w:rPr>
                <w:rFonts w:ascii="宋体"/>
              </w:rPr>
            </w:pPr>
          </w:p>
        </w:tc>
        <w:tc>
          <w:tcPr>
            <w:tcW w:w="0" w:type="auto"/>
            <w:shd w:val="clear" w:color="auto" w:fill="auto"/>
            <w:vAlign w:val="center"/>
          </w:tcPr>
          <w:p w14:paraId="3693ECA4" w14:textId="77777777" w:rsidR="003734EC" w:rsidRDefault="003734EC">
            <w:pPr>
              <w:rPr>
                <w:rFonts w:ascii="宋体"/>
              </w:rPr>
            </w:pPr>
          </w:p>
        </w:tc>
        <w:tc>
          <w:tcPr>
            <w:tcW w:w="0" w:type="auto"/>
            <w:shd w:val="clear" w:color="auto" w:fill="auto"/>
            <w:vAlign w:val="center"/>
          </w:tcPr>
          <w:p w14:paraId="3693ECA5" w14:textId="77777777" w:rsidR="003734EC" w:rsidRDefault="003734EC">
            <w:pPr>
              <w:rPr>
                <w:rFonts w:ascii="宋体"/>
              </w:rPr>
            </w:pPr>
          </w:p>
        </w:tc>
        <w:tc>
          <w:tcPr>
            <w:tcW w:w="0" w:type="auto"/>
            <w:shd w:val="clear" w:color="auto" w:fill="auto"/>
            <w:vAlign w:val="center"/>
          </w:tcPr>
          <w:p w14:paraId="3693ECA6" w14:textId="77777777" w:rsidR="003734EC" w:rsidRDefault="003734EC">
            <w:pPr>
              <w:rPr>
                <w:rFonts w:ascii="宋体"/>
              </w:rPr>
            </w:pPr>
          </w:p>
        </w:tc>
      </w:tr>
      <w:tr w:rsidR="000E364E" w14:paraId="3693ECDB" w14:textId="77777777">
        <w:tc>
          <w:tcPr>
            <w:tcW w:w="0" w:type="auto"/>
            <w:gridSpan w:val="3"/>
            <w:shd w:val="clear" w:color="auto" w:fill="FFFFFF"/>
            <w:tcMar>
              <w:top w:w="40" w:type="dxa"/>
              <w:left w:w="20" w:type="dxa"/>
              <w:bottom w:w="40" w:type="dxa"/>
              <w:right w:w="20" w:type="dxa"/>
            </w:tcMar>
            <w:vAlign w:val="bottom"/>
          </w:tcPr>
          <w:p w14:paraId="3693ECA8" w14:textId="77777777" w:rsidR="003734EC" w:rsidRDefault="000E364E">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A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AA" w14:textId="77777777" w:rsidR="003734EC" w:rsidRDefault="000E364E">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AC"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A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A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A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B0"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B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B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B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B4"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B5"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B6" w14:textId="77777777" w:rsidR="003734EC" w:rsidRDefault="000E364E">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B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B8"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B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BA" w14:textId="77777777" w:rsidR="003734EC" w:rsidRDefault="000E364E">
            <w:pPr>
              <w:jc w:val="right"/>
              <w:textAlignment w:val="bottom"/>
            </w:pPr>
            <w:r>
              <w:rPr>
                <w:rFonts w:ascii="sans-serif" w:eastAsia="sans-serif" w:hAnsi="sans-serif" w:cs="sans-serif"/>
                <w:color w:val="000000"/>
                <w:sz w:val="20"/>
                <w:szCs w:val="20"/>
              </w:rPr>
              <w:t>10,780 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B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CBC"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ECB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ECBE"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ECB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CC0" w14:textId="77777777" w:rsidR="003734EC" w:rsidRDefault="003734EC">
            <w:pPr>
              <w:rPr>
                <w:rFonts w:ascii="宋体"/>
              </w:rPr>
            </w:pPr>
          </w:p>
        </w:tc>
        <w:tc>
          <w:tcPr>
            <w:tcW w:w="0" w:type="auto"/>
            <w:shd w:val="clear" w:color="auto" w:fill="auto"/>
            <w:vAlign w:val="center"/>
          </w:tcPr>
          <w:p w14:paraId="3693ECC1" w14:textId="77777777" w:rsidR="003734EC" w:rsidRDefault="003734EC">
            <w:pPr>
              <w:rPr>
                <w:rFonts w:ascii="宋体"/>
              </w:rPr>
            </w:pPr>
          </w:p>
        </w:tc>
        <w:tc>
          <w:tcPr>
            <w:tcW w:w="0" w:type="auto"/>
            <w:shd w:val="clear" w:color="auto" w:fill="auto"/>
            <w:vAlign w:val="center"/>
          </w:tcPr>
          <w:p w14:paraId="3693ECC2" w14:textId="77777777" w:rsidR="003734EC" w:rsidRDefault="003734EC">
            <w:pPr>
              <w:rPr>
                <w:rFonts w:ascii="宋体"/>
              </w:rPr>
            </w:pPr>
          </w:p>
        </w:tc>
        <w:tc>
          <w:tcPr>
            <w:tcW w:w="0" w:type="auto"/>
            <w:shd w:val="clear" w:color="auto" w:fill="auto"/>
            <w:vAlign w:val="center"/>
          </w:tcPr>
          <w:p w14:paraId="3693ECC3" w14:textId="77777777" w:rsidR="003734EC" w:rsidRDefault="003734EC">
            <w:pPr>
              <w:rPr>
                <w:rFonts w:ascii="宋体"/>
              </w:rPr>
            </w:pPr>
          </w:p>
        </w:tc>
        <w:tc>
          <w:tcPr>
            <w:tcW w:w="0" w:type="auto"/>
            <w:shd w:val="clear" w:color="auto" w:fill="auto"/>
            <w:vAlign w:val="center"/>
          </w:tcPr>
          <w:p w14:paraId="3693ECC4" w14:textId="77777777" w:rsidR="003734EC" w:rsidRDefault="003734EC">
            <w:pPr>
              <w:rPr>
                <w:rFonts w:ascii="宋体"/>
              </w:rPr>
            </w:pPr>
          </w:p>
        </w:tc>
        <w:tc>
          <w:tcPr>
            <w:tcW w:w="0" w:type="auto"/>
            <w:shd w:val="clear" w:color="auto" w:fill="auto"/>
            <w:vAlign w:val="center"/>
          </w:tcPr>
          <w:p w14:paraId="3693ECC5" w14:textId="77777777" w:rsidR="003734EC" w:rsidRDefault="003734EC">
            <w:pPr>
              <w:rPr>
                <w:rFonts w:ascii="宋体"/>
              </w:rPr>
            </w:pPr>
          </w:p>
        </w:tc>
        <w:tc>
          <w:tcPr>
            <w:tcW w:w="0" w:type="auto"/>
            <w:shd w:val="clear" w:color="auto" w:fill="auto"/>
            <w:vAlign w:val="center"/>
          </w:tcPr>
          <w:p w14:paraId="3693ECC6" w14:textId="77777777" w:rsidR="003734EC" w:rsidRDefault="003734EC">
            <w:pPr>
              <w:rPr>
                <w:rFonts w:ascii="宋体"/>
              </w:rPr>
            </w:pPr>
          </w:p>
        </w:tc>
        <w:tc>
          <w:tcPr>
            <w:tcW w:w="0" w:type="auto"/>
            <w:shd w:val="clear" w:color="auto" w:fill="auto"/>
            <w:vAlign w:val="center"/>
          </w:tcPr>
          <w:p w14:paraId="3693ECC7" w14:textId="77777777" w:rsidR="003734EC" w:rsidRDefault="003734EC">
            <w:pPr>
              <w:rPr>
                <w:rFonts w:ascii="宋体"/>
              </w:rPr>
            </w:pPr>
          </w:p>
        </w:tc>
        <w:tc>
          <w:tcPr>
            <w:tcW w:w="0" w:type="auto"/>
            <w:shd w:val="clear" w:color="auto" w:fill="auto"/>
            <w:vAlign w:val="center"/>
          </w:tcPr>
          <w:p w14:paraId="3693ECC8" w14:textId="77777777" w:rsidR="003734EC" w:rsidRDefault="003734EC">
            <w:pPr>
              <w:rPr>
                <w:rFonts w:ascii="宋体"/>
              </w:rPr>
            </w:pPr>
          </w:p>
        </w:tc>
        <w:tc>
          <w:tcPr>
            <w:tcW w:w="0" w:type="auto"/>
            <w:shd w:val="clear" w:color="auto" w:fill="auto"/>
            <w:vAlign w:val="center"/>
          </w:tcPr>
          <w:p w14:paraId="3693ECC9" w14:textId="77777777" w:rsidR="003734EC" w:rsidRDefault="003734EC">
            <w:pPr>
              <w:rPr>
                <w:rFonts w:ascii="宋体"/>
              </w:rPr>
            </w:pPr>
          </w:p>
        </w:tc>
        <w:tc>
          <w:tcPr>
            <w:tcW w:w="0" w:type="auto"/>
            <w:shd w:val="clear" w:color="auto" w:fill="auto"/>
            <w:vAlign w:val="center"/>
          </w:tcPr>
          <w:p w14:paraId="3693ECCA" w14:textId="77777777" w:rsidR="003734EC" w:rsidRDefault="003734EC">
            <w:pPr>
              <w:rPr>
                <w:rFonts w:ascii="宋体"/>
              </w:rPr>
            </w:pPr>
          </w:p>
        </w:tc>
        <w:tc>
          <w:tcPr>
            <w:tcW w:w="0" w:type="auto"/>
            <w:shd w:val="clear" w:color="auto" w:fill="auto"/>
            <w:vAlign w:val="center"/>
          </w:tcPr>
          <w:p w14:paraId="3693ECCB" w14:textId="77777777" w:rsidR="003734EC" w:rsidRDefault="003734EC">
            <w:pPr>
              <w:rPr>
                <w:rFonts w:ascii="宋体"/>
              </w:rPr>
            </w:pPr>
          </w:p>
        </w:tc>
        <w:tc>
          <w:tcPr>
            <w:tcW w:w="0" w:type="auto"/>
            <w:shd w:val="clear" w:color="auto" w:fill="auto"/>
            <w:vAlign w:val="center"/>
          </w:tcPr>
          <w:p w14:paraId="3693ECCC" w14:textId="77777777" w:rsidR="003734EC" w:rsidRDefault="003734EC">
            <w:pPr>
              <w:rPr>
                <w:rFonts w:ascii="宋体"/>
              </w:rPr>
            </w:pPr>
          </w:p>
        </w:tc>
        <w:tc>
          <w:tcPr>
            <w:tcW w:w="0" w:type="auto"/>
            <w:shd w:val="clear" w:color="auto" w:fill="auto"/>
            <w:vAlign w:val="center"/>
          </w:tcPr>
          <w:p w14:paraId="3693ECCD" w14:textId="77777777" w:rsidR="003734EC" w:rsidRDefault="003734EC">
            <w:pPr>
              <w:rPr>
                <w:rFonts w:ascii="宋体"/>
              </w:rPr>
            </w:pPr>
          </w:p>
        </w:tc>
        <w:tc>
          <w:tcPr>
            <w:tcW w:w="0" w:type="auto"/>
            <w:shd w:val="clear" w:color="auto" w:fill="auto"/>
            <w:vAlign w:val="center"/>
          </w:tcPr>
          <w:p w14:paraId="3693ECCE" w14:textId="77777777" w:rsidR="003734EC" w:rsidRDefault="003734EC">
            <w:pPr>
              <w:rPr>
                <w:rFonts w:ascii="宋体"/>
              </w:rPr>
            </w:pPr>
          </w:p>
        </w:tc>
        <w:tc>
          <w:tcPr>
            <w:tcW w:w="0" w:type="auto"/>
            <w:shd w:val="clear" w:color="auto" w:fill="auto"/>
            <w:vAlign w:val="center"/>
          </w:tcPr>
          <w:p w14:paraId="3693ECCF" w14:textId="77777777" w:rsidR="003734EC" w:rsidRDefault="003734EC">
            <w:pPr>
              <w:rPr>
                <w:rFonts w:ascii="宋体"/>
              </w:rPr>
            </w:pPr>
          </w:p>
        </w:tc>
        <w:tc>
          <w:tcPr>
            <w:tcW w:w="0" w:type="auto"/>
            <w:shd w:val="clear" w:color="auto" w:fill="auto"/>
            <w:vAlign w:val="center"/>
          </w:tcPr>
          <w:p w14:paraId="3693ECD0" w14:textId="77777777" w:rsidR="003734EC" w:rsidRDefault="003734EC">
            <w:pPr>
              <w:rPr>
                <w:rFonts w:ascii="宋体"/>
              </w:rPr>
            </w:pPr>
          </w:p>
        </w:tc>
        <w:tc>
          <w:tcPr>
            <w:tcW w:w="0" w:type="auto"/>
            <w:shd w:val="clear" w:color="auto" w:fill="auto"/>
            <w:vAlign w:val="center"/>
          </w:tcPr>
          <w:p w14:paraId="3693ECD1" w14:textId="77777777" w:rsidR="003734EC" w:rsidRDefault="003734EC">
            <w:pPr>
              <w:rPr>
                <w:rFonts w:ascii="宋体"/>
              </w:rPr>
            </w:pPr>
          </w:p>
        </w:tc>
        <w:tc>
          <w:tcPr>
            <w:tcW w:w="0" w:type="auto"/>
            <w:shd w:val="clear" w:color="auto" w:fill="auto"/>
            <w:vAlign w:val="center"/>
          </w:tcPr>
          <w:p w14:paraId="3693ECD2" w14:textId="77777777" w:rsidR="003734EC" w:rsidRDefault="003734EC">
            <w:pPr>
              <w:rPr>
                <w:rFonts w:ascii="宋体"/>
              </w:rPr>
            </w:pPr>
          </w:p>
        </w:tc>
        <w:tc>
          <w:tcPr>
            <w:tcW w:w="0" w:type="auto"/>
            <w:shd w:val="clear" w:color="auto" w:fill="auto"/>
            <w:vAlign w:val="center"/>
          </w:tcPr>
          <w:p w14:paraId="3693ECD3" w14:textId="77777777" w:rsidR="003734EC" w:rsidRDefault="003734EC">
            <w:pPr>
              <w:rPr>
                <w:rFonts w:ascii="宋体"/>
              </w:rPr>
            </w:pPr>
          </w:p>
        </w:tc>
        <w:tc>
          <w:tcPr>
            <w:tcW w:w="0" w:type="auto"/>
            <w:shd w:val="clear" w:color="auto" w:fill="auto"/>
            <w:vAlign w:val="center"/>
          </w:tcPr>
          <w:p w14:paraId="3693ECD4" w14:textId="77777777" w:rsidR="003734EC" w:rsidRDefault="003734EC">
            <w:pPr>
              <w:rPr>
                <w:rFonts w:ascii="宋体"/>
              </w:rPr>
            </w:pPr>
          </w:p>
        </w:tc>
        <w:tc>
          <w:tcPr>
            <w:tcW w:w="0" w:type="auto"/>
            <w:shd w:val="clear" w:color="auto" w:fill="auto"/>
            <w:vAlign w:val="center"/>
          </w:tcPr>
          <w:p w14:paraId="3693ECD5" w14:textId="77777777" w:rsidR="003734EC" w:rsidRDefault="003734EC">
            <w:pPr>
              <w:rPr>
                <w:rFonts w:ascii="宋体"/>
              </w:rPr>
            </w:pPr>
          </w:p>
        </w:tc>
        <w:tc>
          <w:tcPr>
            <w:tcW w:w="0" w:type="auto"/>
            <w:shd w:val="clear" w:color="auto" w:fill="auto"/>
            <w:vAlign w:val="center"/>
          </w:tcPr>
          <w:p w14:paraId="3693ECD6" w14:textId="77777777" w:rsidR="003734EC" w:rsidRDefault="003734EC">
            <w:pPr>
              <w:rPr>
                <w:rFonts w:ascii="宋体"/>
              </w:rPr>
            </w:pPr>
          </w:p>
        </w:tc>
        <w:tc>
          <w:tcPr>
            <w:tcW w:w="0" w:type="auto"/>
            <w:shd w:val="clear" w:color="auto" w:fill="auto"/>
            <w:vAlign w:val="center"/>
          </w:tcPr>
          <w:p w14:paraId="3693ECD7" w14:textId="77777777" w:rsidR="003734EC" w:rsidRDefault="003734EC">
            <w:pPr>
              <w:rPr>
                <w:rFonts w:ascii="宋体"/>
              </w:rPr>
            </w:pPr>
          </w:p>
        </w:tc>
        <w:tc>
          <w:tcPr>
            <w:tcW w:w="0" w:type="auto"/>
            <w:shd w:val="clear" w:color="auto" w:fill="auto"/>
            <w:vAlign w:val="center"/>
          </w:tcPr>
          <w:p w14:paraId="3693ECD8" w14:textId="77777777" w:rsidR="003734EC" w:rsidRDefault="003734EC">
            <w:pPr>
              <w:rPr>
                <w:rFonts w:ascii="宋体"/>
              </w:rPr>
            </w:pPr>
          </w:p>
        </w:tc>
        <w:tc>
          <w:tcPr>
            <w:tcW w:w="0" w:type="auto"/>
            <w:shd w:val="clear" w:color="auto" w:fill="auto"/>
            <w:vAlign w:val="center"/>
          </w:tcPr>
          <w:p w14:paraId="3693ECD9" w14:textId="77777777" w:rsidR="003734EC" w:rsidRDefault="003734EC">
            <w:pPr>
              <w:rPr>
                <w:rFonts w:ascii="宋体"/>
              </w:rPr>
            </w:pPr>
          </w:p>
        </w:tc>
        <w:tc>
          <w:tcPr>
            <w:tcW w:w="0" w:type="auto"/>
            <w:shd w:val="clear" w:color="auto" w:fill="auto"/>
            <w:vAlign w:val="center"/>
          </w:tcPr>
          <w:p w14:paraId="3693ECDA" w14:textId="77777777" w:rsidR="003734EC" w:rsidRDefault="003734EC">
            <w:pPr>
              <w:rPr>
                <w:rFonts w:ascii="宋体"/>
              </w:rPr>
            </w:pPr>
          </w:p>
        </w:tc>
      </w:tr>
    </w:tbl>
    <w:p w14:paraId="3693ECDC" w14:textId="77777777" w:rsidR="003734EC" w:rsidRDefault="000E364E">
      <w:pPr>
        <w:spacing w:before="180" w:after="180"/>
        <w:jc w:val="both"/>
      </w:pPr>
      <w:r>
        <w:rPr>
          <w:rFonts w:ascii="sans-serif" w:eastAsia="sans-serif" w:hAnsi="sans-serif" w:cs="sans-serif"/>
          <w:color w:val="000000"/>
          <w:sz w:val="20"/>
          <w:szCs w:val="20"/>
        </w:rPr>
        <w:t xml:space="preserve">The amortized cost and estimated fair value of cash equivalents and marketable securities </w:t>
      </w:r>
      <w:r>
        <w:rPr>
          <w:rFonts w:ascii="sans-serif" w:eastAsia="sans-serif" w:hAnsi="sans-serif" w:cs="sans-serif"/>
          <w:color w:val="000000"/>
          <w:sz w:val="20"/>
          <w:szCs w:val="20"/>
        </w:rPr>
        <w:t>of $16.20 billion and $10.78 billion as of April 26, 2020 and January 26, 2020, respectively, are all related to contracts with maturities of less than one year. Unrealized gains and losses were not significant for all periods presented. For the first quar</w:t>
      </w:r>
      <w:r>
        <w:rPr>
          <w:rFonts w:ascii="sans-serif" w:eastAsia="sans-serif" w:hAnsi="sans-serif" w:cs="sans-serif"/>
          <w:color w:val="000000"/>
          <w:sz w:val="20"/>
          <w:szCs w:val="20"/>
        </w:rPr>
        <w:t>ter of fiscal years 2021 and 2020, net realized gains were not significant.</w:t>
      </w:r>
    </w:p>
    <w:p w14:paraId="3693ECDD" w14:textId="77777777" w:rsidR="003734EC" w:rsidRDefault="000E364E">
      <w:pPr>
        <w:spacing w:before="240" w:after="120"/>
        <w:jc w:val="both"/>
      </w:pPr>
      <w:r>
        <w:rPr>
          <w:rFonts w:ascii="sans-serif" w:eastAsia="sans-serif" w:hAnsi="sans-serif" w:cs="sans-serif"/>
          <w:b/>
          <w:bCs/>
          <w:color w:val="76B900"/>
          <w:sz w:val="22"/>
          <w:szCs w:val="22"/>
        </w:rPr>
        <w:t>Note 8 – Fair Value of Financial Assets and Liabilities</w:t>
      </w:r>
    </w:p>
    <w:p w14:paraId="3693ECDE" w14:textId="77777777" w:rsidR="003734EC" w:rsidRDefault="000E364E">
      <w:pPr>
        <w:spacing w:after="180"/>
        <w:jc w:val="both"/>
      </w:pPr>
      <w:r>
        <w:rPr>
          <w:rFonts w:ascii="sans-serif" w:eastAsia="sans-serif" w:hAnsi="sans-serif" w:cs="sans-serif"/>
          <w:color w:val="000000"/>
          <w:sz w:val="20"/>
          <w:szCs w:val="20"/>
        </w:rPr>
        <w:t xml:space="preserve">The fair values of our financial assets and liabilities are determined using quoted market prices of identical assets or quoted market prices of similar assets from active markets. We review fair value hierarchy classification on a quarterly basis. </w:t>
      </w:r>
    </w:p>
    <w:p w14:paraId="3693ECDF" w14:textId="77777777" w:rsidR="003734EC" w:rsidRDefault="000E364E">
      <w:pPr>
        <w:spacing w:after="180"/>
        <w:jc w:val="center"/>
      </w:pPr>
      <w:r>
        <w:rPr>
          <w:rFonts w:ascii="sans-serif" w:eastAsia="sans-serif" w:hAnsi="sans-serif" w:cs="sans-serif"/>
          <w:color w:val="000000"/>
          <w:sz w:val="20"/>
          <w:szCs w:val="20"/>
        </w:rPr>
        <w:t>12</w:t>
      </w:r>
    </w:p>
    <w:p w14:paraId="3693ECE0" w14:textId="77777777" w:rsidR="003734EC" w:rsidRDefault="000E364E">
      <w:r>
        <w:pict w14:anchorId="3693FF55">
          <v:rect id="_x0000_i1035" style="width:415.3pt;height:1.5pt" o:hralign="center" o:hrstd="t" o:hr="t" fillcolor="#a0a0a0" stroked="f"/>
        </w:pict>
      </w:r>
    </w:p>
    <w:p w14:paraId="3693ECE1" w14:textId="77777777" w:rsidR="003734EC" w:rsidRDefault="000E364E">
      <w:pPr>
        <w:jc w:val="center"/>
      </w:pPr>
      <w:r>
        <w:rPr>
          <w:rFonts w:ascii="sans-serif" w:eastAsia="sans-serif" w:hAnsi="sans-serif" w:cs="sans-serif"/>
          <w:b/>
          <w:bCs/>
          <w:color w:val="000000"/>
          <w:sz w:val="20"/>
          <w:szCs w:val="20"/>
        </w:rPr>
        <w:t>N</w:t>
      </w:r>
      <w:r>
        <w:rPr>
          <w:rFonts w:ascii="sans-serif" w:eastAsia="sans-serif" w:hAnsi="sans-serif" w:cs="sans-serif"/>
          <w:b/>
          <w:bCs/>
          <w:color w:val="000000"/>
          <w:sz w:val="20"/>
          <w:szCs w:val="20"/>
        </w:rPr>
        <w:t>VIDIA CORPORATION AND SUBSIDIARIES</w:t>
      </w:r>
    </w:p>
    <w:p w14:paraId="3693ECE2"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ECE3" w14:textId="77777777" w:rsidR="003734EC" w:rsidRDefault="000E364E">
      <w:pPr>
        <w:jc w:val="center"/>
      </w:pPr>
      <w:r>
        <w:rPr>
          <w:rFonts w:ascii="sans-serif" w:eastAsia="sans-serif" w:hAnsi="sans-serif" w:cs="sans-serif"/>
          <w:b/>
          <w:bCs/>
          <w:color w:val="000000"/>
          <w:sz w:val="20"/>
          <w:szCs w:val="20"/>
        </w:rPr>
        <w:t>(Unaudited)</w:t>
      </w:r>
    </w:p>
    <w:p w14:paraId="3693ECE4" w14:textId="77777777" w:rsidR="003734EC" w:rsidRDefault="003734EC">
      <w:pPr>
        <w:spacing w:after="180"/>
        <w:jc w:val="both"/>
      </w:pPr>
    </w:p>
    <w:p w14:paraId="3693ECE5" w14:textId="77777777" w:rsidR="003734EC" w:rsidRDefault="003734EC">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57"/>
        <w:gridCol w:w="3485"/>
        <w:gridCol w:w="57"/>
        <w:gridCol w:w="57"/>
        <w:gridCol w:w="954"/>
        <w:gridCol w:w="57"/>
        <w:gridCol w:w="36"/>
        <w:gridCol w:w="36"/>
        <w:gridCol w:w="36"/>
        <w:gridCol w:w="137"/>
        <w:gridCol w:w="1334"/>
        <w:gridCol w:w="81"/>
        <w:gridCol w:w="36"/>
        <w:gridCol w:w="43"/>
        <w:gridCol w:w="36"/>
        <w:gridCol w:w="137"/>
        <w:gridCol w:w="1352"/>
        <w:gridCol w:w="81"/>
        <w:gridCol w:w="36"/>
        <w:gridCol w:w="36"/>
        <w:gridCol w:w="36"/>
        <w:gridCol w:w="36"/>
        <w:gridCol w:w="36"/>
        <w:gridCol w:w="36"/>
        <w:gridCol w:w="36"/>
        <w:gridCol w:w="36"/>
        <w:gridCol w:w="36"/>
      </w:tblGrid>
      <w:tr w:rsidR="003734EC" w14:paraId="3693ECF8" w14:textId="77777777">
        <w:trPr>
          <w:gridAfter w:val="9"/>
        </w:trPr>
        <w:tc>
          <w:tcPr>
            <w:tcW w:w="50" w:type="pct"/>
            <w:shd w:val="clear" w:color="auto" w:fill="auto"/>
            <w:vAlign w:val="center"/>
          </w:tcPr>
          <w:p w14:paraId="3693ECE6" w14:textId="77777777" w:rsidR="003734EC" w:rsidRDefault="003734EC">
            <w:pPr>
              <w:rPr>
                <w:rFonts w:ascii="宋体"/>
              </w:rPr>
            </w:pPr>
          </w:p>
        </w:tc>
        <w:tc>
          <w:tcPr>
            <w:tcW w:w="2188" w:type="pct"/>
            <w:shd w:val="clear" w:color="auto" w:fill="auto"/>
            <w:vAlign w:val="center"/>
          </w:tcPr>
          <w:p w14:paraId="3693ECE7" w14:textId="77777777" w:rsidR="003734EC" w:rsidRDefault="003734EC">
            <w:pPr>
              <w:rPr>
                <w:rFonts w:ascii="宋体"/>
              </w:rPr>
            </w:pPr>
          </w:p>
        </w:tc>
        <w:tc>
          <w:tcPr>
            <w:tcW w:w="50" w:type="pct"/>
            <w:shd w:val="clear" w:color="auto" w:fill="auto"/>
            <w:vAlign w:val="center"/>
          </w:tcPr>
          <w:p w14:paraId="3693ECE8" w14:textId="77777777" w:rsidR="003734EC" w:rsidRDefault="003734EC">
            <w:pPr>
              <w:rPr>
                <w:rFonts w:ascii="宋体"/>
              </w:rPr>
            </w:pPr>
          </w:p>
        </w:tc>
        <w:tc>
          <w:tcPr>
            <w:tcW w:w="50" w:type="pct"/>
            <w:shd w:val="clear" w:color="auto" w:fill="auto"/>
            <w:vAlign w:val="center"/>
          </w:tcPr>
          <w:p w14:paraId="3693ECE9" w14:textId="77777777" w:rsidR="003734EC" w:rsidRDefault="003734EC">
            <w:pPr>
              <w:rPr>
                <w:rFonts w:ascii="宋体"/>
              </w:rPr>
            </w:pPr>
          </w:p>
        </w:tc>
        <w:tc>
          <w:tcPr>
            <w:tcW w:w="609" w:type="pct"/>
            <w:shd w:val="clear" w:color="auto" w:fill="auto"/>
            <w:vAlign w:val="center"/>
          </w:tcPr>
          <w:p w14:paraId="3693ECEA" w14:textId="77777777" w:rsidR="003734EC" w:rsidRDefault="003734EC">
            <w:pPr>
              <w:rPr>
                <w:rFonts w:ascii="宋体"/>
              </w:rPr>
            </w:pPr>
          </w:p>
        </w:tc>
        <w:tc>
          <w:tcPr>
            <w:tcW w:w="50" w:type="pct"/>
            <w:shd w:val="clear" w:color="auto" w:fill="auto"/>
            <w:vAlign w:val="center"/>
          </w:tcPr>
          <w:p w14:paraId="3693ECEB" w14:textId="77777777" w:rsidR="003734EC" w:rsidRDefault="003734EC">
            <w:pPr>
              <w:rPr>
                <w:rFonts w:ascii="宋体"/>
              </w:rPr>
            </w:pPr>
          </w:p>
        </w:tc>
        <w:tc>
          <w:tcPr>
            <w:tcW w:w="5" w:type="pct"/>
            <w:shd w:val="clear" w:color="auto" w:fill="auto"/>
            <w:vAlign w:val="center"/>
          </w:tcPr>
          <w:p w14:paraId="3693ECEC" w14:textId="77777777" w:rsidR="003734EC" w:rsidRDefault="003734EC">
            <w:pPr>
              <w:rPr>
                <w:rFonts w:ascii="宋体"/>
              </w:rPr>
            </w:pPr>
          </w:p>
        </w:tc>
        <w:tc>
          <w:tcPr>
            <w:tcW w:w="26" w:type="pct"/>
            <w:shd w:val="clear" w:color="auto" w:fill="auto"/>
            <w:vAlign w:val="center"/>
          </w:tcPr>
          <w:p w14:paraId="3693ECED" w14:textId="77777777" w:rsidR="003734EC" w:rsidRDefault="003734EC">
            <w:pPr>
              <w:rPr>
                <w:rFonts w:ascii="宋体"/>
              </w:rPr>
            </w:pPr>
          </w:p>
        </w:tc>
        <w:tc>
          <w:tcPr>
            <w:tcW w:w="5" w:type="pct"/>
            <w:shd w:val="clear" w:color="auto" w:fill="auto"/>
            <w:vAlign w:val="center"/>
          </w:tcPr>
          <w:p w14:paraId="3693ECEE" w14:textId="77777777" w:rsidR="003734EC" w:rsidRDefault="003734EC">
            <w:pPr>
              <w:rPr>
                <w:rFonts w:ascii="宋体"/>
              </w:rPr>
            </w:pPr>
          </w:p>
        </w:tc>
        <w:tc>
          <w:tcPr>
            <w:tcW w:w="50" w:type="pct"/>
            <w:shd w:val="clear" w:color="auto" w:fill="auto"/>
            <w:vAlign w:val="center"/>
          </w:tcPr>
          <w:p w14:paraId="3693ECEF" w14:textId="77777777" w:rsidR="003734EC" w:rsidRDefault="003734EC">
            <w:pPr>
              <w:rPr>
                <w:rFonts w:ascii="宋体"/>
              </w:rPr>
            </w:pPr>
          </w:p>
        </w:tc>
        <w:tc>
          <w:tcPr>
            <w:tcW w:w="857" w:type="pct"/>
            <w:shd w:val="clear" w:color="auto" w:fill="auto"/>
            <w:vAlign w:val="center"/>
          </w:tcPr>
          <w:p w14:paraId="3693ECF0" w14:textId="77777777" w:rsidR="003734EC" w:rsidRDefault="003734EC">
            <w:pPr>
              <w:rPr>
                <w:rFonts w:ascii="宋体"/>
              </w:rPr>
            </w:pPr>
          </w:p>
        </w:tc>
        <w:tc>
          <w:tcPr>
            <w:tcW w:w="50" w:type="pct"/>
            <w:shd w:val="clear" w:color="auto" w:fill="auto"/>
            <w:vAlign w:val="center"/>
          </w:tcPr>
          <w:p w14:paraId="3693ECF1" w14:textId="77777777" w:rsidR="003734EC" w:rsidRDefault="003734EC">
            <w:pPr>
              <w:rPr>
                <w:rFonts w:ascii="宋体"/>
              </w:rPr>
            </w:pPr>
          </w:p>
        </w:tc>
        <w:tc>
          <w:tcPr>
            <w:tcW w:w="5" w:type="pct"/>
            <w:shd w:val="clear" w:color="auto" w:fill="auto"/>
            <w:vAlign w:val="center"/>
          </w:tcPr>
          <w:p w14:paraId="3693ECF2" w14:textId="77777777" w:rsidR="003734EC" w:rsidRDefault="003734EC">
            <w:pPr>
              <w:rPr>
                <w:rFonts w:ascii="宋体"/>
              </w:rPr>
            </w:pPr>
          </w:p>
        </w:tc>
        <w:tc>
          <w:tcPr>
            <w:tcW w:w="41" w:type="pct"/>
            <w:shd w:val="clear" w:color="auto" w:fill="auto"/>
            <w:vAlign w:val="center"/>
          </w:tcPr>
          <w:p w14:paraId="3693ECF3" w14:textId="77777777" w:rsidR="003734EC" w:rsidRDefault="003734EC">
            <w:pPr>
              <w:rPr>
                <w:rFonts w:ascii="宋体"/>
              </w:rPr>
            </w:pPr>
          </w:p>
        </w:tc>
        <w:tc>
          <w:tcPr>
            <w:tcW w:w="5" w:type="pct"/>
            <w:shd w:val="clear" w:color="auto" w:fill="auto"/>
            <w:vAlign w:val="center"/>
          </w:tcPr>
          <w:p w14:paraId="3693ECF4" w14:textId="77777777" w:rsidR="003734EC" w:rsidRDefault="003734EC">
            <w:pPr>
              <w:rPr>
                <w:rFonts w:ascii="宋体"/>
              </w:rPr>
            </w:pPr>
          </w:p>
        </w:tc>
        <w:tc>
          <w:tcPr>
            <w:tcW w:w="50" w:type="pct"/>
            <w:shd w:val="clear" w:color="auto" w:fill="auto"/>
            <w:vAlign w:val="center"/>
          </w:tcPr>
          <w:p w14:paraId="3693ECF5" w14:textId="77777777" w:rsidR="003734EC" w:rsidRDefault="003734EC">
            <w:pPr>
              <w:rPr>
                <w:rFonts w:ascii="宋体"/>
              </w:rPr>
            </w:pPr>
          </w:p>
        </w:tc>
        <w:tc>
          <w:tcPr>
            <w:tcW w:w="857" w:type="pct"/>
            <w:shd w:val="clear" w:color="auto" w:fill="auto"/>
            <w:vAlign w:val="center"/>
          </w:tcPr>
          <w:p w14:paraId="3693ECF6" w14:textId="77777777" w:rsidR="003734EC" w:rsidRDefault="003734EC">
            <w:pPr>
              <w:rPr>
                <w:rFonts w:ascii="宋体"/>
              </w:rPr>
            </w:pPr>
          </w:p>
        </w:tc>
        <w:tc>
          <w:tcPr>
            <w:tcW w:w="50" w:type="pct"/>
            <w:shd w:val="clear" w:color="auto" w:fill="auto"/>
            <w:vAlign w:val="center"/>
          </w:tcPr>
          <w:p w14:paraId="3693ECF7" w14:textId="77777777" w:rsidR="003734EC" w:rsidRDefault="003734EC">
            <w:pPr>
              <w:rPr>
                <w:rFonts w:ascii="宋体"/>
              </w:rPr>
            </w:pPr>
          </w:p>
        </w:tc>
      </w:tr>
      <w:tr w:rsidR="003734EC" w14:paraId="3693ECFF" w14:textId="77777777">
        <w:tc>
          <w:tcPr>
            <w:tcW w:w="0" w:type="auto"/>
            <w:gridSpan w:val="6"/>
            <w:shd w:val="clear" w:color="auto" w:fill="auto"/>
            <w:tcMar>
              <w:left w:w="20" w:type="dxa"/>
              <w:right w:w="20" w:type="dxa"/>
            </w:tcMar>
            <w:vAlign w:val="bottom"/>
          </w:tcPr>
          <w:p w14:paraId="3693ECF9" w14:textId="77777777" w:rsidR="003734EC" w:rsidRDefault="003734EC">
            <w:pPr>
              <w:rPr>
                <w:rFonts w:ascii="宋体"/>
              </w:rPr>
            </w:pPr>
          </w:p>
        </w:tc>
        <w:tc>
          <w:tcPr>
            <w:tcW w:w="0" w:type="auto"/>
            <w:gridSpan w:val="3"/>
            <w:shd w:val="clear" w:color="auto" w:fill="auto"/>
            <w:vAlign w:val="center"/>
          </w:tcPr>
          <w:p w14:paraId="3693ECFA"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CFB" w14:textId="77777777" w:rsidR="003734EC" w:rsidRDefault="003734EC">
            <w:pPr>
              <w:rPr>
                <w:rFonts w:ascii="宋体"/>
              </w:rPr>
            </w:pPr>
          </w:p>
        </w:tc>
        <w:tc>
          <w:tcPr>
            <w:tcW w:w="0" w:type="auto"/>
            <w:gridSpan w:val="9"/>
            <w:shd w:val="clear" w:color="auto" w:fill="auto"/>
            <w:tcMar>
              <w:top w:w="40" w:type="dxa"/>
              <w:left w:w="20" w:type="dxa"/>
              <w:bottom w:w="40" w:type="dxa"/>
              <w:right w:w="20" w:type="dxa"/>
            </w:tcMar>
            <w:vAlign w:val="bottom"/>
          </w:tcPr>
          <w:p w14:paraId="3693ECFC" w14:textId="77777777" w:rsidR="003734EC" w:rsidRDefault="000E364E">
            <w:pPr>
              <w:jc w:val="center"/>
              <w:textAlignment w:val="bottom"/>
            </w:pPr>
            <w:r>
              <w:rPr>
                <w:rFonts w:ascii="sans-serif" w:eastAsia="sans-serif" w:hAnsi="sans-serif" w:cs="sans-serif"/>
                <w:b/>
                <w:bCs/>
                <w:color w:val="000000"/>
                <w:sz w:val="20"/>
                <w:szCs w:val="20"/>
              </w:rPr>
              <w:t>Fair Value at</w:t>
            </w:r>
          </w:p>
        </w:tc>
        <w:tc>
          <w:tcPr>
            <w:tcW w:w="0" w:type="auto"/>
            <w:gridSpan w:val="3"/>
            <w:shd w:val="clear" w:color="auto" w:fill="auto"/>
            <w:vAlign w:val="center"/>
          </w:tcPr>
          <w:p w14:paraId="3693ECFD" w14:textId="77777777" w:rsidR="003734EC" w:rsidRDefault="003734EC">
            <w:pPr>
              <w:rPr>
                <w:rFonts w:ascii="宋体"/>
                <w:vanish/>
              </w:rPr>
            </w:pPr>
          </w:p>
        </w:tc>
        <w:tc>
          <w:tcPr>
            <w:tcW w:w="0" w:type="auto"/>
            <w:gridSpan w:val="3"/>
            <w:shd w:val="clear" w:color="auto" w:fill="auto"/>
            <w:vAlign w:val="center"/>
          </w:tcPr>
          <w:p w14:paraId="3693ECFE" w14:textId="77777777" w:rsidR="003734EC" w:rsidRDefault="003734EC">
            <w:pPr>
              <w:rPr>
                <w:rFonts w:ascii="宋体"/>
                <w:vanish/>
              </w:rPr>
            </w:pPr>
          </w:p>
        </w:tc>
      </w:tr>
      <w:tr w:rsidR="003734EC" w14:paraId="3693ED0F" w14:textId="77777777">
        <w:tc>
          <w:tcPr>
            <w:tcW w:w="0" w:type="auto"/>
            <w:gridSpan w:val="3"/>
            <w:shd w:val="clear" w:color="auto" w:fill="auto"/>
            <w:tcMar>
              <w:left w:w="20" w:type="dxa"/>
              <w:right w:w="20" w:type="dxa"/>
            </w:tcMar>
            <w:vAlign w:val="bottom"/>
          </w:tcPr>
          <w:p w14:paraId="3693ED0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D01" w14:textId="77777777" w:rsidR="003734EC" w:rsidRDefault="000E364E">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left w:w="20" w:type="dxa"/>
              <w:right w:w="20" w:type="dxa"/>
            </w:tcMar>
            <w:vAlign w:val="bottom"/>
          </w:tcPr>
          <w:p w14:paraId="3693ED02"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D03"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tcBorders>
              <w:top w:val="single" w:sz="8" w:space="0" w:color="000000"/>
            </w:tcBorders>
            <w:shd w:val="clear" w:color="auto" w:fill="auto"/>
            <w:tcMar>
              <w:left w:w="20" w:type="dxa"/>
              <w:right w:w="20" w:type="dxa"/>
            </w:tcMar>
            <w:vAlign w:val="bottom"/>
          </w:tcPr>
          <w:p w14:paraId="3693ED04"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D05" w14:textId="77777777" w:rsidR="003734EC" w:rsidRDefault="000E364E">
            <w:pPr>
              <w:jc w:val="center"/>
              <w:textAlignment w:val="bottom"/>
            </w:pPr>
            <w:r>
              <w:rPr>
                <w:rFonts w:ascii="sans-serif" w:eastAsia="sans-serif" w:hAnsi="sans-serif" w:cs="sans-serif"/>
                <w:b/>
                <w:bCs/>
                <w:color w:val="000000"/>
                <w:sz w:val="20"/>
                <w:szCs w:val="20"/>
              </w:rPr>
              <w:t>January 26, 2020</w:t>
            </w:r>
          </w:p>
        </w:tc>
        <w:tc>
          <w:tcPr>
            <w:tcW w:w="0" w:type="auto"/>
            <w:shd w:val="clear" w:color="auto" w:fill="auto"/>
            <w:vAlign w:val="center"/>
          </w:tcPr>
          <w:p w14:paraId="3693ED06" w14:textId="77777777" w:rsidR="003734EC" w:rsidRDefault="003734EC">
            <w:pPr>
              <w:rPr>
                <w:rFonts w:ascii="宋体"/>
              </w:rPr>
            </w:pPr>
          </w:p>
        </w:tc>
        <w:tc>
          <w:tcPr>
            <w:tcW w:w="0" w:type="auto"/>
            <w:shd w:val="clear" w:color="auto" w:fill="auto"/>
            <w:vAlign w:val="center"/>
          </w:tcPr>
          <w:p w14:paraId="3693ED07" w14:textId="77777777" w:rsidR="003734EC" w:rsidRDefault="003734EC">
            <w:pPr>
              <w:rPr>
                <w:rFonts w:ascii="宋体"/>
              </w:rPr>
            </w:pPr>
          </w:p>
        </w:tc>
        <w:tc>
          <w:tcPr>
            <w:tcW w:w="0" w:type="auto"/>
            <w:shd w:val="clear" w:color="auto" w:fill="auto"/>
            <w:vAlign w:val="center"/>
          </w:tcPr>
          <w:p w14:paraId="3693ED08" w14:textId="77777777" w:rsidR="003734EC" w:rsidRDefault="003734EC">
            <w:pPr>
              <w:rPr>
                <w:rFonts w:ascii="宋体"/>
              </w:rPr>
            </w:pPr>
          </w:p>
        </w:tc>
        <w:tc>
          <w:tcPr>
            <w:tcW w:w="0" w:type="auto"/>
            <w:shd w:val="clear" w:color="auto" w:fill="auto"/>
            <w:vAlign w:val="center"/>
          </w:tcPr>
          <w:p w14:paraId="3693ED09" w14:textId="77777777" w:rsidR="003734EC" w:rsidRDefault="003734EC">
            <w:pPr>
              <w:rPr>
                <w:rFonts w:ascii="宋体"/>
              </w:rPr>
            </w:pPr>
          </w:p>
        </w:tc>
        <w:tc>
          <w:tcPr>
            <w:tcW w:w="0" w:type="auto"/>
            <w:shd w:val="clear" w:color="auto" w:fill="auto"/>
            <w:vAlign w:val="center"/>
          </w:tcPr>
          <w:p w14:paraId="3693ED0A" w14:textId="77777777" w:rsidR="003734EC" w:rsidRDefault="003734EC">
            <w:pPr>
              <w:rPr>
                <w:rFonts w:ascii="宋体"/>
              </w:rPr>
            </w:pPr>
          </w:p>
        </w:tc>
        <w:tc>
          <w:tcPr>
            <w:tcW w:w="0" w:type="auto"/>
            <w:shd w:val="clear" w:color="auto" w:fill="auto"/>
            <w:vAlign w:val="center"/>
          </w:tcPr>
          <w:p w14:paraId="3693ED0B" w14:textId="77777777" w:rsidR="003734EC" w:rsidRDefault="003734EC">
            <w:pPr>
              <w:rPr>
                <w:rFonts w:ascii="宋体"/>
              </w:rPr>
            </w:pPr>
          </w:p>
        </w:tc>
        <w:tc>
          <w:tcPr>
            <w:tcW w:w="0" w:type="auto"/>
            <w:shd w:val="clear" w:color="auto" w:fill="auto"/>
            <w:vAlign w:val="center"/>
          </w:tcPr>
          <w:p w14:paraId="3693ED0C" w14:textId="77777777" w:rsidR="003734EC" w:rsidRDefault="003734EC">
            <w:pPr>
              <w:rPr>
                <w:rFonts w:ascii="宋体"/>
              </w:rPr>
            </w:pPr>
          </w:p>
        </w:tc>
        <w:tc>
          <w:tcPr>
            <w:tcW w:w="0" w:type="auto"/>
            <w:shd w:val="clear" w:color="auto" w:fill="auto"/>
            <w:vAlign w:val="center"/>
          </w:tcPr>
          <w:p w14:paraId="3693ED0D" w14:textId="77777777" w:rsidR="003734EC" w:rsidRDefault="003734EC">
            <w:pPr>
              <w:rPr>
                <w:rFonts w:ascii="宋体"/>
              </w:rPr>
            </w:pPr>
          </w:p>
        </w:tc>
        <w:tc>
          <w:tcPr>
            <w:tcW w:w="0" w:type="auto"/>
            <w:shd w:val="clear" w:color="auto" w:fill="auto"/>
            <w:vAlign w:val="center"/>
          </w:tcPr>
          <w:p w14:paraId="3693ED0E" w14:textId="77777777" w:rsidR="003734EC" w:rsidRDefault="003734EC">
            <w:pPr>
              <w:rPr>
                <w:rFonts w:ascii="宋体"/>
              </w:rPr>
            </w:pPr>
          </w:p>
        </w:tc>
      </w:tr>
      <w:tr w:rsidR="003734EC" w14:paraId="3693ED19" w14:textId="77777777">
        <w:tc>
          <w:tcPr>
            <w:tcW w:w="0" w:type="auto"/>
            <w:gridSpan w:val="3"/>
            <w:shd w:val="clear" w:color="auto" w:fill="auto"/>
            <w:tcMar>
              <w:left w:w="20" w:type="dxa"/>
              <w:right w:w="20" w:type="dxa"/>
            </w:tcMar>
            <w:vAlign w:val="bottom"/>
          </w:tcPr>
          <w:p w14:paraId="3693ED10"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ED1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ED12"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D13"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D14" w14:textId="77777777" w:rsidR="003734EC" w:rsidRDefault="003734EC">
            <w:pPr>
              <w:rPr>
                <w:rFonts w:ascii="宋体"/>
                <w:vanish/>
              </w:rPr>
            </w:pPr>
          </w:p>
        </w:tc>
        <w:tc>
          <w:tcPr>
            <w:tcW w:w="0" w:type="auto"/>
            <w:gridSpan w:val="3"/>
            <w:shd w:val="clear" w:color="auto" w:fill="auto"/>
            <w:vAlign w:val="center"/>
          </w:tcPr>
          <w:p w14:paraId="3693ED15" w14:textId="77777777" w:rsidR="003734EC" w:rsidRDefault="003734EC">
            <w:pPr>
              <w:rPr>
                <w:rFonts w:ascii="宋体"/>
                <w:vanish/>
              </w:rPr>
            </w:pPr>
          </w:p>
        </w:tc>
        <w:tc>
          <w:tcPr>
            <w:tcW w:w="0" w:type="auto"/>
            <w:shd w:val="clear" w:color="auto" w:fill="auto"/>
            <w:vAlign w:val="center"/>
          </w:tcPr>
          <w:p w14:paraId="3693ED16" w14:textId="77777777" w:rsidR="003734EC" w:rsidRDefault="003734EC">
            <w:pPr>
              <w:rPr>
                <w:rFonts w:ascii="宋体"/>
              </w:rPr>
            </w:pPr>
          </w:p>
        </w:tc>
        <w:tc>
          <w:tcPr>
            <w:tcW w:w="0" w:type="auto"/>
            <w:shd w:val="clear" w:color="auto" w:fill="auto"/>
            <w:vAlign w:val="center"/>
          </w:tcPr>
          <w:p w14:paraId="3693ED17" w14:textId="77777777" w:rsidR="003734EC" w:rsidRDefault="003734EC">
            <w:pPr>
              <w:rPr>
                <w:rFonts w:ascii="宋体"/>
              </w:rPr>
            </w:pPr>
          </w:p>
        </w:tc>
        <w:tc>
          <w:tcPr>
            <w:tcW w:w="0" w:type="auto"/>
            <w:shd w:val="clear" w:color="auto" w:fill="auto"/>
            <w:vAlign w:val="center"/>
          </w:tcPr>
          <w:p w14:paraId="3693ED18" w14:textId="77777777" w:rsidR="003734EC" w:rsidRDefault="003734EC">
            <w:pPr>
              <w:rPr>
                <w:rFonts w:ascii="宋体"/>
              </w:rPr>
            </w:pPr>
          </w:p>
        </w:tc>
      </w:tr>
      <w:tr w:rsidR="003734EC" w14:paraId="3693ED29" w14:textId="77777777">
        <w:tc>
          <w:tcPr>
            <w:tcW w:w="0" w:type="auto"/>
            <w:gridSpan w:val="3"/>
            <w:shd w:val="clear" w:color="auto" w:fill="FFFFFF"/>
            <w:tcMar>
              <w:top w:w="40" w:type="dxa"/>
              <w:left w:w="20" w:type="dxa"/>
              <w:bottom w:w="40" w:type="dxa"/>
              <w:right w:w="20" w:type="dxa"/>
            </w:tcMar>
            <w:vAlign w:val="bottom"/>
          </w:tcPr>
          <w:p w14:paraId="3693ED1A" w14:textId="77777777" w:rsidR="003734EC" w:rsidRDefault="000E364E">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left w:w="20" w:type="dxa"/>
              <w:right w:w="20" w:type="dxa"/>
            </w:tcMar>
            <w:vAlign w:val="bottom"/>
          </w:tcPr>
          <w:p w14:paraId="3693ED1B"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D1C"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D1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D1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D1F" w14:textId="77777777" w:rsidR="003734EC" w:rsidRDefault="003734EC">
            <w:pPr>
              <w:rPr>
                <w:rFonts w:ascii="宋体"/>
              </w:rPr>
            </w:pPr>
          </w:p>
        </w:tc>
        <w:tc>
          <w:tcPr>
            <w:tcW w:w="0" w:type="auto"/>
            <w:shd w:val="clear" w:color="auto" w:fill="auto"/>
            <w:vAlign w:val="center"/>
          </w:tcPr>
          <w:p w14:paraId="3693ED20" w14:textId="77777777" w:rsidR="003734EC" w:rsidRDefault="003734EC">
            <w:pPr>
              <w:rPr>
                <w:rFonts w:ascii="宋体"/>
              </w:rPr>
            </w:pPr>
          </w:p>
        </w:tc>
        <w:tc>
          <w:tcPr>
            <w:tcW w:w="0" w:type="auto"/>
            <w:shd w:val="clear" w:color="auto" w:fill="auto"/>
            <w:vAlign w:val="center"/>
          </w:tcPr>
          <w:p w14:paraId="3693ED21" w14:textId="77777777" w:rsidR="003734EC" w:rsidRDefault="003734EC">
            <w:pPr>
              <w:rPr>
                <w:rFonts w:ascii="宋体"/>
              </w:rPr>
            </w:pPr>
          </w:p>
        </w:tc>
        <w:tc>
          <w:tcPr>
            <w:tcW w:w="0" w:type="auto"/>
            <w:shd w:val="clear" w:color="auto" w:fill="auto"/>
            <w:vAlign w:val="center"/>
          </w:tcPr>
          <w:p w14:paraId="3693ED22" w14:textId="77777777" w:rsidR="003734EC" w:rsidRDefault="003734EC">
            <w:pPr>
              <w:rPr>
                <w:rFonts w:ascii="宋体"/>
              </w:rPr>
            </w:pPr>
          </w:p>
        </w:tc>
        <w:tc>
          <w:tcPr>
            <w:tcW w:w="0" w:type="auto"/>
            <w:shd w:val="clear" w:color="auto" w:fill="auto"/>
            <w:vAlign w:val="center"/>
          </w:tcPr>
          <w:p w14:paraId="3693ED23" w14:textId="77777777" w:rsidR="003734EC" w:rsidRDefault="003734EC">
            <w:pPr>
              <w:rPr>
                <w:rFonts w:ascii="宋体"/>
              </w:rPr>
            </w:pPr>
          </w:p>
        </w:tc>
        <w:tc>
          <w:tcPr>
            <w:tcW w:w="0" w:type="auto"/>
            <w:shd w:val="clear" w:color="auto" w:fill="auto"/>
            <w:vAlign w:val="center"/>
          </w:tcPr>
          <w:p w14:paraId="3693ED24" w14:textId="77777777" w:rsidR="003734EC" w:rsidRDefault="003734EC">
            <w:pPr>
              <w:rPr>
                <w:rFonts w:ascii="宋体"/>
              </w:rPr>
            </w:pPr>
          </w:p>
        </w:tc>
        <w:tc>
          <w:tcPr>
            <w:tcW w:w="0" w:type="auto"/>
            <w:shd w:val="clear" w:color="auto" w:fill="auto"/>
            <w:vAlign w:val="center"/>
          </w:tcPr>
          <w:p w14:paraId="3693ED25" w14:textId="77777777" w:rsidR="003734EC" w:rsidRDefault="003734EC">
            <w:pPr>
              <w:rPr>
                <w:rFonts w:ascii="宋体"/>
              </w:rPr>
            </w:pPr>
          </w:p>
        </w:tc>
        <w:tc>
          <w:tcPr>
            <w:tcW w:w="0" w:type="auto"/>
            <w:shd w:val="clear" w:color="auto" w:fill="auto"/>
            <w:vAlign w:val="center"/>
          </w:tcPr>
          <w:p w14:paraId="3693ED26" w14:textId="77777777" w:rsidR="003734EC" w:rsidRDefault="003734EC">
            <w:pPr>
              <w:rPr>
                <w:rFonts w:ascii="宋体"/>
              </w:rPr>
            </w:pPr>
          </w:p>
        </w:tc>
        <w:tc>
          <w:tcPr>
            <w:tcW w:w="0" w:type="auto"/>
            <w:shd w:val="clear" w:color="auto" w:fill="auto"/>
            <w:vAlign w:val="center"/>
          </w:tcPr>
          <w:p w14:paraId="3693ED27" w14:textId="77777777" w:rsidR="003734EC" w:rsidRDefault="003734EC">
            <w:pPr>
              <w:rPr>
                <w:rFonts w:ascii="宋体"/>
              </w:rPr>
            </w:pPr>
          </w:p>
        </w:tc>
        <w:tc>
          <w:tcPr>
            <w:tcW w:w="0" w:type="auto"/>
            <w:shd w:val="clear" w:color="auto" w:fill="auto"/>
            <w:vAlign w:val="center"/>
          </w:tcPr>
          <w:p w14:paraId="3693ED28" w14:textId="77777777" w:rsidR="003734EC" w:rsidRDefault="003734EC">
            <w:pPr>
              <w:rPr>
                <w:rFonts w:ascii="宋体"/>
              </w:rPr>
            </w:pPr>
          </w:p>
        </w:tc>
      </w:tr>
      <w:tr w:rsidR="003734EC" w14:paraId="3693ED39" w14:textId="77777777">
        <w:tc>
          <w:tcPr>
            <w:tcW w:w="0" w:type="auto"/>
            <w:gridSpan w:val="3"/>
            <w:shd w:val="clear" w:color="auto" w:fill="E2EFD9"/>
            <w:tcMar>
              <w:top w:w="40" w:type="dxa"/>
              <w:left w:w="20" w:type="dxa"/>
              <w:bottom w:w="40" w:type="dxa"/>
              <w:right w:w="20" w:type="dxa"/>
            </w:tcMar>
            <w:vAlign w:val="bottom"/>
          </w:tcPr>
          <w:p w14:paraId="3693ED2A" w14:textId="77777777" w:rsidR="003734EC" w:rsidRDefault="000E364E">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left w:w="20" w:type="dxa"/>
              <w:right w:w="20" w:type="dxa"/>
            </w:tcMar>
            <w:vAlign w:val="bottom"/>
          </w:tcPr>
          <w:p w14:paraId="3693ED2B" w14:textId="77777777" w:rsidR="003734EC" w:rsidRDefault="003734EC">
            <w:pPr>
              <w:jc w:val="center"/>
              <w:rPr>
                <w:rFonts w:ascii="宋体"/>
              </w:rPr>
            </w:pPr>
          </w:p>
        </w:tc>
        <w:tc>
          <w:tcPr>
            <w:tcW w:w="0" w:type="auto"/>
            <w:gridSpan w:val="3"/>
            <w:shd w:val="clear" w:color="auto" w:fill="E2EFD9"/>
            <w:tcMar>
              <w:left w:w="20" w:type="dxa"/>
              <w:right w:w="20" w:type="dxa"/>
            </w:tcMar>
            <w:vAlign w:val="bottom"/>
          </w:tcPr>
          <w:p w14:paraId="3693ED2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2D"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2E"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2F" w14:textId="77777777" w:rsidR="003734EC" w:rsidRDefault="003734EC">
            <w:pPr>
              <w:rPr>
                <w:rFonts w:ascii="宋体"/>
              </w:rPr>
            </w:pPr>
          </w:p>
        </w:tc>
        <w:tc>
          <w:tcPr>
            <w:tcW w:w="0" w:type="auto"/>
            <w:shd w:val="clear" w:color="auto" w:fill="auto"/>
            <w:vAlign w:val="center"/>
          </w:tcPr>
          <w:p w14:paraId="3693ED30" w14:textId="77777777" w:rsidR="003734EC" w:rsidRDefault="003734EC">
            <w:pPr>
              <w:rPr>
                <w:rFonts w:ascii="宋体"/>
              </w:rPr>
            </w:pPr>
          </w:p>
        </w:tc>
        <w:tc>
          <w:tcPr>
            <w:tcW w:w="0" w:type="auto"/>
            <w:shd w:val="clear" w:color="auto" w:fill="auto"/>
            <w:vAlign w:val="center"/>
          </w:tcPr>
          <w:p w14:paraId="3693ED31" w14:textId="77777777" w:rsidR="003734EC" w:rsidRDefault="003734EC">
            <w:pPr>
              <w:rPr>
                <w:rFonts w:ascii="宋体"/>
              </w:rPr>
            </w:pPr>
          </w:p>
        </w:tc>
        <w:tc>
          <w:tcPr>
            <w:tcW w:w="0" w:type="auto"/>
            <w:shd w:val="clear" w:color="auto" w:fill="auto"/>
            <w:vAlign w:val="center"/>
          </w:tcPr>
          <w:p w14:paraId="3693ED32" w14:textId="77777777" w:rsidR="003734EC" w:rsidRDefault="003734EC">
            <w:pPr>
              <w:rPr>
                <w:rFonts w:ascii="宋体"/>
              </w:rPr>
            </w:pPr>
          </w:p>
        </w:tc>
        <w:tc>
          <w:tcPr>
            <w:tcW w:w="0" w:type="auto"/>
            <w:shd w:val="clear" w:color="auto" w:fill="auto"/>
            <w:vAlign w:val="center"/>
          </w:tcPr>
          <w:p w14:paraId="3693ED33" w14:textId="77777777" w:rsidR="003734EC" w:rsidRDefault="003734EC">
            <w:pPr>
              <w:rPr>
                <w:rFonts w:ascii="宋体"/>
              </w:rPr>
            </w:pPr>
          </w:p>
        </w:tc>
        <w:tc>
          <w:tcPr>
            <w:tcW w:w="0" w:type="auto"/>
            <w:shd w:val="clear" w:color="auto" w:fill="auto"/>
            <w:vAlign w:val="center"/>
          </w:tcPr>
          <w:p w14:paraId="3693ED34" w14:textId="77777777" w:rsidR="003734EC" w:rsidRDefault="003734EC">
            <w:pPr>
              <w:rPr>
                <w:rFonts w:ascii="宋体"/>
              </w:rPr>
            </w:pPr>
          </w:p>
        </w:tc>
        <w:tc>
          <w:tcPr>
            <w:tcW w:w="0" w:type="auto"/>
            <w:shd w:val="clear" w:color="auto" w:fill="auto"/>
            <w:vAlign w:val="center"/>
          </w:tcPr>
          <w:p w14:paraId="3693ED35" w14:textId="77777777" w:rsidR="003734EC" w:rsidRDefault="003734EC">
            <w:pPr>
              <w:rPr>
                <w:rFonts w:ascii="宋体"/>
              </w:rPr>
            </w:pPr>
          </w:p>
        </w:tc>
        <w:tc>
          <w:tcPr>
            <w:tcW w:w="0" w:type="auto"/>
            <w:shd w:val="clear" w:color="auto" w:fill="auto"/>
            <w:vAlign w:val="center"/>
          </w:tcPr>
          <w:p w14:paraId="3693ED36" w14:textId="77777777" w:rsidR="003734EC" w:rsidRDefault="003734EC">
            <w:pPr>
              <w:rPr>
                <w:rFonts w:ascii="宋体"/>
              </w:rPr>
            </w:pPr>
          </w:p>
        </w:tc>
        <w:tc>
          <w:tcPr>
            <w:tcW w:w="0" w:type="auto"/>
            <w:shd w:val="clear" w:color="auto" w:fill="auto"/>
            <w:vAlign w:val="center"/>
          </w:tcPr>
          <w:p w14:paraId="3693ED37" w14:textId="77777777" w:rsidR="003734EC" w:rsidRDefault="003734EC">
            <w:pPr>
              <w:rPr>
                <w:rFonts w:ascii="宋体"/>
              </w:rPr>
            </w:pPr>
          </w:p>
        </w:tc>
        <w:tc>
          <w:tcPr>
            <w:tcW w:w="0" w:type="auto"/>
            <w:shd w:val="clear" w:color="auto" w:fill="auto"/>
            <w:vAlign w:val="center"/>
          </w:tcPr>
          <w:p w14:paraId="3693ED38" w14:textId="77777777" w:rsidR="003734EC" w:rsidRDefault="003734EC">
            <w:pPr>
              <w:rPr>
                <w:rFonts w:ascii="宋体"/>
              </w:rPr>
            </w:pPr>
          </w:p>
        </w:tc>
      </w:tr>
      <w:tr w:rsidR="003734EC" w14:paraId="3693ED4D" w14:textId="77777777">
        <w:tc>
          <w:tcPr>
            <w:tcW w:w="0" w:type="auto"/>
            <w:gridSpan w:val="3"/>
            <w:shd w:val="clear" w:color="auto" w:fill="FFFFFF"/>
            <w:tcMar>
              <w:top w:w="40" w:type="dxa"/>
              <w:left w:w="180" w:type="dxa"/>
              <w:bottom w:w="40" w:type="dxa"/>
              <w:right w:w="20" w:type="dxa"/>
            </w:tcMar>
            <w:vAlign w:val="bottom"/>
          </w:tcPr>
          <w:p w14:paraId="3693ED3A" w14:textId="77777777" w:rsidR="003734EC" w:rsidRDefault="000E364E">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3693ED3B" w14:textId="77777777" w:rsidR="003734EC" w:rsidRDefault="000E364E">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left w:w="20" w:type="dxa"/>
              <w:right w:w="20" w:type="dxa"/>
            </w:tcMar>
            <w:vAlign w:val="bottom"/>
          </w:tcPr>
          <w:p w14:paraId="3693ED3C" w14:textId="77777777" w:rsidR="003734EC" w:rsidRDefault="003734EC">
            <w:pPr>
              <w:jc w:val="center"/>
              <w:rPr>
                <w:rFonts w:ascii="宋体"/>
              </w:rPr>
            </w:pPr>
          </w:p>
        </w:tc>
        <w:tc>
          <w:tcPr>
            <w:tcW w:w="0" w:type="auto"/>
            <w:shd w:val="clear" w:color="auto" w:fill="FFFFFF"/>
            <w:tcMar>
              <w:top w:w="40" w:type="dxa"/>
              <w:left w:w="20" w:type="dxa"/>
              <w:bottom w:w="40" w:type="dxa"/>
            </w:tcMar>
            <w:vAlign w:val="bottom"/>
          </w:tcPr>
          <w:p w14:paraId="3693ED3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3E" w14:textId="77777777" w:rsidR="003734EC" w:rsidRDefault="000E364E">
            <w:pPr>
              <w:jc w:val="right"/>
              <w:textAlignment w:val="bottom"/>
            </w:pPr>
            <w:r>
              <w:rPr>
                <w:rFonts w:ascii="sans-serif" w:eastAsia="sans-serif" w:hAnsi="sans-serif" w:cs="sans-serif"/>
                <w:color w:val="000000"/>
                <w:sz w:val="20"/>
                <w:szCs w:val="20"/>
              </w:rPr>
              <w:t>11,128 </w:t>
            </w:r>
          </w:p>
        </w:tc>
        <w:tc>
          <w:tcPr>
            <w:tcW w:w="0" w:type="auto"/>
            <w:shd w:val="clear" w:color="auto" w:fill="FFFFFF"/>
            <w:tcMar>
              <w:top w:w="40" w:type="dxa"/>
              <w:bottom w:w="40" w:type="dxa"/>
              <w:right w:w="20" w:type="dxa"/>
            </w:tcMar>
            <w:vAlign w:val="bottom"/>
          </w:tcPr>
          <w:p w14:paraId="3693ED3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D40" w14:textId="77777777" w:rsidR="003734EC" w:rsidRDefault="003734EC">
            <w:pPr>
              <w:jc w:val="center"/>
              <w:rPr>
                <w:rFonts w:ascii="宋体"/>
              </w:rPr>
            </w:pPr>
          </w:p>
        </w:tc>
        <w:tc>
          <w:tcPr>
            <w:tcW w:w="0" w:type="auto"/>
            <w:shd w:val="clear" w:color="auto" w:fill="FFFFFF"/>
            <w:tcMar>
              <w:top w:w="40" w:type="dxa"/>
              <w:left w:w="20" w:type="dxa"/>
              <w:bottom w:w="40" w:type="dxa"/>
            </w:tcMar>
            <w:vAlign w:val="bottom"/>
          </w:tcPr>
          <w:p w14:paraId="3693ED4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42" w14:textId="77777777" w:rsidR="003734EC" w:rsidRDefault="000E364E">
            <w:pPr>
              <w:jc w:val="right"/>
              <w:textAlignment w:val="bottom"/>
            </w:pPr>
            <w:r>
              <w:rPr>
                <w:rFonts w:ascii="sans-serif" w:eastAsia="sans-serif" w:hAnsi="sans-serif" w:cs="sans-serif"/>
                <w:color w:val="000000"/>
                <w:sz w:val="20"/>
                <w:szCs w:val="20"/>
              </w:rPr>
              <w:t>7,507 </w:t>
            </w:r>
          </w:p>
        </w:tc>
        <w:tc>
          <w:tcPr>
            <w:tcW w:w="0" w:type="auto"/>
            <w:shd w:val="clear" w:color="auto" w:fill="FFFFFF"/>
            <w:tcMar>
              <w:top w:w="40" w:type="dxa"/>
              <w:bottom w:w="40" w:type="dxa"/>
              <w:right w:w="20" w:type="dxa"/>
            </w:tcMar>
            <w:vAlign w:val="bottom"/>
          </w:tcPr>
          <w:p w14:paraId="3693ED4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44" w14:textId="77777777" w:rsidR="003734EC" w:rsidRDefault="003734EC">
            <w:pPr>
              <w:rPr>
                <w:rFonts w:ascii="宋体"/>
              </w:rPr>
            </w:pPr>
          </w:p>
        </w:tc>
        <w:tc>
          <w:tcPr>
            <w:tcW w:w="0" w:type="auto"/>
            <w:shd w:val="clear" w:color="auto" w:fill="auto"/>
            <w:vAlign w:val="center"/>
          </w:tcPr>
          <w:p w14:paraId="3693ED45" w14:textId="77777777" w:rsidR="003734EC" w:rsidRDefault="003734EC">
            <w:pPr>
              <w:rPr>
                <w:rFonts w:ascii="宋体"/>
              </w:rPr>
            </w:pPr>
          </w:p>
        </w:tc>
        <w:tc>
          <w:tcPr>
            <w:tcW w:w="0" w:type="auto"/>
            <w:shd w:val="clear" w:color="auto" w:fill="auto"/>
            <w:vAlign w:val="center"/>
          </w:tcPr>
          <w:p w14:paraId="3693ED46" w14:textId="77777777" w:rsidR="003734EC" w:rsidRDefault="003734EC">
            <w:pPr>
              <w:rPr>
                <w:rFonts w:ascii="宋体"/>
              </w:rPr>
            </w:pPr>
          </w:p>
        </w:tc>
        <w:tc>
          <w:tcPr>
            <w:tcW w:w="0" w:type="auto"/>
            <w:shd w:val="clear" w:color="auto" w:fill="auto"/>
            <w:vAlign w:val="center"/>
          </w:tcPr>
          <w:p w14:paraId="3693ED47" w14:textId="77777777" w:rsidR="003734EC" w:rsidRDefault="003734EC">
            <w:pPr>
              <w:rPr>
                <w:rFonts w:ascii="宋体"/>
              </w:rPr>
            </w:pPr>
          </w:p>
        </w:tc>
        <w:tc>
          <w:tcPr>
            <w:tcW w:w="0" w:type="auto"/>
            <w:shd w:val="clear" w:color="auto" w:fill="auto"/>
            <w:vAlign w:val="center"/>
          </w:tcPr>
          <w:p w14:paraId="3693ED48" w14:textId="77777777" w:rsidR="003734EC" w:rsidRDefault="003734EC">
            <w:pPr>
              <w:rPr>
                <w:rFonts w:ascii="宋体"/>
              </w:rPr>
            </w:pPr>
          </w:p>
        </w:tc>
        <w:tc>
          <w:tcPr>
            <w:tcW w:w="0" w:type="auto"/>
            <w:shd w:val="clear" w:color="auto" w:fill="auto"/>
            <w:vAlign w:val="center"/>
          </w:tcPr>
          <w:p w14:paraId="3693ED49" w14:textId="77777777" w:rsidR="003734EC" w:rsidRDefault="003734EC">
            <w:pPr>
              <w:rPr>
                <w:rFonts w:ascii="宋体"/>
              </w:rPr>
            </w:pPr>
          </w:p>
        </w:tc>
        <w:tc>
          <w:tcPr>
            <w:tcW w:w="0" w:type="auto"/>
            <w:shd w:val="clear" w:color="auto" w:fill="auto"/>
            <w:vAlign w:val="center"/>
          </w:tcPr>
          <w:p w14:paraId="3693ED4A" w14:textId="77777777" w:rsidR="003734EC" w:rsidRDefault="003734EC">
            <w:pPr>
              <w:rPr>
                <w:rFonts w:ascii="宋体"/>
              </w:rPr>
            </w:pPr>
          </w:p>
        </w:tc>
        <w:tc>
          <w:tcPr>
            <w:tcW w:w="0" w:type="auto"/>
            <w:shd w:val="clear" w:color="auto" w:fill="auto"/>
            <w:vAlign w:val="center"/>
          </w:tcPr>
          <w:p w14:paraId="3693ED4B" w14:textId="77777777" w:rsidR="003734EC" w:rsidRDefault="003734EC">
            <w:pPr>
              <w:rPr>
                <w:rFonts w:ascii="宋体"/>
              </w:rPr>
            </w:pPr>
          </w:p>
        </w:tc>
        <w:tc>
          <w:tcPr>
            <w:tcW w:w="0" w:type="auto"/>
            <w:shd w:val="clear" w:color="auto" w:fill="auto"/>
            <w:vAlign w:val="center"/>
          </w:tcPr>
          <w:p w14:paraId="3693ED4C" w14:textId="77777777" w:rsidR="003734EC" w:rsidRDefault="003734EC">
            <w:pPr>
              <w:rPr>
                <w:rFonts w:ascii="宋体"/>
              </w:rPr>
            </w:pPr>
          </w:p>
        </w:tc>
      </w:tr>
      <w:tr w:rsidR="003734EC" w14:paraId="3693ED61" w14:textId="77777777">
        <w:tc>
          <w:tcPr>
            <w:tcW w:w="0" w:type="auto"/>
            <w:gridSpan w:val="3"/>
            <w:shd w:val="clear" w:color="auto" w:fill="E2EFD9"/>
            <w:tcMar>
              <w:top w:w="40" w:type="dxa"/>
              <w:left w:w="180" w:type="dxa"/>
              <w:bottom w:w="40" w:type="dxa"/>
              <w:right w:w="20" w:type="dxa"/>
            </w:tcMar>
            <w:vAlign w:val="bottom"/>
          </w:tcPr>
          <w:p w14:paraId="3693ED4E" w14:textId="77777777" w:rsidR="003734EC" w:rsidRDefault="000E364E">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3693ED4F"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D50"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D5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52" w14:textId="77777777" w:rsidR="003734EC" w:rsidRDefault="000E364E">
            <w:pPr>
              <w:jc w:val="right"/>
              <w:textAlignment w:val="bottom"/>
            </w:pPr>
            <w:r>
              <w:rPr>
                <w:rFonts w:ascii="sans-serif" w:eastAsia="sans-serif" w:hAnsi="sans-serif" w:cs="sans-serif"/>
                <w:color w:val="000000"/>
                <w:sz w:val="20"/>
                <w:szCs w:val="20"/>
              </w:rPr>
              <w:t>3,238 </w:t>
            </w:r>
          </w:p>
        </w:tc>
        <w:tc>
          <w:tcPr>
            <w:tcW w:w="0" w:type="auto"/>
            <w:shd w:val="clear" w:color="auto" w:fill="E2EFD9"/>
            <w:tcMar>
              <w:top w:w="40" w:type="dxa"/>
              <w:bottom w:w="40" w:type="dxa"/>
              <w:right w:w="20" w:type="dxa"/>
            </w:tcMar>
            <w:vAlign w:val="bottom"/>
          </w:tcPr>
          <w:p w14:paraId="3693ED5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D54"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D5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56" w14:textId="77777777" w:rsidR="003734EC" w:rsidRDefault="000E364E">
            <w:pPr>
              <w:jc w:val="right"/>
              <w:textAlignment w:val="bottom"/>
            </w:pPr>
            <w:r>
              <w:rPr>
                <w:rFonts w:ascii="sans-serif" w:eastAsia="sans-serif" w:hAnsi="sans-serif" w:cs="sans-serif"/>
                <w:color w:val="000000"/>
                <w:sz w:val="20"/>
                <w:szCs w:val="20"/>
              </w:rPr>
              <w:t>592 </w:t>
            </w:r>
          </w:p>
        </w:tc>
        <w:tc>
          <w:tcPr>
            <w:tcW w:w="0" w:type="auto"/>
            <w:shd w:val="clear" w:color="auto" w:fill="E2EFD9"/>
            <w:tcMar>
              <w:top w:w="40" w:type="dxa"/>
              <w:bottom w:w="40" w:type="dxa"/>
              <w:right w:w="20" w:type="dxa"/>
            </w:tcMar>
            <w:vAlign w:val="bottom"/>
          </w:tcPr>
          <w:p w14:paraId="3693ED5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58" w14:textId="77777777" w:rsidR="003734EC" w:rsidRDefault="003734EC">
            <w:pPr>
              <w:rPr>
                <w:rFonts w:ascii="宋体"/>
              </w:rPr>
            </w:pPr>
          </w:p>
        </w:tc>
        <w:tc>
          <w:tcPr>
            <w:tcW w:w="0" w:type="auto"/>
            <w:shd w:val="clear" w:color="auto" w:fill="auto"/>
            <w:vAlign w:val="center"/>
          </w:tcPr>
          <w:p w14:paraId="3693ED59" w14:textId="77777777" w:rsidR="003734EC" w:rsidRDefault="003734EC">
            <w:pPr>
              <w:rPr>
                <w:rFonts w:ascii="宋体"/>
              </w:rPr>
            </w:pPr>
          </w:p>
        </w:tc>
        <w:tc>
          <w:tcPr>
            <w:tcW w:w="0" w:type="auto"/>
            <w:shd w:val="clear" w:color="auto" w:fill="auto"/>
            <w:vAlign w:val="center"/>
          </w:tcPr>
          <w:p w14:paraId="3693ED5A" w14:textId="77777777" w:rsidR="003734EC" w:rsidRDefault="003734EC">
            <w:pPr>
              <w:rPr>
                <w:rFonts w:ascii="宋体"/>
              </w:rPr>
            </w:pPr>
          </w:p>
        </w:tc>
        <w:tc>
          <w:tcPr>
            <w:tcW w:w="0" w:type="auto"/>
            <w:shd w:val="clear" w:color="auto" w:fill="auto"/>
            <w:vAlign w:val="center"/>
          </w:tcPr>
          <w:p w14:paraId="3693ED5B" w14:textId="77777777" w:rsidR="003734EC" w:rsidRDefault="003734EC">
            <w:pPr>
              <w:rPr>
                <w:rFonts w:ascii="宋体"/>
              </w:rPr>
            </w:pPr>
          </w:p>
        </w:tc>
        <w:tc>
          <w:tcPr>
            <w:tcW w:w="0" w:type="auto"/>
            <w:shd w:val="clear" w:color="auto" w:fill="auto"/>
            <w:vAlign w:val="center"/>
          </w:tcPr>
          <w:p w14:paraId="3693ED5C" w14:textId="77777777" w:rsidR="003734EC" w:rsidRDefault="003734EC">
            <w:pPr>
              <w:rPr>
                <w:rFonts w:ascii="宋体"/>
              </w:rPr>
            </w:pPr>
          </w:p>
        </w:tc>
        <w:tc>
          <w:tcPr>
            <w:tcW w:w="0" w:type="auto"/>
            <w:shd w:val="clear" w:color="auto" w:fill="auto"/>
            <w:vAlign w:val="center"/>
          </w:tcPr>
          <w:p w14:paraId="3693ED5D" w14:textId="77777777" w:rsidR="003734EC" w:rsidRDefault="003734EC">
            <w:pPr>
              <w:rPr>
                <w:rFonts w:ascii="宋体"/>
              </w:rPr>
            </w:pPr>
          </w:p>
        </w:tc>
        <w:tc>
          <w:tcPr>
            <w:tcW w:w="0" w:type="auto"/>
            <w:shd w:val="clear" w:color="auto" w:fill="auto"/>
            <w:vAlign w:val="center"/>
          </w:tcPr>
          <w:p w14:paraId="3693ED5E" w14:textId="77777777" w:rsidR="003734EC" w:rsidRDefault="003734EC">
            <w:pPr>
              <w:rPr>
                <w:rFonts w:ascii="宋体"/>
              </w:rPr>
            </w:pPr>
          </w:p>
        </w:tc>
        <w:tc>
          <w:tcPr>
            <w:tcW w:w="0" w:type="auto"/>
            <w:shd w:val="clear" w:color="auto" w:fill="auto"/>
            <w:vAlign w:val="center"/>
          </w:tcPr>
          <w:p w14:paraId="3693ED5F" w14:textId="77777777" w:rsidR="003734EC" w:rsidRDefault="003734EC">
            <w:pPr>
              <w:rPr>
                <w:rFonts w:ascii="宋体"/>
              </w:rPr>
            </w:pPr>
          </w:p>
        </w:tc>
        <w:tc>
          <w:tcPr>
            <w:tcW w:w="0" w:type="auto"/>
            <w:shd w:val="clear" w:color="auto" w:fill="auto"/>
            <w:vAlign w:val="center"/>
          </w:tcPr>
          <w:p w14:paraId="3693ED60" w14:textId="77777777" w:rsidR="003734EC" w:rsidRDefault="003734EC">
            <w:pPr>
              <w:rPr>
                <w:rFonts w:ascii="宋体"/>
              </w:rPr>
            </w:pPr>
          </w:p>
        </w:tc>
      </w:tr>
      <w:tr w:rsidR="003734EC" w14:paraId="3693ED75" w14:textId="77777777">
        <w:tc>
          <w:tcPr>
            <w:tcW w:w="0" w:type="auto"/>
            <w:gridSpan w:val="3"/>
            <w:shd w:val="clear" w:color="auto" w:fill="FFFFFF"/>
            <w:tcMar>
              <w:top w:w="40" w:type="dxa"/>
              <w:left w:w="180" w:type="dxa"/>
              <w:bottom w:w="40" w:type="dxa"/>
              <w:right w:w="20" w:type="dxa"/>
            </w:tcMar>
            <w:vAlign w:val="bottom"/>
          </w:tcPr>
          <w:p w14:paraId="3693ED62" w14:textId="77777777" w:rsidR="003734EC" w:rsidRDefault="000E364E">
            <w:pPr>
              <w:textAlignment w:val="bottom"/>
            </w:pPr>
            <w:r>
              <w:rPr>
                <w:rFonts w:ascii="sans-serif" w:eastAsia="sans-serif" w:hAnsi="sans-serif" w:cs="sans-serif"/>
                <w:color w:val="000000"/>
                <w:sz w:val="20"/>
                <w:szCs w:val="20"/>
              </w:rPr>
              <w:t>Foreign government bonds</w:t>
            </w:r>
          </w:p>
        </w:tc>
        <w:tc>
          <w:tcPr>
            <w:tcW w:w="0" w:type="auto"/>
            <w:gridSpan w:val="3"/>
            <w:shd w:val="clear" w:color="auto" w:fill="FFFFFF"/>
            <w:tcMar>
              <w:top w:w="40" w:type="dxa"/>
              <w:left w:w="20" w:type="dxa"/>
              <w:bottom w:w="40" w:type="dxa"/>
              <w:right w:w="20" w:type="dxa"/>
            </w:tcMar>
            <w:vAlign w:val="bottom"/>
          </w:tcPr>
          <w:p w14:paraId="3693ED63"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D64"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D6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66" w14:textId="77777777" w:rsidR="003734EC" w:rsidRDefault="000E364E">
            <w:pPr>
              <w:jc w:val="right"/>
              <w:textAlignment w:val="bottom"/>
            </w:pPr>
            <w:r>
              <w:rPr>
                <w:rFonts w:ascii="sans-serif" w:eastAsia="sans-serif" w:hAnsi="sans-serif" w:cs="sans-serif"/>
                <w:color w:val="000000"/>
                <w:sz w:val="20"/>
                <w:szCs w:val="20"/>
              </w:rPr>
              <w:t>870 </w:t>
            </w:r>
          </w:p>
        </w:tc>
        <w:tc>
          <w:tcPr>
            <w:tcW w:w="0" w:type="auto"/>
            <w:shd w:val="clear" w:color="auto" w:fill="FFFFFF"/>
            <w:tcMar>
              <w:top w:w="40" w:type="dxa"/>
              <w:bottom w:w="40" w:type="dxa"/>
              <w:right w:w="20" w:type="dxa"/>
            </w:tcMar>
            <w:vAlign w:val="bottom"/>
          </w:tcPr>
          <w:p w14:paraId="3693ED6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D6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D6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6A" w14:textId="77777777" w:rsidR="003734EC" w:rsidRDefault="000E364E">
            <w:pPr>
              <w:jc w:val="right"/>
              <w:textAlignment w:val="bottom"/>
            </w:pPr>
            <w:r>
              <w:rPr>
                <w:rFonts w:ascii="sans-serif" w:eastAsia="sans-serif" w:hAnsi="sans-serif" w:cs="sans-serif"/>
                <w:color w:val="000000"/>
                <w:sz w:val="20"/>
                <w:szCs w:val="20"/>
              </w:rPr>
              <w:t>200 </w:t>
            </w:r>
          </w:p>
        </w:tc>
        <w:tc>
          <w:tcPr>
            <w:tcW w:w="0" w:type="auto"/>
            <w:shd w:val="clear" w:color="auto" w:fill="FFFFFF"/>
            <w:tcMar>
              <w:top w:w="40" w:type="dxa"/>
              <w:bottom w:w="40" w:type="dxa"/>
              <w:right w:w="20" w:type="dxa"/>
            </w:tcMar>
            <w:vAlign w:val="bottom"/>
          </w:tcPr>
          <w:p w14:paraId="3693ED6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6C" w14:textId="77777777" w:rsidR="003734EC" w:rsidRDefault="003734EC">
            <w:pPr>
              <w:rPr>
                <w:rFonts w:ascii="宋体"/>
              </w:rPr>
            </w:pPr>
          </w:p>
        </w:tc>
        <w:tc>
          <w:tcPr>
            <w:tcW w:w="0" w:type="auto"/>
            <w:shd w:val="clear" w:color="auto" w:fill="auto"/>
            <w:vAlign w:val="center"/>
          </w:tcPr>
          <w:p w14:paraId="3693ED6D" w14:textId="77777777" w:rsidR="003734EC" w:rsidRDefault="003734EC">
            <w:pPr>
              <w:rPr>
                <w:rFonts w:ascii="宋体"/>
              </w:rPr>
            </w:pPr>
          </w:p>
        </w:tc>
        <w:tc>
          <w:tcPr>
            <w:tcW w:w="0" w:type="auto"/>
            <w:shd w:val="clear" w:color="auto" w:fill="auto"/>
            <w:vAlign w:val="center"/>
          </w:tcPr>
          <w:p w14:paraId="3693ED6E" w14:textId="77777777" w:rsidR="003734EC" w:rsidRDefault="003734EC">
            <w:pPr>
              <w:rPr>
                <w:rFonts w:ascii="宋体"/>
              </w:rPr>
            </w:pPr>
          </w:p>
        </w:tc>
        <w:tc>
          <w:tcPr>
            <w:tcW w:w="0" w:type="auto"/>
            <w:shd w:val="clear" w:color="auto" w:fill="auto"/>
            <w:vAlign w:val="center"/>
          </w:tcPr>
          <w:p w14:paraId="3693ED6F" w14:textId="77777777" w:rsidR="003734EC" w:rsidRDefault="003734EC">
            <w:pPr>
              <w:rPr>
                <w:rFonts w:ascii="宋体"/>
              </w:rPr>
            </w:pPr>
          </w:p>
        </w:tc>
        <w:tc>
          <w:tcPr>
            <w:tcW w:w="0" w:type="auto"/>
            <w:shd w:val="clear" w:color="auto" w:fill="auto"/>
            <w:vAlign w:val="center"/>
          </w:tcPr>
          <w:p w14:paraId="3693ED70" w14:textId="77777777" w:rsidR="003734EC" w:rsidRDefault="003734EC">
            <w:pPr>
              <w:rPr>
                <w:rFonts w:ascii="宋体"/>
              </w:rPr>
            </w:pPr>
          </w:p>
        </w:tc>
        <w:tc>
          <w:tcPr>
            <w:tcW w:w="0" w:type="auto"/>
            <w:shd w:val="clear" w:color="auto" w:fill="auto"/>
            <w:vAlign w:val="center"/>
          </w:tcPr>
          <w:p w14:paraId="3693ED71" w14:textId="77777777" w:rsidR="003734EC" w:rsidRDefault="003734EC">
            <w:pPr>
              <w:rPr>
                <w:rFonts w:ascii="宋体"/>
              </w:rPr>
            </w:pPr>
          </w:p>
        </w:tc>
        <w:tc>
          <w:tcPr>
            <w:tcW w:w="0" w:type="auto"/>
            <w:shd w:val="clear" w:color="auto" w:fill="auto"/>
            <w:vAlign w:val="center"/>
          </w:tcPr>
          <w:p w14:paraId="3693ED72" w14:textId="77777777" w:rsidR="003734EC" w:rsidRDefault="003734EC">
            <w:pPr>
              <w:rPr>
                <w:rFonts w:ascii="宋体"/>
              </w:rPr>
            </w:pPr>
          </w:p>
        </w:tc>
        <w:tc>
          <w:tcPr>
            <w:tcW w:w="0" w:type="auto"/>
            <w:shd w:val="clear" w:color="auto" w:fill="auto"/>
            <w:vAlign w:val="center"/>
          </w:tcPr>
          <w:p w14:paraId="3693ED73" w14:textId="77777777" w:rsidR="003734EC" w:rsidRDefault="003734EC">
            <w:pPr>
              <w:rPr>
                <w:rFonts w:ascii="宋体"/>
              </w:rPr>
            </w:pPr>
          </w:p>
        </w:tc>
        <w:tc>
          <w:tcPr>
            <w:tcW w:w="0" w:type="auto"/>
            <w:shd w:val="clear" w:color="auto" w:fill="auto"/>
            <w:vAlign w:val="center"/>
          </w:tcPr>
          <w:p w14:paraId="3693ED74" w14:textId="77777777" w:rsidR="003734EC" w:rsidRDefault="003734EC">
            <w:pPr>
              <w:rPr>
                <w:rFonts w:ascii="宋体"/>
              </w:rPr>
            </w:pPr>
          </w:p>
        </w:tc>
      </w:tr>
      <w:tr w:rsidR="003734EC" w14:paraId="3693ED89" w14:textId="77777777">
        <w:tc>
          <w:tcPr>
            <w:tcW w:w="0" w:type="auto"/>
            <w:gridSpan w:val="3"/>
            <w:shd w:val="clear" w:color="auto" w:fill="E2EFD9"/>
            <w:tcMar>
              <w:top w:w="40" w:type="dxa"/>
              <w:left w:w="180" w:type="dxa"/>
              <w:bottom w:w="40" w:type="dxa"/>
              <w:right w:w="20" w:type="dxa"/>
            </w:tcMar>
            <w:vAlign w:val="bottom"/>
          </w:tcPr>
          <w:p w14:paraId="3693ED76" w14:textId="77777777" w:rsidR="003734EC" w:rsidRDefault="000E364E">
            <w:pPr>
              <w:textAlignment w:val="bottom"/>
            </w:pPr>
            <w:r>
              <w:rPr>
                <w:rFonts w:ascii="sans-serif" w:eastAsia="sans-serif" w:hAnsi="sans-serif" w:cs="sans-serif"/>
                <w:color w:val="000000"/>
                <w:sz w:val="20"/>
                <w:szCs w:val="20"/>
              </w:rPr>
              <w:t>Certificates of deposit</w:t>
            </w:r>
          </w:p>
        </w:tc>
        <w:tc>
          <w:tcPr>
            <w:tcW w:w="0" w:type="auto"/>
            <w:gridSpan w:val="3"/>
            <w:shd w:val="clear" w:color="auto" w:fill="E2EFD9"/>
            <w:tcMar>
              <w:top w:w="40" w:type="dxa"/>
              <w:left w:w="20" w:type="dxa"/>
              <w:bottom w:w="40" w:type="dxa"/>
              <w:right w:w="20" w:type="dxa"/>
            </w:tcMar>
            <w:vAlign w:val="bottom"/>
          </w:tcPr>
          <w:p w14:paraId="3693ED77"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D78"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D7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7A" w14:textId="77777777" w:rsidR="003734EC" w:rsidRDefault="000E364E">
            <w:pPr>
              <w:jc w:val="right"/>
              <w:textAlignment w:val="bottom"/>
            </w:pPr>
            <w:r>
              <w:rPr>
                <w:rFonts w:ascii="sans-serif" w:eastAsia="sans-serif" w:hAnsi="sans-serif" w:cs="sans-serif"/>
                <w:color w:val="000000"/>
                <w:sz w:val="20"/>
                <w:szCs w:val="20"/>
              </w:rPr>
              <w:t>582 </w:t>
            </w:r>
          </w:p>
        </w:tc>
        <w:tc>
          <w:tcPr>
            <w:tcW w:w="0" w:type="auto"/>
            <w:shd w:val="clear" w:color="auto" w:fill="E2EFD9"/>
            <w:tcMar>
              <w:top w:w="40" w:type="dxa"/>
              <w:bottom w:w="40" w:type="dxa"/>
              <w:right w:w="20" w:type="dxa"/>
            </w:tcMar>
            <w:vAlign w:val="bottom"/>
          </w:tcPr>
          <w:p w14:paraId="3693ED7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D7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D7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7E" w14:textId="77777777" w:rsidR="003734EC" w:rsidRDefault="000E364E">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bottom w:w="40" w:type="dxa"/>
              <w:right w:w="20" w:type="dxa"/>
            </w:tcMar>
            <w:vAlign w:val="bottom"/>
          </w:tcPr>
          <w:p w14:paraId="3693ED7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80" w14:textId="77777777" w:rsidR="003734EC" w:rsidRDefault="003734EC">
            <w:pPr>
              <w:rPr>
                <w:rFonts w:ascii="宋体"/>
              </w:rPr>
            </w:pPr>
          </w:p>
        </w:tc>
        <w:tc>
          <w:tcPr>
            <w:tcW w:w="0" w:type="auto"/>
            <w:shd w:val="clear" w:color="auto" w:fill="auto"/>
            <w:vAlign w:val="center"/>
          </w:tcPr>
          <w:p w14:paraId="3693ED81" w14:textId="77777777" w:rsidR="003734EC" w:rsidRDefault="003734EC">
            <w:pPr>
              <w:rPr>
                <w:rFonts w:ascii="宋体"/>
              </w:rPr>
            </w:pPr>
          </w:p>
        </w:tc>
        <w:tc>
          <w:tcPr>
            <w:tcW w:w="0" w:type="auto"/>
            <w:shd w:val="clear" w:color="auto" w:fill="auto"/>
            <w:vAlign w:val="center"/>
          </w:tcPr>
          <w:p w14:paraId="3693ED82" w14:textId="77777777" w:rsidR="003734EC" w:rsidRDefault="003734EC">
            <w:pPr>
              <w:rPr>
                <w:rFonts w:ascii="宋体"/>
              </w:rPr>
            </w:pPr>
          </w:p>
        </w:tc>
        <w:tc>
          <w:tcPr>
            <w:tcW w:w="0" w:type="auto"/>
            <w:shd w:val="clear" w:color="auto" w:fill="auto"/>
            <w:vAlign w:val="center"/>
          </w:tcPr>
          <w:p w14:paraId="3693ED83" w14:textId="77777777" w:rsidR="003734EC" w:rsidRDefault="003734EC">
            <w:pPr>
              <w:rPr>
                <w:rFonts w:ascii="宋体"/>
              </w:rPr>
            </w:pPr>
          </w:p>
        </w:tc>
        <w:tc>
          <w:tcPr>
            <w:tcW w:w="0" w:type="auto"/>
            <w:shd w:val="clear" w:color="auto" w:fill="auto"/>
            <w:vAlign w:val="center"/>
          </w:tcPr>
          <w:p w14:paraId="3693ED84" w14:textId="77777777" w:rsidR="003734EC" w:rsidRDefault="003734EC">
            <w:pPr>
              <w:rPr>
                <w:rFonts w:ascii="宋体"/>
              </w:rPr>
            </w:pPr>
          </w:p>
        </w:tc>
        <w:tc>
          <w:tcPr>
            <w:tcW w:w="0" w:type="auto"/>
            <w:shd w:val="clear" w:color="auto" w:fill="auto"/>
            <w:vAlign w:val="center"/>
          </w:tcPr>
          <w:p w14:paraId="3693ED85" w14:textId="77777777" w:rsidR="003734EC" w:rsidRDefault="003734EC">
            <w:pPr>
              <w:rPr>
                <w:rFonts w:ascii="宋体"/>
              </w:rPr>
            </w:pPr>
          </w:p>
        </w:tc>
        <w:tc>
          <w:tcPr>
            <w:tcW w:w="0" w:type="auto"/>
            <w:shd w:val="clear" w:color="auto" w:fill="auto"/>
            <w:vAlign w:val="center"/>
          </w:tcPr>
          <w:p w14:paraId="3693ED86" w14:textId="77777777" w:rsidR="003734EC" w:rsidRDefault="003734EC">
            <w:pPr>
              <w:rPr>
                <w:rFonts w:ascii="宋体"/>
              </w:rPr>
            </w:pPr>
          </w:p>
        </w:tc>
        <w:tc>
          <w:tcPr>
            <w:tcW w:w="0" w:type="auto"/>
            <w:shd w:val="clear" w:color="auto" w:fill="auto"/>
            <w:vAlign w:val="center"/>
          </w:tcPr>
          <w:p w14:paraId="3693ED87" w14:textId="77777777" w:rsidR="003734EC" w:rsidRDefault="003734EC">
            <w:pPr>
              <w:rPr>
                <w:rFonts w:ascii="宋体"/>
              </w:rPr>
            </w:pPr>
          </w:p>
        </w:tc>
        <w:tc>
          <w:tcPr>
            <w:tcW w:w="0" w:type="auto"/>
            <w:shd w:val="clear" w:color="auto" w:fill="auto"/>
            <w:vAlign w:val="center"/>
          </w:tcPr>
          <w:p w14:paraId="3693ED88" w14:textId="77777777" w:rsidR="003734EC" w:rsidRDefault="003734EC">
            <w:pPr>
              <w:rPr>
                <w:rFonts w:ascii="宋体"/>
              </w:rPr>
            </w:pPr>
          </w:p>
        </w:tc>
      </w:tr>
      <w:tr w:rsidR="003734EC" w14:paraId="3693ED9D" w14:textId="77777777">
        <w:tc>
          <w:tcPr>
            <w:tcW w:w="0" w:type="auto"/>
            <w:gridSpan w:val="3"/>
            <w:shd w:val="clear" w:color="auto" w:fill="FFFFFF"/>
            <w:tcMar>
              <w:top w:w="40" w:type="dxa"/>
              <w:left w:w="180" w:type="dxa"/>
              <w:bottom w:w="40" w:type="dxa"/>
              <w:right w:w="20" w:type="dxa"/>
            </w:tcMar>
            <w:vAlign w:val="bottom"/>
          </w:tcPr>
          <w:p w14:paraId="3693ED8A" w14:textId="77777777" w:rsidR="003734EC" w:rsidRDefault="000E364E">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FFFFFF"/>
            <w:tcMar>
              <w:top w:w="40" w:type="dxa"/>
              <w:left w:w="20" w:type="dxa"/>
              <w:bottom w:w="40" w:type="dxa"/>
              <w:right w:w="20" w:type="dxa"/>
            </w:tcMar>
            <w:vAlign w:val="bottom"/>
          </w:tcPr>
          <w:p w14:paraId="3693ED8B"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D8C" w14:textId="77777777" w:rsidR="003734EC" w:rsidRDefault="003734EC">
            <w:pPr>
              <w:jc w:val="center"/>
              <w:rPr>
                <w:rFonts w:ascii="宋体"/>
              </w:rPr>
            </w:pPr>
          </w:p>
        </w:tc>
        <w:tc>
          <w:tcPr>
            <w:tcW w:w="0" w:type="auto"/>
            <w:shd w:val="clear" w:color="auto" w:fill="FFFFFF"/>
            <w:tcMar>
              <w:top w:w="40" w:type="dxa"/>
              <w:left w:w="20" w:type="dxa"/>
              <w:bottom w:w="40" w:type="dxa"/>
            </w:tcMar>
            <w:vAlign w:val="bottom"/>
          </w:tcPr>
          <w:p w14:paraId="3693ED8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8E" w14:textId="77777777" w:rsidR="003734EC" w:rsidRDefault="000E364E">
            <w:pPr>
              <w:jc w:val="right"/>
              <w:textAlignment w:val="bottom"/>
            </w:pPr>
            <w:r>
              <w:rPr>
                <w:rFonts w:ascii="sans-serif" w:eastAsia="sans-serif" w:hAnsi="sans-serif" w:cs="sans-serif"/>
                <w:color w:val="000000"/>
                <w:sz w:val="20"/>
                <w:szCs w:val="20"/>
              </w:rPr>
              <w:t>381 </w:t>
            </w:r>
          </w:p>
        </w:tc>
        <w:tc>
          <w:tcPr>
            <w:tcW w:w="0" w:type="auto"/>
            <w:shd w:val="clear" w:color="auto" w:fill="FFFFFF"/>
            <w:tcMar>
              <w:top w:w="40" w:type="dxa"/>
              <w:bottom w:w="40" w:type="dxa"/>
              <w:right w:w="20" w:type="dxa"/>
            </w:tcMar>
            <w:vAlign w:val="bottom"/>
          </w:tcPr>
          <w:p w14:paraId="3693ED8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D90" w14:textId="77777777" w:rsidR="003734EC" w:rsidRDefault="003734EC">
            <w:pPr>
              <w:jc w:val="center"/>
              <w:rPr>
                <w:rFonts w:ascii="宋体"/>
              </w:rPr>
            </w:pPr>
          </w:p>
        </w:tc>
        <w:tc>
          <w:tcPr>
            <w:tcW w:w="0" w:type="auto"/>
            <w:shd w:val="clear" w:color="auto" w:fill="FFFFFF"/>
            <w:tcMar>
              <w:top w:w="40" w:type="dxa"/>
              <w:left w:w="20" w:type="dxa"/>
              <w:bottom w:w="40" w:type="dxa"/>
            </w:tcMar>
            <w:vAlign w:val="bottom"/>
          </w:tcPr>
          <w:p w14:paraId="3693ED9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92" w14:textId="77777777" w:rsidR="003734EC" w:rsidRDefault="000E364E">
            <w:pPr>
              <w:jc w:val="right"/>
              <w:textAlignment w:val="bottom"/>
            </w:pPr>
            <w:r>
              <w:rPr>
                <w:rFonts w:ascii="sans-serif" w:eastAsia="sans-serif" w:hAnsi="sans-serif" w:cs="sans-serif"/>
                <w:color w:val="000000"/>
                <w:sz w:val="20"/>
                <w:szCs w:val="20"/>
              </w:rPr>
              <w:t>1,096 </w:t>
            </w:r>
          </w:p>
        </w:tc>
        <w:tc>
          <w:tcPr>
            <w:tcW w:w="0" w:type="auto"/>
            <w:shd w:val="clear" w:color="auto" w:fill="FFFFFF"/>
            <w:tcMar>
              <w:top w:w="40" w:type="dxa"/>
              <w:bottom w:w="40" w:type="dxa"/>
              <w:right w:w="20" w:type="dxa"/>
            </w:tcMar>
            <w:vAlign w:val="bottom"/>
          </w:tcPr>
          <w:p w14:paraId="3693ED9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94" w14:textId="77777777" w:rsidR="003734EC" w:rsidRDefault="003734EC">
            <w:pPr>
              <w:rPr>
                <w:rFonts w:ascii="宋体"/>
              </w:rPr>
            </w:pPr>
          </w:p>
        </w:tc>
        <w:tc>
          <w:tcPr>
            <w:tcW w:w="0" w:type="auto"/>
            <w:shd w:val="clear" w:color="auto" w:fill="auto"/>
            <w:vAlign w:val="center"/>
          </w:tcPr>
          <w:p w14:paraId="3693ED95" w14:textId="77777777" w:rsidR="003734EC" w:rsidRDefault="003734EC">
            <w:pPr>
              <w:rPr>
                <w:rFonts w:ascii="宋体"/>
              </w:rPr>
            </w:pPr>
          </w:p>
        </w:tc>
        <w:tc>
          <w:tcPr>
            <w:tcW w:w="0" w:type="auto"/>
            <w:shd w:val="clear" w:color="auto" w:fill="auto"/>
            <w:vAlign w:val="center"/>
          </w:tcPr>
          <w:p w14:paraId="3693ED96" w14:textId="77777777" w:rsidR="003734EC" w:rsidRDefault="003734EC">
            <w:pPr>
              <w:rPr>
                <w:rFonts w:ascii="宋体"/>
              </w:rPr>
            </w:pPr>
          </w:p>
        </w:tc>
        <w:tc>
          <w:tcPr>
            <w:tcW w:w="0" w:type="auto"/>
            <w:shd w:val="clear" w:color="auto" w:fill="auto"/>
            <w:vAlign w:val="center"/>
          </w:tcPr>
          <w:p w14:paraId="3693ED97" w14:textId="77777777" w:rsidR="003734EC" w:rsidRDefault="003734EC">
            <w:pPr>
              <w:rPr>
                <w:rFonts w:ascii="宋体"/>
              </w:rPr>
            </w:pPr>
          </w:p>
        </w:tc>
        <w:tc>
          <w:tcPr>
            <w:tcW w:w="0" w:type="auto"/>
            <w:shd w:val="clear" w:color="auto" w:fill="auto"/>
            <w:vAlign w:val="center"/>
          </w:tcPr>
          <w:p w14:paraId="3693ED98" w14:textId="77777777" w:rsidR="003734EC" w:rsidRDefault="003734EC">
            <w:pPr>
              <w:rPr>
                <w:rFonts w:ascii="宋体"/>
              </w:rPr>
            </w:pPr>
          </w:p>
        </w:tc>
        <w:tc>
          <w:tcPr>
            <w:tcW w:w="0" w:type="auto"/>
            <w:shd w:val="clear" w:color="auto" w:fill="auto"/>
            <w:vAlign w:val="center"/>
          </w:tcPr>
          <w:p w14:paraId="3693ED99" w14:textId="77777777" w:rsidR="003734EC" w:rsidRDefault="003734EC">
            <w:pPr>
              <w:rPr>
                <w:rFonts w:ascii="宋体"/>
              </w:rPr>
            </w:pPr>
          </w:p>
        </w:tc>
        <w:tc>
          <w:tcPr>
            <w:tcW w:w="0" w:type="auto"/>
            <w:shd w:val="clear" w:color="auto" w:fill="auto"/>
            <w:vAlign w:val="center"/>
          </w:tcPr>
          <w:p w14:paraId="3693ED9A" w14:textId="77777777" w:rsidR="003734EC" w:rsidRDefault="003734EC">
            <w:pPr>
              <w:rPr>
                <w:rFonts w:ascii="宋体"/>
              </w:rPr>
            </w:pPr>
          </w:p>
        </w:tc>
        <w:tc>
          <w:tcPr>
            <w:tcW w:w="0" w:type="auto"/>
            <w:shd w:val="clear" w:color="auto" w:fill="auto"/>
            <w:vAlign w:val="center"/>
          </w:tcPr>
          <w:p w14:paraId="3693ED9B" w14:textId="77777777" w:rsidR="003734EC" w:rsidRDefault="003734EC">
            <w:pPr>
              <w:rPr>
                <w:rFonts w:ascii="宋体"/>
              </w:rPr>
            </w:pPr>
          </w:p>
        </w:tc>
        <w:tc>
          <w:tcPr>
            <w:tcW w:w="0" w:type="auto"/>
            <w:shd w:val="clear" w:color="auto" w:fill="auto"/>
            <w:vAlign w:val="center"/>
          </w:tcPr>
          <w:p w14:paraId="3693ED9C" w14:textId="77777777" w:rsidR="003734EC" w:rsidRDefault="003734EC">
            <w:pPr>
              <w:rPr>
                <w:rFonts w:ascii="宋体"/>
              </w:rPr>
            </w:pPr>
          </w:p>
        </w:tc>
      </w:tr>
      <w:tr w:rsidR="003734EC" w14:paraId="3693EDB1" w14:textId="77777777">
        <w:tc>
          <w:tcPr>
            <w:tcW w:w="0" w:type="auto"/>
            <w:gridSpan w:val="3"/>
            <w:shd w:val="clear" w:color="auto" w:fill="E2EFD9"/>
            <w:tcMar>
              <w:top w:w="40" w:type="dxa"/>
              <w:left w:w="180" w:type="dxa"/>
              <w:bottom w:w="40" w:type="dxa"/>
              <w:right w:w="20" w:type="dxa"/>
            </w:tcMar>
            <w:vAlign w:val="bottom"/>
          </w:tcPr>
          <w:p w14:paraId="3693ED9E" w14:textId="77777777" w:rsidR="003734EC" w:rsidRDefault="000E364E">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E2EFD9"/>
            <w:tcMar>
              <w:top w:w="40" w:type="dxa"/>
              <w:left w:w="20" w:type="dxa"/>
              <w:bottom w:w="40" w:type="dxa"/>
              <w:right w:w="20" w:type="dxa"/>
            </w:tcMar>
            <w:vAlign w:val="bottom"/>
          </w:tcPr>
          <w:p w14:paraId="3693ED9F"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DA0" w14:textId="77777777" w:rsidR="003734EC" w:rsidRDefault="003734EC">
            <w:pPr>
              <w:jc w:val="center"/>
              <w:rPr>
                <w:rFonts w:ascii="宋体"/>
              </w:rPr>
            </w:pPr>
          </w:p>
        </w:tc>
        <w:tc>
          <w:tcPr>
            <w:tcW w:w="0" w:type="auto"/>
            <w:shd w:val="clear" w:color="auto" w:fill="E2EFD9"/>
            <w:tcMar>
              <w:top w:w="40" w:type="dxa"/>
              <w:left w:w="20" w:type="dxa"/>
              <w:bottom w:w="40" w:type="dxa"/>
            </w:tcMar>
            <w:vAlign w:val="bottom"/>
          </w:tcPr>
          <w:p w14:paraId="3693EDA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A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DA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DA4" w14:textId="77777777" w:rsidR="003734EC" w:rsidRDefault="003734EC">
            <w:pPr>
              <w:jc w:val="center"/>
              <w:rPr>
                <w:rFonts w:ascii="宋体"/>
              </w:rPr>
            </w:pPr>
          </w:p>
        </w:tc>
        <w:tc>
          <w:tcPr>
            <w:tcW w:w="0" w:type="auto"/>
            <w:shd w:val="clear" w:color="auto" w:fill="E2EFD9"/>
            <w:tcMar>
              <w:top w:w="40" w:type="dxa"/>
              <w:left w:w="20" w:type="dxa"/>
              <w:bottom w:w="40" w:type="dxa"/>
            </w:tcMar>
            <w:vAlign w:val="bottom"/>
          </w:tcPr>
          <w:p w14:paraId="3693EDA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DA6" w14:textId="77777777" w:rsidR="003734EC" w:rsidRDefault="000E364E">
            <w:pPr>
              <w:jc w:val="right"/>
              <w:textAlignment w:val="bottom"/>
            </w:pPr>
            <w:r>
              <w:rPr>
                <w:rFonts w:ascii="sans-serif" w:eastAsia="sans-serif" w:hAnsi="sans-serif" w:cs="sans-serif"/>
                <w:color w:val="000000"/>
                <w:sz w:val="20"/>
                <w:szCs w:val="20"/>
              </w:rPr>
              <w:t>1,358 </w:t>
            </w:r>
          </w:p>
        </w:tc>
        <w:tc>
          <w:tcPr>
            <w:tcW w:w="0" w:type="auto"/>
            <w:shd w:val="clear" w:color="auto" w:fill="E2EFD9"/>
            <w:tcMar>
              <w:top w:w="40" w:type="dxa"/>
              <w:bottom w:w="40" w:type="dxa"/>
              <w:right w:w="20" w:type="dxa"/>
            </w:tcMar>
            <w:vAlign w:val="bottom"/>
          </w:tcPr>
          <w:p w14:paraId="3693EDA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A8" w14:textId="77777777" w:rsidR="003734EC" w:rsidRDefault="003734EC">
            <w:pPr>
              <w:rPr>
                <w:rFonts w:ascii="宋体"/>
              </w:rPr>
            </w:pPr>
          </w:p>
        </w:tc>
        <w:tc>
          <w:tcPr>
            <w:tcW w:w="0" w:type="auto"/>
            <w:shd w:val="clear" w:color="auto" w:fill="auto"/>
            <w:vAlign w:val="center"/>
          </w:tcPr>
          <w:p w14:paraId="3693EDA9" w14:textId="77777777" w:rsidR="003734EC" w:rsidRDefault="003734EC">
            <w:pPr>
              <w:rPr>
                <w:rFonts w:ascii="宋体"/>
              </w:rPr>
            </w:pPr>
          </w:p>
        </w:tc>
        <w:tc>
          <w:tcPr>
            <w:tcW w:w="0" w:type="auto"/>
            <w:shd w:val="clear" w:color="auto" w:fill="auto"/>
            <w:vAlign w:val="center"/>
          </w:tcPr>
          <w:p w14:paraId="3693EDAA" w14:textId="77777777" w:rsidR="003734EC" w:rsidRDefault="003734EC">
            <w:pPr>
              <w:rPr>
                <w:rFonts w:ascii="宋体"/>
              </w:rPr>
            </w:pPr>
          </w:p>
        </w:tc>
        <w:tc>
          <w:tcPr>
            <w:tcW w:w="0" w:type="auto"/>
            <w:shd w:val="clear" w:color="auto" w:fill="auto"/>
            <w:vAlign w:val="center"/>
          </w:tcPr>
          <w:p w14:paraId="3693EDAB" w14:textId="77777777" w:rsidR="003734EC" w:rsidRDefault="003734EC">
            <w:pPr>
              <w:rPr>
                <w:rFonts w:ascii="宋体"/>
              </w:rPr>
            </w:pPr>
          </w:p>
        </w:tc>
        <w:tc>
          <w:tcPr>
            <w:tcW w:w="0" w:type="auto"/>
            <w:shd w:val="clear" w:color="auto" w:fill="auto"/>
            <w:vAlign w:val="center"/>
          </w:tcPr>
          <w:p w14:paraId="3693EDAC" w14:textId="77777777" w:rsidR="003734EC" w:rsidRDefault="003734EC">
            <w:pPr>
              <w:rPr>
                <w:rFonts w:ascii="宋体"/>
              </w:rPr>
            </w:pPr>
          </w:p>
        </w:tc>
        <w:tc>
          <w:tcPr>
            <w:tcW w:w="0" w:type="auto"/>
            <w:shd w:val="clear" w:color="auto" w:fill="auto"/>
            <w:vAlign w:val="center"/>
          </w:tcPr>
          <w:p w14:paraId="3693EDAD" w14:textId="77777777" w:rsidR="003734EC" w:rsidRDefault="003734EC">
            <w:pPr>
              <w:rPr>
                <w:rFonts w:ascii="宋体"/>
              </w:rPr>
            </w:pPr>
          </w:p>
        </w:tc>
        <w:tc>
          <w:tcPr>
            <w:tcW w:w="0" w:type="auto"/>
            <w:shd w:val="clear" w:color="auto" w:fill="auto"/>
            <w:vAlign w:val="center"/>
          </w:tcPr>
          <w:p w14:paraId="3693EDAE" w14:textId="77777777" w:rsidR="003734EC" w:rsidRDefault="003734EC">
            <w:pPr>
              <w:rPr>
                <w:rFonts w:ascii="宋体"/>
              </w:rPr>
            </w:pPr>
          </w:p>
        </w:tc>
        <w:tc>
          <w:tcPr>
            <w:tcW w:w="0" w:type="auto"/>
            <w:shd w:val="clear" w:color="auto" w:fill="auto"/>
            <w:vAlign w:val="center"/>
          </w:tcPr>
          <w:p w14:paraId="3693EDAF" w14:textId="77777777" w:rsidR="003734EC" w:rsidRDefault="003734EC">
            <w:pPr>
              <w:rPr>
                <w:rFonts w:ascii="宋体"/>
              </w:rPr>
            </w:pPr>
          </w:p>
        </w:tc>
        <w:tc>
          <w:tcPr>
            <w:tcW w:w="0" w:type="auto"/>
            <w:shd w:val="clear" w:color="auto" w:fill="auto"/>
            <w:vAlign w:val="center"/>
          </w:tcPr>
          <w:p w14:paraId="3693EDB0" w14:textId="77777777" w:rsidR="003734EC" w:rsidRDefault="003734EC">
            <w:pPr>
              <w:rPr>
                <w:rFonts w:ascii="宋体"/>
              </w:rPr>
            </w:pPr>
          </w:p>
        </w:tc>
      </w:tr>
      <w:tr w:rsidR="003734EC" w14:paraId="3693EDC5" w14:textId="77777777">
        <w:tc>
          <w:tcPr>
            <w:tcW w:w="0" w:type="auto"/>
            <w:gridSpan w:val="3"/>
            <w:shd w:val="clear" w:color="auto" w:fill="FFFFFF"/>
            <w:tcMar>
              <w:top w:w="40" w:type="dxa"/>
              <w:left w:w="180" w:type="dxa"/>
              <w:bottom w:w="40" w:type="dxa"/>
              <w:right w:w="20" w:type="dxa"/>
            </w:tcMar>
            <w:vAlign w:val="bottom"/>
          </w:tcPr>
          <w:p w14:paraId="3693EDB2" w14:textId="77777777" w:rsidR="003734EC" w:rsidRDefault="000E364E">
            <w:pPr>
              <w:textAlignment w:val="bottom"/>
            </w:pPr>
            <w:r>
              <w:rPr>
                <w:rFonts w:ascii="sans-serif" w:eastAsia="sans-serif" w:hAnsi="sans-serif" w:cs="sans-serif"/>
                <w:color w:val="000000"/>
                <w:sz w:val="20"/>
                <w:szCs w:val="20"/>
              </w:rPr>
              <w:t>Asset-backed securities</w:t>
            </w:r>
          </w:p>
        </w:tc>
        <w:tc>
          <w:tcPr>
            <w:tcW w:w="0" w:type="auto"/>
            <w:gridSpan w:val="3"/>
            <w:shd w:val="clear" w:color="auto" w:fill="FFFFFF"/>
            <w:tcMar>
              <w:top w:w="40" w:type="dxa"/>
              <w:left w:w="20" w:type="dxa"/>
              <w:bottom w:w="40" w:type="dxa"/>
              <w:right w:w="20" w:type="dxa"/>
            </w:tcMar>
            <w:vAlign w:val="bottom"/>
          </w:tcPr>
          <w:p w14:paraId="3693EDB3"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DB4"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DB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B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DB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DB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DB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DBA"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3693EDB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DBC" w14:textId="77777777" w:rsidR="003734EC" w:rsidRDefault="003734EC">
            <w:pPr>
              <w:rPr>
                <w:rFonts w:ascii="宋体"/>
              </w:rPr>
            </w:pPr>
          </w:p>
        </w:tc>
        <w:tc>
          <w:tcPr>
            <w:tcW w:w="0" w:type="auto"/>
            <w:shd w:val="clear" w:color="auto" w:fill="auto"/>
            <w:vAlign w:val="center"/>
          </w:tcPr>
          <w:p w14:paraId="3693EDBD" w14:textId="77777777" w:rsidR="003734EC" w:rsidRDefault="003734EC">
            <w:pPr>
              <w:rPr>
                <w:rFonts w:ascii="宋体"/>
              </w:rPr>
            </w:pPr>
          </w:p>
        </w:tc>
        <w:tc>
          <w:tcPr>
            <w:tcW w:w="0" w:type="auto"/>
            <w:shd w:val="clear" w:color="auto" w:fill="auto"/>
            <w:vAlign w:val="center"/>
          </w:tcPr>
          <w:p w14:paraId="3693EDBE" w14:textId="77777777" w:rsidR="003734EC" w:rsidRDefault="003734EC">
            <w:pPr>
              <w:rPr>
                <w:rFonts w:ascii="宋体"/>
              </w:rPr>
            </w:pPr>
          </w:p>
        </w:tc>
        <w:tc>
          <w:tcPr>
            <w:tcW w:w="0" w:type="auto"/>
            <w:shd w:val="clear" w:color="auto" w:fill="auto"/>
            <w:vAlign w:val="center"/>
          </w:tcPr>
          <w:p w14:paraId="3693EDBF" w14:textId="77777777" w:rsidR="003734EC" w:rsidRDefault="003734EC">
            <w:pPr>
              <w:rPr>
                <w:rFonts w:ascii="宋体"/>
              </w:rPr>
            </w:pPr>
          </w:p>
        </w:tc>
        <w:tc>
          <w:tcPr>
            <w:tcW w:w="0" w:type="auto"/>
            <w:shd w:val="clear" w:color="auto" w:fill="auto"/>
            <w:vAlign w:val="center"/>
          </w:tcPr>
          <w:p w14:paraId="3693EDC0" w14:textId="77777777" w:rsidR="003734EC" w:rsidRDefault="003734EC">
            <w:pPr>
              <w:rPr>
                <w:rFonts w:ascii="宋体"/>
              </w:rPr>
            </w:pPr>
          </w:p>
        </w:tc>
        <w:tc>
          <w:tcPr>
            <w:tcW w:w="0" w:type="auto"/>
            <w:shd w:val="clear" w:color="auto" w:fill="auto"/>
            <w:vAlign w:val="center"/>
          </w:tcPr>
          <w:p w14:paraId="3693EDC1" w14:textId="77777777" w:rsidR="003734EC" w:rsidRDefault="003734EC">
            <w:pPr>
              <w:rPr>
                <w:rFonts w:ascii="宋体"/>
              </w:rPr>
            </w:pPr>
          </w:p>
        </w:tc>
        <w:tc>
          <w:tcPr>
            <w:tcW w:w="0" w:type="auto"/>
            <w:shd w:val="clear" w:color="auto" w:fill="auto"/>
            <w:vAlign w:val="center"/>
          </w:tcPr>
          <w:p w14:paraId="3693EDC2" w14:textId="77777777" w:rsidR="003734EC" w:rsidRDefault="003734EC">
            <w:pPr>
              <w:rPr>
                <w:rFonts w:ascii="宋体"/>
              </w:rPr>
            </w:pPr>
          </w:p>
        </w:tc>
        <w:tc>
          <w:tcPr>
            <w:tcW w:w="0" w:type="auto"/>
            <w:shd w:val="clear" w:color="auto" w:fill="auto"/>
            <w:vAlign w:val="center"/>
          </w:tcPr>
          <w:p w14:paraId="3693EDC3" w14:textId="77777777" w:rsidR="003734EC" w:rsidRDefault="003734EC">
            <w:pPr>
              <w:rPr>
                <w:rFonts w:ascii="宋体"/>
              </w:rPr>
            </w:pPr>
          </w:p>
        </w:tc>
        <w:tc>
          <w:tcPr>
            <w:tcW w:w="0" w:type="auto"/>
            <w:shd w:val="clear" w:color="auto" w:fill="auto"/>
            <w:vAlign w:val="center"/>
          </w:tcPr>
          <w:p w14:paraId="3693EDC4" w14:textId="77777777" w:rsidR="003734EC" w:rsidRDefault="003734EC">
            <w:pPr>
              <w:rPr>
                <w:rFonts w:ascii="宋体"/>
              </w:rPr>
            </w:pPr>
          </w:p>
        </w:tc>
      </w:tr>
      <w:tr w:rsidR="003734EC" w14:paraId="3693EDD5" w14:textId="77777777">
        <w:trPr>
          <w:hidden/>
        </w:trPr>
        <w:tc>
          <w:tcPr>
            <w:tcW w:w="0" w:type="auto"/>
            <w:gridSpan w:val="3"/>
            <w:shd w:val="clear" w:color="auto" w:fill="auto"/>
            <w:vAlign w:val="center"/>
          </w:tcPr>
          <w:p w14:paraId="3693EDC6" w14:textId="77777777" w:rsidR="003734EC" w:rsidRDefault="003734EC">
            <w:pPr>
              <w:rPr>
                <w:rFonts w:ascii="宋体"/>
                <w:vanish/>
              </w:rPr>
            </w:pPr>
          </w:p>
        </w:tc>
        <w:tc>
          <w:tcPr>
            <w:tcW w:w="0" w:type="auto"/>
            <w:gridSpan w:val="3"/>
            <w:shd w:val="clear" w:color="auto" w:fill="auto"/>
            <w:vAlign w:val="center"/>
          </w:tcPr>
          <w:p w14:paraId="3693EDC7" w14:textId="77777777" w:rsidR="003734EC" w:rsidRDefault="003734EC">
            <w:pPr>
              <w:rPr>
                <w:rFonts w:ascii="宋体"/>
                <w:vanish/>
              </w:rPr>
            </w:pPr>
          </w:p>
        </w:tc>
        <w:tc>
          <w:tcPr>
            <w:tcW w:w="0" w:type="auto"/>
            <w:gridSpan w:val="3"/>
            <w:shd w:val="clear" w:color="auto" w:fill="auto"/>
            <w:vAlign w:val="center"/>
          </w:tcPr>
          <w:p w14:paraId="3693EDC8" w14:textId="77777777" w:rsidR="003734EC" w:rsidRDefault="003734EC">
            <w:pPr>
              <w:rPr>
                <w:rFonts w:ascii="宋体"/>
                <w:vanish/>
              </w:rPr>
            </w:pPr>
          </w:p>
        </w:tc>
        <w:tc>
          <w:tcPr>
            <w:tcW w:w="0" w:type="auto"/>
            <w:gridSpan w:val="3"/>
            <w:shd w:val="clear" w:color="auto" w:fill="auto"/>
            <w:vAlign w:val="center"/>
          </w:tcPr>
          <w:p w14:paraId="3693EDC9" w14:textId="77777777" w:rsidR="003734EC" w:rsidRDefault="003734EC">
            <w:pPr>
              <w:rPr>
                <w:rFonts w:ascii="宋体"/>
                <w:vanish/>
              </w:rPr>
            </w:pPr>
          </w:p>
        </w:tc>
        <w:tc>
          <w:tcPr>
            <w:tcW w:w="0" w:type="auto"/>
            <w:gridSpan w:val="3"/>
            <w:shd w:val="clear" w:color="auto" w:fill="auto"/>
            <w:vAlign w:val="center"/>
          </w:tcPr>
          <w:p w14:paraId="3693EDCA" w14:textId="77777777" w:rsidR="003734EC" w:rsidRDefault="003734EC">
            <w:pPr>
              <w:rPr>
                <w:rFonts w:ascii="宋体"/>
                <w:vanish/>
              </w:rPr>
            </w:pPr>
          </w:p>
        </w:tc>
        <w:tc>
          <w:tcPr>
            <w:tcW w:w="0" w:type="auto"/>
            <w:gridSpan w:val="3"/>
            <w:shd w:val="clear" w:color="auto" w:fill="auto"/>
            <w:vAlign w:val="center"/>
          </w:tcPr>
          <w:p w14:paraId="3693EDCB" w14:textId="77777777" w:rsidR="003734EC" w:rsidRDefault="003734EC">
            <w:pPr>
              <w:rPr>
                <w:rFonts w:ascii="宋体"/>
                <w:vanish/>
              </w:rPr>
            </w:pPr>
          </w:p>
        </w:tc>
        <w:tc>
          <w:tcPr>
            <w:tcW w:w="0" w:type="auto"/>
            <w:shd w:val="clear" w:color="auto" w:fill="auto"/>
            <w:vAlign w:val="center"/>
          </w:tcPr>
          <w:p w14:paraId="3693EDCC" w14:textId="77777777" w:rsidR="003734EC" w:rsidRDefault="003734EC">
            <w:pPr>
              <w:rPr>
                <w:rFonts w:ascii="宋体"/>
              </w:rPr>
            </w:pPr>
          </w:p>
        </w:tc>
        <w:tc>
          <w:tcPr>
            <w:tcW w:w="0" w:type="auto"/>
            <w:shd w:val="clear" w:color="auto" w:fill="auto"/>
            <w:vAlign w:val="center"/>
          </w:tcPr>
          <w:p w14:paraId="3693EDCD" w14:textId="77777777" w:rsidR="003734EC" w:rsidRDefault="003734EC">
            <w:pPr>
              <w:rPr>
                <w:rFonts w:ascii="宋体"/>
              </w:rPr>
            </w:pPr>
          </w:p>
        </w:tc>
        <w:tc>
          <w:tcPr>
            <w:tcW w:w="0" w:type="auto"/>
            <w:shd w:val="clear" w:color="auto" w:fill="auto"/>
            <w:vAlign w:val="center"/>
          </w:tcPr>
          <w:p w14:paraId="3693EDCE" w14:textId="77777777" w:rsidR="003734EC" w:rsidRDefault="003734EC">
            <w:pPr>
              <w:rPr>
                <w:rFonts w:ascii="宋体"/>
              </w:rPr>
            </w:pPr>
          </w:p>
        </w:tc>
        <w:tc>
          <w:tcPr>
            <w:tcW w:w="0" w:type="auto"/>
            <w:shd w:val="clear" w:color="auto" w:fill="auto"/>
            <w:vAlign w:val="center"/>
          </w:tcPr>
          <w:p w14:paraId="3693EDCF" w14:textId="77777777" w:rsidR="003734EC" w:rsidRDefault="003734EC">
            <w:pPr>
              <w:rPr>
                <w:rFonts w:ascii="宋体"/>
              </w:rPr>
            </w:pPr>
          </w:p>
        </w:tc>
        <w:tc>
          <w:tcPr>
            <w:tcW w:w="0" w:type="auto"/>
            <w:shd w:val="clear" w:color="auto" w:fill="auto"/>
            <w:vAlign w:val="center"/>
          </w:tcPr>
          <w:p w14:paraId="3693EDD0" w14:textId="77777777" w:rsidR="003734EC" w:rsidRDefault="003734EC">
            <w:pPr>
              <w:rPr>
                <w:rFonts w:ascii="宋体"/>
              </w:rPr>
            </w:pPr>
          </w:p>
        </w:tc>
        <w:tc>
          <w:tcPr>
            <w:tcW w:w="0" w:type="auto"/>
            <w:shd w:val="clear" w:color="auto" w:fill="auto"/>
            <w:vAlign w:val="center"/>
          </w:tcPr>
          <w:p w14:paraId="3693EDD1" w14:textId="77777777" w:rsidR="003734EC" w:rsidRDefault="003734EC">
            <w:pPr>
              <w:rPr>
                <w:rFonts w:ascii="宋体"/>
              </w:rPr>
            </w:pPr>
          </w:p>
        </w:tc>
        <w:tc>
          <w:tcPr>
            <w:tcW w:w="0" w:type="auto"/>
            <w:shd w:val="clear" w:color="auto" w:fill="auto"/>
            <w:vAlign w:val="center"/>
          </w:tcPr>
          <w:p w14:paraId="3693EDD2" w14:textId="77777777" w:rsidR="003734EC" w:rsidRDefault="003734EC">
            <w:pPr>
              <w:rPr>
                <w:rFonts w:ascii="宋体"/>
              </w:rPr>
            </w:pPr>
          </w:p>
        </w:tc>
        <w:tc>
          <w:tcPr>
            <w:tcW w:w="0" w:type="auto"/>
            <w:shd w:val="clear" w:color="auto" w:fill="auto"/>
            <w:vAlign w:val="center"/>
          </w:tcPr>
          <w:p w14:paraId="3693EDD3" w14:textId="77777777" w:rsidR="003734EC" w:rsidRDefault="003734EC">
            <w:pPr>
              <w:rPr>
                <w:rFonts w:ascii="宋体"/>
              </w:rPr>
            </w:pPr>
          </w:p>
        </w:tc>
        <w:tc>
          <w:tcPr>
            <w:tcW w:w="0" w:type="auto"/>
            <w:shd w:val="clear" w:color="auto" w:fill="auto"/>
            <w:vAlign w:val="center"/>
          </w:tcPr>
          <w:p w14:paraId="3693EDD4" w14:textId="77777777" w:rsidR="003734EC" w:rsidRDefault="003734EC">
            <w:pPr>
              <w:rPr>
                <w:rFonts w:ascii="宋体"/>
              </w:rPr>
            </w:pPr>
          </w:p>
        </w:tc>
      </w:tr>
      <w:tr w:rsidR="003734EC" w14:paraId="3693EDE5" w14:textId="77777777">
        <w:trPr>
          <w:trHeight w:val="300"/>
        </w:trPr>
        <w:tc>
          <w:tcPr>
            <w:tcW w:w="0" w:type="auto"/>
            <w:gridSpan w:val="3"/>
            <w:shd w:val="clear" w:color="auto" w:fill="E2EFD9"/>
            <w:tcMar>
              <w:left w:w="20" w:type="dxa"/>
              <w:right w:w="20" w:type="dxa"/>
            </w:tcMar>
            <w:vAlign w:val="bottom"/>
          </w:tcPr>
          <w:p w14:paraId="3693EDD6"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D7"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D8"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D9"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DA"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DDB" w14:textId="77777777" w:rsidR="003734EC" w:rsidRDefault="003734EC">
            <w:pPr>
              <w:rPr>
                <w:rFonts w:ascii="宋体"/>
              </w:rPr>
            </w:pPr>
          </w:p>
        </w:tc>
        <w:tc>
          <w:tcPr>
            <w:tcW w:w="0" w:type="auto"/>
            <w:shd w:val="clear" w:color="auto" w:fill="auto"/>
            <w:vAlign w:val="center"/>
          </w:tcPr>
          <w:p w14:paraId="3693EDDC" w14:textId="77777777" w:rsidR="003734EC" w:rsidRDefault="003734EC">
            <w:pPr>
              <w:rPr>
                <w:rFonts w:ascii="宋体"/>
              </w:rPr>
            </w:pPr>
          </w:p>
        </w:tc>
        <w:tc>
          <w:tcPr>
            <w:tcW w:w="0" w:type="auto"/>
            <w:shd w:val="clear" w:color="auto" w:fill="auto"/>
            <w:vAlign w:val="center"/>
          </w:tcPr>
          <w:p w14:paraId="3693EDDD" w14:textId="77777777" w:rsidR="003734EC" w:rsidRDefault="003734EC">
            <w:pPr>
              <w:rPr>
                <w:rFonts w:ascii="宋体"/>
              </w:rPr>
            </w:pPr>
          </w:p>
        </w:tc>
        <w:tc>
          <w:tcPr>
            <w:tcW w:w="0" w:type="auto"/>
            <w:shd w:val="clear" w:color="auto" w:fill="auto"/>
            <w:vAlign w:val="center"/>
          </w:tcPr>
          <w:p w14:paraId="3693EDDE" w14:textId="77777777" w:rsidR="003734EC" w:rsidRDefault="003734EC">
            <w:pPr>
              <w:rPr>
                <w:rFonts w:ascii="宋体"/>
              </w:rPr>
            </w:pPr>
          </w:p>
        </w:tc>
        <w:tc>
          <w:tcPr>
            <w:tcW w:w="0" w:type="auto"/>
            <w:shd w:val="clear" w:color="auto" w:fill="auto"/>
            <w:vAlign w:val="center"/>
          </w:tcPr>
          <w:p w14:paraId="3693EDDF" w14:textId="77777777" w:rsidR="003734EC" w:rsidRDefault="003734EC">
            <w:pPr>
              <w:rPr>
                <w:rFonts w:ascii="宋体"/>
              </w:rPr>
            </w:pPr>
          </w:p>
        </w:tc>
        <w:tc>
          <w:tcPr>
            <w:tcW w:w="0" w:type="auto"/>
            <w:shd w:val="clear" w:color="auto" w:fill="auto"/>
            <w:vAlign w:val="center"/>
          </w:tcPr>
          <w:p w14:paraId="3693EDE0" w14:textId="77777777" w:rsidR="003734EC" w:rsidRDefault="003734EC">
            <w:pPr>
              <w:rPr>
                <w:rFonts w:ascii="宋体"/>
              </w:rPr>
            </w:pPr>
          </w:p>
        </w:tc>
        <w:tc>
          <w:tcPr>
            <w:tcW w:w="0" w:type="auto"/>
            <w:shd w:val="clear" w:color="auto" w:fill="auto"/>
            <w:vAlign w:val="center"/>
          </w:tcPr>
          <w:p w14:paraId="3693EDE1" w14:textId="77777777" w:rsidR="003734EC" w:rsidRDefault="003734EC">
            <w:pPr>
              <w:rPr>
                <w:rFonts w:ascii="宋体"/>
              </w:rPr>
            </w:pPr>
          </w:p>
        </w:tc>
        <w:tc>
          <w:tcPr>
            <w:tcW w:w="0" w:type="auto"/>
            <w:shd w:val="clear" w:color="auto" w:fill="auto"/>
            <w:vAlign w:val="center"/>
          </w:tcPr>
          <w:p w14:paraId="3693EDE2" w14:textId="77777777" w:rsidR="003734EC" w:rsidRDefault="003734EC">
            <w:pPr>
              <w:rPr>
                <w:rFonts w:ascii="宋体"/>
              </w:rPr>
            </w:pPr>
          </w:p>
        </w:tc>
        <w:tc>
          <w:tcPr>
            <w:tcW w:w="0" w:type="auto"/>
            <w:shd w:val="clear" w:color="auto" w:fill="auto"/>
            <w:vAlign w:val="center"/>
          </w:tcPr>
          <w:p w14:paraId="3693EDE3" w14:textId="77777777" w:rsidR="003734EC" w:rsidRDefault="003734EC">
            <w:pPr>
              <w:rPr>
                <w:rFonts w:ascii="宋体"/>
              </w:rPr>
            </w:pPr>
          </w:p>
        </w:tc>
        <w:tc>
          <w:tcPr>
            <w:tcW w:w="0" w:type="auto"/>
            <w:shd w:val="clear" w:color="auto" w:fill="auto"/>
            <w:vAlign w:val="center"/>
          </w:tcPr>
          <w:p w14:paraId="3693EDE4" w14:textId="77777777" w:rsidR="003734EC" w:rsidRDefault="003734EC">
            <w:pPr>
              <w:rPr>
                <w:rFonts w:ascii="宋体"/>
              </w:rPr>
            </w:pPr>
          </w:p>
        </w:tc>
      </w:tr>
      <w:tr w:rsidR="003734EC" w14:paraId="3693EDF5" w14:textId="77777777">
        <w:trPr>
          <w:hidden/>
        </w:trPr>
        <w:tc>
          <w:tcPr>
            <w:tcW w:w="0" w:type="auto"/>
            <w:gridSpan w:val="3"/>
            <w:shd w:val="clear" w:color="auto" w:fill="auto"/>
            <w:vAlign w:val="center"/>
          </w:tcPr>
          <w:p w14:paraId="3693EDE6" w14:textId="77777777" w:rsidR="003734EC" w:rsidRDefault="003734EC">
            <w:pPr>
              <w:rPr>
                <w:rFonts w:ascii="宋体"/>
                <w:vanish/>
              </w:rPr>
            </w:pPr>
          </w:p>
        </w:tc>
        <w:tc>
          <w:tcPr>
            <w:tcW w:w="0" w:type="auto"/>
            <w:gridSpan w:val="3"/>
            <w:shd w:val="clear" w:color="auto" w:fill="auto"/>
            <w:vAlign w:val="center"/>
          </w:tcPr>
          <w:p w14:paraId="3693EDE7" w14:textId="77777777" w:rsidR="003734EC" w:rsidRDefault="003734EC">
            <w:pPr>
              <w:rPr>
                <w:rFonts w:ascii="宋体"/>
                <w:vanish/>
              </w:rPr>
            </w:pPr>
          </w:p>
        </w:tc>
        <w:tc>
          <w:tcPr>
            <w:tcW w:w="0" w:type="auto"/>
            <w:gridSpan w:val="3"/>
            <w:shd w:val="clear" w:color="auto" w:fill="auto"/>
            <w:vAlign w:val="center"/>
          </w:tcPr>
          <w:p w14:paraId="3693EDE8" w14:textId="77777777" w:rsidR="003734EC" w:rsidRDefault="003734EC">
            <w:pPr>
              <w:rPr>
                <w:rFonts w:ascii="宋体"/>
                <w:vanish/>
              </w:rPr>
            </w:pPr>
          </w:p>
        </w:tc>
        <w:tc>
          <w:tcPr>
            <w:tcW w:w="0" w:type="auto"/>
            <w:gridSpan w:val="3"/>
            <w:shd w:val="clear" w:color="auto" w:fill="auto"/>
            <w:vAlign w:val="center"/>
          </w:tcPr>
          <w:p w14:paraId="3693EDE9" w14:textId="77777777" w:rsidR="003734EC" w:rsidRDefault="003734EC">
            <w:pPr>
              <w:rPr>
                <w:rFonts w:ascii="宋体"/>
                <w:vanish/>
              </w:rPr>
            </w:pPr>
          </w:p>
        </w:tc>
        <w:tc>
          <w:tcPr>
            <w:tcW w:w="0" w:type="auto"/>
            <w:gridSpan w:val="3"/>
            <w:shd w:val="clear" w:color="auto" w:fill="auto"/>
            <w:vAlign w:val="center"/>
          </w:tcPr>
          <w:p w14:paraId="3693EDEA" w14:textId="77777777" w:rsidR="003734EC" w:rsidRDefault="003734EC">
            <w:pPr>
              <w:rPr>
                <w:rFonts w:ascii="宋体"/>
                <w:vanish/>
              </w:rPr>
            </w:pPr>
          </w:p>
        </w:tc>
        <w:tc>
          <w:tcPr>
            <w:tcW w:w="0" w:type="auto"/>
            <w:gridSpan w:val="3"/>
            <w:shd w:val="clear" w:color="auto" w:fill="auto"/>
            <w:vAlign w:val="center"/>
          </w:tcPr>
          <w:p w14:paraId="3693EDEB" w14:textId="77777777" w:rsidR="003734EC" w:rsidRDefault="003734EC">
            <w:pPr>
              <w:rPr>
                <w:rFonts w:ascii="宋体"/>
                <w:vanish/>
              </w:rPr>
            </w:pPr>
          </w:p>
        </w:tc>
        <w:tc>
          <w:tcPr>
            <w:tcW w:w="0" w:type="auto"/>
            <w:shd w:val="clear" w:color="auto" w:fill="auto"/>
            <w:vAlign w:val="center"/>
          </w:tcPr>
          <w:p w14:paraId="3693EDEC" w14:textId="77777777" w:rsidR="003734EC" w:rsidRDefault="003734EC">
            <w:pPr>
              <w:rPr>
                <w:rFonts w:ascii="宋体"/>
              </w:rPr>
            </w:pPr>
          </w:p>
        </w:tc>
        <w:tc>
          <w:tcPr>
            <w:tcW w:w="0" w:type="auto"/>
            <w:shd w:val="clear" w:color="auto" w:fill="auto"/>
            <w:vAlign w:val="center"/>
          </w:tcPr>
          <w:p w14:paraId="3693EDED" w14:textId="77777777" w:rsidR="003734EC" w:rsidRDefault="003734EC">
            <w:pPr>
              <w:rPr>
                <w:rFonts w:ascii="宋体"/>
              </w:rPr>
            </w:pPr>
          </w:p>
        </w:tc>
        <w:tc>
          <w:tcPr>
            <w:tcW w:w="0" w:type="auto"/>
            <w:shd w:val="clear" w:color="auto" w:fill="auto"/>
            <w:vAlign w:val="center"/>
          </w:tcPr>
          <w:p w14:paraId="3693EDEE" w14:textId="77777777" w:rsidR="003734EC" w:rsidRDefault="003734EC">
            <w:pPr>
              <w:rPr>
                <w:rFonts w:ascii="宋体"/>
              </w:rPr>
            </w:pPr>
          </w:p>
        </w:tc>
        <w:tc>
          <w:tcPr>
            <w:tcW w:w="0" w:type="auto"/>
            <w:shd w:val="clear" w:color="auto" w:fill="auto"/>
            <w:vAlign w:val="center"/>
          </w:tcPr>
          <w:p w14:paraId="3693EDEF" w14:textId="77777777" w:rsidR="003734EC" w:rsidRDefault="003734EC">
            <w:pPr>
              <w:rPr>
                <w:rFonts w:ascii="宋体"/>
              </w:rPr>
            </w:pPr>
          </w:p>
        </w:tc>
        <w:tc>
          <w:tcPr>
            <w:tcW w:w="0" w:type="auto"/>
            <w:shd w:val="clear" w:color="auto" w:fill="auto"/>
            <w:vAlign w:val="center"/>
          </w:tcPr>
          <w:p w14:paraId="3693EDF0" w14:textId="77777777" w:rsidR="003734EC" w:rsidRDefault="003734EC">
            <w:pPr>
              <w:rPr>
                <w:rFonts w:ascii="宋体"/>
              </w:rPr>
            </w:pPr>
          </w:p>
        </w:tc>
        <w:tc>
          <w:tcPr>
            <w:tcW w:w="0" w:type="auto"/>
            <w:shd w:val="clear" w:color="auto" w:fill="auto"/>
            <w:vAlign w:val="center"/>
          </w:tcPr>
          <w:p w14:paraId="3693EDF1" w14:textId="77777777" w:rsidR="003734EC" w:rsidRDefault="003734EC">
            <w:pPr>
              <w:rPr>
                <w:rFonts w:ascii="宋体"/>
              </w:rPr>
            </w:pPr>
          </w:p>
        </w:tc>
        <w:tc>
          <w:tcPr>
            <w:tcW w:w="0" w:type="auto"/>
            <w:shd w:val="clear" w:color="auto" w:fill="auto"/>
            <w:vAlign w:val="center"/>
          </w:tcPr>
          <w:p w14:paraId="3693EDF2" w14:textId="77777777" w:rsidR="003734EC" w:rsidRDefault="003734EC">
            <w:pPr>
              <w:rPr>
                <w:rFonts w:ascii="宋体"/>
              </w:rPr>
            </w:pPr>
          </w:p>
        </w:tc>
        <w:tc>
          <w:tcPr>
            <w:tcW w:w="0" w:type="auto"/>
            <w:shd w:val="clear" w:color="auto" w:fill="auto"/>
            <w:vAlign w:val="center"/>
          </w:tcPr>
          <w:p w14:paraId="3693EDF3" w14:textId="77777777" w:rsidR="003734EC" w:rsidRDefault="003734EC">
            <w:pPr>
              <w:rPr>
                <w:rFonts w:ascii="宋体"/>
              </w:rPr>
            </w:pPr>
          </w:p>
        </w:tc>
        <w:tc>
          <w:tcPr>
            <w:tcW w:w="0" w:type="auto"/>
            <w:shd w:val="clear" w:color="auto" w:fill="auto"/>
            <w:vAlign w:val="center"/>
          </w:tcPr>
          <w:p w14:paraId="3693EDF4" w14:textId="77777777" w:rsidR="003734EC" w:rsidRDefault="003734EC">
            <w:pPr>
              <w:rPr>
                <w:rFonts w:ascii="宋体"/>
              </w:rPr>
            </w:pPr>
          </w:p>
        </w:tc>
      </w:tr>
      <w:tr w:rsidR="003734EC" w14:paraId="3693EE05" w14:textId="77777777">
        <w:trPr>
          <w:hidden/>
        </w:trPr>
        <w:tc>
          <w:tcPr>
            <w:tcW w:w="0" w:type="auto"/>
            <w:gridSpan w:val="3"/>
            <w:shd w:val="clear" w:color="auto" w:fill="auto"/>
            <w:vAlign w:val="center"/>
          </w:tcPr>
          <w:p w14:paraId="3693EDF6" w14:textId="77777777" w:rsidR="003734EC" w:rsidRDefault="003734EC">
            <w:pPr>
              <w:rPr>
                <w:rFonts w:ascii="宋体"/>
                <w:vanish/>
              </w:rPr>
            </w:pPr>
          </w:p>
        </w:tc>
        <w:tc>
          <w:tcPr>
            <w:tcW w:w="0" w:type="auto"/>
            <w:gridSpan w:val="3"/>
            <w:shd w:val="clear" w:color="auto" w:fill="auto"/>
            <w:vAlign w:val="center"/>
          </w:tcPr>
          <w:p w14:paraId="3693EDF7" w14:textId="77777777" w:rsidR="003734EC" w:rsidRDefault="003734EC">
            <w:pPr>
              <w:rPr>
                <w:rFonts w:ascii="宋体"/>
                <w:vanish/>
              </w:rPr>
            </w:pPr>
          </w:p>
        </w:tc>
        <w:tc>
          <w:tcPr>
            <w:tcW w:w="0" w:type="auto"/>
            <w:gridSpan w:val="3"/>
            <w:shd w:val="clear" w:color="auto" w:fill="auto"/>
            <w:vAlign w:val="center"/>
          </w:tcPr>
          <w:p w14:paraId="3693EDF8" w14:textId="77777777" w:rsidR="003734EC" w:rsidRDefault="003734EC">
            <w:pPr>
              <w:rPr>
                <w:rFonts w:ascii="宋体"/>
                <w:vanish/>
              </w:rPr>
            </w:pPr>
          </w:p>
        </w:tc>
        <w:tc>
          <w:tcPr>
            <w:tcW w:w="0" w:type="auto"/>
            <w:gridSpan w:val="3"/>
            <w:shd w:val="clear" w:color="auto" w:fill="auto"/>
            <w:vAlign w:val="center"/>
          </w:tcPr>
          <w:p w14:paraId="3693EDF9" w14:textId="77777777" w:rsidR="003734EC" w:rsidRDefault="003734EC">
            <w:pPr>
              <w:rPr>
                <w:rFonts w:ascii="宋体"/>
                <w:vanish/>
              </w:rPr>
            </w:pPr>
          </w:p>
        </w:tc>
        <w:tc>
          <w:tcPr>
            <w:tcW w:w="0" w:type="auto"/>
            <w:gridSpan w:val="3"/>
            <w:shd w:val="clear" w:color="auto" w:fill="auto"/>
            <w:vAlign w:val="center"/>
          </w:tcPr>
          <w:p w14:paraId="3693EDFA" w14:textId="77777777" w:rsidR="003734EC" w:rsidRDefault="003734EC">
            <w:pPr>
              <w:rPr>
                <w:rFonts w:ascii="宋体"/>
                <w:vanish/>
              </w:rPr>
            </w:pPr>
          </w:p>
        </w:tc>
        <w:tc>
          <w:tcPr>
            <w:tcW w:w="0" w:type="auto"/>
            <w:gridSpan w:val="3"/>
            <w:shd w:val="clear" w:color="auto" w:fill="auto"/>
            <w:vAlign w:val="center"/>
          </w:tcPr>
          <w:p w14:paraId="3693EDFB" w14:textId="77777777" w:rsidR="003734EC" w:rsidRDefault="003734EC">
            <w:pPr>
              <w:rPr>
                <w:rFonts w:ascii="宋体"/>
                <w:vanish/>
              </w:rPr>
            </w:pPr>
          </w:p>
        </w:tc>
        <w:tc>
          <w:tcPr>
            <w:tcW w:w="0" w:type="auto"/>
            <w:shd w:val="clear" w:color="auto" w:fill="auto"/>
            <w:vAlign w:val="center"/>
          </w:tcPr>
          <w:p w14:paraId="3693EDFC" w14:textId="77777777" w:rsidR="003734EC" w:rsidRDefault="003734EC">
            <w:pPr>
              <w:rPr>
                <w:rFonts w:ascii="宋体"/>
              </w:rPr>
            </w:pPr>
          </w:p>
        </w:tc>
        <w:tc>
          <w:tcPr>
            <w:tcW w:w="0" w:type="auto"/>
            <w:shd w:val="clear" w:color="auto" w:fill="auto"/>
            <w:vAlign w:val="center"/>
          </w:tcPr>
          <w:p w14:paraId="3693EDFD" w14:textId="77777777" w:rsidR="003734EC" w:rsidRDefault="003734EC">
            <w:pPr>
              <w:rPr>
                <w:rFonts w:ascii="宋体"/>
              </w:rPr>
            </w:pPr>
          </w:p>
        </w:tc>
        <w:tc>
          <w:tcPr>
            <w:tcW w:w="0" w:type="auto"/>
            <w:shd w:val="clear" w:color="auto" w:fill="auto"/>
            <w:vAlign w:val="center"/>
          </w:tcPr>
          <w:p w14:paraId="3693EDFE" w14:textId="77777777" w:rsidR="003734EC" w:rsidRDefault="003734EC">
            <w:pPr>
              <w:rPr>
                <w:rFonts w:ascii="宋体"/>
              </w:rPr>
            </w:pPr>
          </w:p>
        </w:tc>
        <w:tc>
          <w:tcPr>
            <w:tcW w:w="0" w:type="auto"/>
            <w:shd w:val="clear" w:color="auto" w:fill="auto"/>
            <w:vAlign w:val="center"/>
          </w:tcPr>
          <w:p w14:paraId="3693EDFF" w14:textId="77777777" w:rsidR="003734EC" w:rsidRDefault="003734EC">
            <w:pPr>
              <w:rPr>
                <w:rFonts w:ascii="宋体"/>
              </w:rPr>
            </w:pPr>
          </w:p>
        </w:tc>
        <w:tc>
          <w:tcPr>
            <w:tcW w:w="0" w:type="auto"/>
            <w:shd w:val="clear" w:color="auto" w:fill="auto"/>
            <w:vAlign w:val="center"/>
          </w:tcPr>
          <w:p w14:paraId="3693EE00" w14:textId="77777777" w:rsidR="003734EC" w:rsidRDefault="003734EC">
            <w:pPr>
              <w:rPr>
                <w:rFonts w:ascii="宋体"/>
              </w:rPr>
            </w:pPr>
          </w:p>
        </w:tc>
        <w:tc>
          <w:tcPr>
            <w:tcW w:w="0" w:type="auto"/>
            <w:shd w:val="clear" w:color="auto" w:fill="auto"/>
            <w:vAlign w:val="center"/>
          </w:tcPr>
          <w:p w14:paraId="3693EE01" w14:textId="77777777" w:rsidR="003734EC" w:rsidRDefault="003734EC">
            <w:pPr>
              <w:rPr>
                <w:rFonts w:ascii="宋体"/>
              </w:rPr>
            </w:pPr>
          </w:p>
        </w:tc>
        <w:tc>
          <w:tcPr>
            <w:tcW w:w="0" w:type="auto"/>
            <w:shd w:val="clear" w:color="auto" w:fill="auto"/>
            <w:vAlign w:val="center"/>
          </w:tcPr>
          <w:p w14:paraId="3693EE02" w14:textId="77777777" w:rsidR="003734EC" w:rsidRDefault="003734EC">
            <w:pPr>
              <w:rPr>
                <w:rFonts w:ascii="宋体"/>
              </w:rPr>
            </w:pPr>
          </w:p>
        </w:tc>
        <w:tc>
          <w:tcPr>
            <w:tcW w:w="0" w:type="auto"/>
            <w:shd w:val="clear" w:color="auto" w:fill="auto"/>
            <w:vAlign w:val="center"/>
          </w:tcPr>
          <w:p w14:paraId="3693EE03" w14:textId="77777777" w:rsidR="003734EC" w:rsidRDefault="003734EC">
            <w:pPr>
              <w:rPr>
                <w:rFonts w:ascii="宋体"/>
              </w:rPr>
            </w:pPr>
          </w:p>
        </w:tc>
        <w:tc>
          <w:tcPr>
            <w:tcW w:w="0" w:type="auto"/>
            <w:shd w:val="clear" w:color="auto" w:fill="auto"/>
            <w:vAlign w:val="center"/>
          </w:tcPr>
          <w:p w14:paraId="3693EE04" w14:textId="77777777" w:rsidR="003734EC" w:rsidRDefault="003734EC">
            <w:pPr>
              <w:rPr>
                <w:rFonts w:ascii="宋体"/>
              </w:rPr>
            </w:pPr>
          </w:p>
        </w:tc>
      </w:tr>
      <w:tr w:rsidR="003734EC" w14:paraId="3693EE15" w14:textId="77777777">
        <w:tc>
          <w:tcPr>
            <w:tcW w:w="0" w:type="auto"/>
            <w:gridSpan w:val="3"/>
            <w:shd w:val="clear" w:color="auto" w:fill="FFFFFF"/>
            <w:tcMar>
              <w:top w:w="40" w:type="dxa"/>
              <w:left w:w="20" w:type="dxa"/>
              <w:bottom w:w="40" w:type="dxa"/>
              <w:right w:w="20" w:type="dxa"/>
            </w:tcMar>
            <w:vAlign w:val="bottom"/>
          </w:tcPr>
          <w:p w14:paraId="3693EE06" w14:textId="77777777" w:rsidR="003734EC" w:rsidRDefault="000E364E">
            <w:pPr>
              <w:textAlignment w:val="bottom"/>
            </w:pPr>
            <w:r>
              <w:rPr>
                <w:rFonts w:ascii="sans-serif" w:eastAsia="sans-serif" w:hAnsi="sans-serif" w:cs="sans-serif"/>
                <w:b/>
                <w:bCs/>
                <w:color w:val="000000"/>
                <w:sz w:val="20"/>
                <w:szCs w:val="20"/>
              </w:rPr>
              <w:t>Liabilities</w:t>
            </w:r>
          </w:p>
        </w:tc>
        <w:tc>
          <w:tcPr>
            <w:tcW w:w="0" w:type="auto"/>
            <w:gridSpan w:val="3"/>
            <w:shd w:val="clear" w:color="auto" w:fill="FFFFFF"/>
            <w:tcMar>
              <w:left w:w="20" w:type="dxa"/>
              <w:right w:w="20" w:type="dxa"/>
            </w:tcMar>
            <w:vAlign w:val="bottom"/>
          </w:tcPr>
          <w:p w14:paraId="3693EE07"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E08"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E09"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E0A"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EE0B" w14:textId="77777777" w:rsidR="003734EC" w:rsidRDefault="003734EC">
            <w:pPr>
              <w:rPr>
                <w:rFonts w:ascii="宋体"/>
              </w:rPr>
            </w:pPr>
          </w:p>
        </w:tc>
        <w:tc>
          <w:tcPr>
            <w:tcW w:w="0" w:type="auto"/>
            <w:shd w:val="clear" w:color="auto" w:fill="auto"/>
            <w:vAlign w:val="center"/>
          </w:tcPr>
          <w:p w14:paraId="3693EE0C" w14:textId="77777777" w:rsidR="003734EC" w:rsidRDefault="003734EC">
            <w:pPr>
              <w:rPr>
                <w:rFonts w:ascii="宋体"/>
              </w:rPr>
            </w:pPr>
          </w:p>
        </w:tc>
        <w:tc>
          <w:tcPr>
            <w:tcW w:w="0" w:type="auto"/>
            <w:shd w:val="clear" w:color="auto" w:fill="auto"/>
            <w:vAlign w:val="center"/>
          </w:tcPr>
          <w:p w14:paraId="3693EE0D" w14:textId="77777777" w:rsidR="003734EC" w:rsidRDefault="003734EC">
            <w:pPr>
              <w:rPr>
                <w:rFonts w:ascii="宋体"/>
              </w:rPr>
            </w:pPr>
          </w:p>
        </w:tc>
        <w:tc>
          <w:tcPr>
            <w:tcW w:w="0" w:type="auto"/>
            <w:shd w:val="clear" w:color="auto" w:fill="auto"/>
            <w:vAlign w:val="center"/>
          </w:tcPr>
          <w:p w14:paraId="3693EE0E" w14:textId="77777777" w:rsidR="003734EC" w:rsidRDefault="003734EC">
            <w:pPr>
              <w:rPr>
                <w:rFonts w:ascii="宋体"/>
              </w:rPr>
            </w:pPr>
          </w:p>
        </w:tc>
        <w:tc>
          <w:tcPr>
            <w:tcW w:w="0" w:type="auto"/>
            <w:shd w:val="clear" w:color="auto" w:fill="auto"/>
            <w:vAlign w:val="center"/>
          </w:tcPr>
          <w:p w14:paraId="3693EE0F" w14:textId="77777777" w:rsidR="003734EC" w:rsidRDefault="003734EC">
            <w:pPr>
              <w:rPr>
                <w:rFonts w:ascii="宋体"/>
              </w:rPr>
            </w:pPr>
          </w:p>
        </w:tc>
        <w:tc>
          <w:tcPr>
            <w:tcW w:w="0" w:type="auto"/>
            <w:shd w:val="clear" w:color="auto" w:fill="auto"/>
            <w:vAlign w:val="center"/>
          </w:tcPr>
          <w:p w14:paraId="3693EE10" w14:textId="77777777" w:rsidR="003734EC" w:rsidRDefault="003734EC">
            <w:pPr>
              <w:rPr>
                <w:rFonts w:ascii="宋体"/>
              </w:rPr>
            </w:pPr>
          </w:p>
        </w:tc>
        <w:tc>
          <w:tcPr>
            <w:tcW w:w="0" w:type="auto"/>
            <w:shd w:val="clear" w:color="auto" w:fill="auto"/>
            <w:vAlign w:val="center"/>
          </w:tcPr>
          <w:p w14:paraId="3693EE11" w14:textId="77777777" w:rsidR="003734EC" w:rsidRDefault="003734EC">
            <w:pPr>
              <w:rPr>
                <w:rFonts w:ascii="宋体"/>
              </w:rPr>
            </w:pPr>
          </w:p>
        </w:tc>
        <w:tc>
          <w:tcPr>
            <w:tcW w:w="0" w:type="auto"/>
            <w:shd w:val="clear" w:color="auto" w:fill="auto"/>
            <w:vAlign w:val="center"/>
          </w:tcPr>
          <w:p w14:paraId="3693EE12" w14:textId="77777777" w:rsidR="003734EC" w:rsidRDefault="003734EC">
            <w:pPr>
              <w:rPr>
                <w:rFonts w:ascii="宋体"/>
              </w:rPr>
            </w:pPr>
          </w:p>
        </w:tc>
        <w:tc>
          <w:tcPr>
            <w:tcW w:w="0" w:type="auto"/>
            <w:shd w:val="clear" w:color="auto" w:fill="auto"/>
            <w:vAlign w:val="center"/>
          </w:tcPr>
          <w:p w14:paraId="3693EE13" w14:textId="77777777" w:rsidR="003734EC" w:rsidRDefault="003734EC">
            <w:pPr>
              <w:rPr>
                <w:rFonts w:ascii="宋体"/>
              </w:rPr>
            </w:pPr>
          </w:p>
        </w:tc>
        <w:tc>
          <w:tcPr>
            <w:tcW w:w="0" w:type="auto"/>
            <w:shd w:val="clear" w:color="auto" w:fill="auto"/>
            <w:vAlign w:val="center"/>
          </w:tcPr>
          <w:p w14:paraId="3693EE14" w14:textId="77777777" w:rsidR="003734EC" w:rsidRDefault="003734EC">
            <w:pPr>
              <w:rPr>
                <w:rFonts w:ascii="宋体"/>
              </w:rPr>
            </w:pPr>
          </w:p>
        </w:tc>
      </w:tr>
      <w:tr w:rsidR="003734EC" w14:paraId="3693EE25" w14:textId="77777777">
        <w:trPr>
          <w:hidden/>
        </w:trPr>
        <w:tc>
          <w:tcPr>
            <w:tcW w:w="0" w:type="auto"/>
            <w:gridSpan w:val="3"/>
            <w:shd w:val="clear" w:color="auto" w:fill="auto"/>
            <w:vAlign w:val="center"/>
          </w:tcPr>
          <w:p w14:paraId="3693EE16" w14:textId="77777777" w:rsidR="003734EC" w:rsidRDefault="003734EC">
            <w:pPr>
              <w:rPr>
                <w:rFonts w:ascii="宋体"/>
                <w:vanish/>
              </w:rPr>
            </w:pPr>
          </w:p>
        </w:tc>
        <w:tc>
          <w:tcPr>
            <w:tcW w:w="0" w:type="auto"/>
            <w:gridSpan w:val="3"/>
            <w:shd w:val="clear" w:color="auto" w:fill="auto"/>
            <w:vAlign w:val="center"/>
          </w:tcPr>
          <w:p w14:paraId="3693EE17" w14:textId="77777777" w:rsidR="003734EC" w:rsidRDefault="003734EC">
            <w:pPr>
              <w:rPr>
                <w:rFonts w:ascii="宋体"/>
                <w:vanish/>
              </w:rPr>
            </w:pPr>
          </w:p>
        </w:tc>
        <w:tc>
          <w:tcPr>
            <w:tcW w:w="0" w:type="auto"/>
            <w:gridSpan w:val="3"/>
            <w:shd w:val="clear" w:color="auto" w:fill="auto"/>
            <w:vAlign w:val="center"/>
          </w:tcPr>
          <w:p w14:paraId="3693EE18" w14:textId="77777777" w:rsidR="003734EC" w:rsidRDefault="003734EC">
            <w:pPr>
              <w:rPr>
                <w:rFonts w:ascii="宋体"/>
                <w:vanish/>
              </w:rPr>
            </w:pPr>
          </w:p>
        </w:tc>
        <w:tc>
          <w:tcPr>
            <w:tcW w:w="0" w:type="auto"/>
            <w:gridSpan w:val="3"/>
            <w:shd w:val="clear" w:color="auto" w:fill="auto"/>
            <w:vAlign w:val="center"/>
          </w:tcPr>
          <w:p w14:paraId="3693EE19" w14:textId="77777777" w:rsidR="003734EC" w:rsidRDefault="003734EC">
            <w:pPr>
              <w:rPr>
                <w:rFonts w:ascii="宋体"/>
                <w:vanish/>
              </w:rPr>
            </w:pPr>
          </w:p>
        </w:tc>
        <w:tc>
          <w:tcPr>
            <w:tcW w:w="0" w:type="auto"/>
            <w:gridSpan w:val="3"/>
            <w:shd w:val="clear" w:color="auto" w:fill="auto"/>
            <w:vAlign w:val="center"/>
          </w:tcPr>
          <w:p w14:paraId="3693EE1A" w14:textId="77777777" w:rsidR="003734EC" w:rsidRDefault="003734EC">
            <w:pPr>
              <w:rPr>
                <w:rFonts w:ascii="宋体"/>
                <w:vanish/>
              </w:rPr>
            </w:pPr>
          </w:p>
        </w:tc>
        <w:tc>
          <w:tcPr>
            <w:tcW w:w="0" w:type="auto"/>
            <w:gridSpan w:val="3"/>
            <w:shd w:val="clear" w:color="auto" w:fill="auto"/>
            <w:vAlign w:val="center"/>
          </w:tcPr>
          <w:p w14:paraId="3693EE1B" w14:textId="77777777" w:rsidR="003734EC" w:rsidRDefault="003734EC">
            <w:pPr>
              <w:rPr>
                <w:rFonts w:ascii="宋体"/>
                <w:vanish/>
              </w:rPr>
            </w:pPr>
          </w:p>
        </w:tc>
        <w:tc>
          <w:tcPr>
            <w:tcW w:w="0" w:type="auto"/>
            <w:shd w:val="clear" w:color="auto" w:fill="auto"/>
            <w:vAlign w:val="center"/>
          </w:tcPr>
          <w:p w14:paraId="3693EE1C" w14:textId="77777777" w:rsidR="003734EC" w:rsidRDefault="003734EC">
            <w:pPr>
              <w:rPr>
                <w:rFonts w:ascii="宋体"/>
              </w:rPr>
            </w:pPr>
          </w:p>
        </w:tc>
        <w:tc>
          <w:tcPr>
            <w:tcW w:w="0" w:type="auto"/>
            <w:shd w:val="clear" w:color="auto" w:fill="auto"/>
            <w:vAlign w:val="center"/>
          </w:tcPr>
          <w:p w14:paraId="3693EE1D" w14:textId="77777777" w:rsidR="003734EC" w:rsidRDefault="003734EC">
            <w:pPr>
              <w:rPr>
                <w:rFonts w:ascii="宋体"/>
              </w:rPr>
            </w:pPr>
          </w:p>
        </w:tc>
        <w:tc>
          <w:tcPr>
            <w:tcW w:w="0" w:type="auto"/>
            <w:shd w:val="clear" w:color="auto" w:fill="auto"/>
            <w:vAlign w:val="center"/>
          </w:tcPr>
          <w:p w14:paraId="3693EE1E" w14:textId="77777777" w:rsidR="003734EC" w:rsidRDefault="003734EC">
            <w:pPr>
              <w:rPr>
                <w:rFonts w:ascii="宋体"/>
              </w:rPr>
            </w:pPr>
          </w:p>
        </w:tc>
        <w:tc>
          <w:tcPr>
            <w:tcW w:w="0" w:type="auto"/>
            <w:shd w:val="clear" w:color="auto" w:fill="auto"/>
            <w:vAlign w:val="center"/>
          </w:tcPr>
          <w:p w14:paraId="3693EE1F" w14:textId="77777777" w:rsidR="003734EC" w:rsidRDefault="003734EC">
            <w:pPr>
              <w:rPr>
                <w:rFonts w:ascii="宋体"/>
              </w:rPr>
            </w:pPr>
          </w:p>
        </w:tc>
        <w:tc>
          <w:tcPr>
            <w:tcW w:w="0" w:type="auto"/>
            <w:shd w:val="clear" w:color="auto" w:fill="auto"/>
            <w:vAlign w:val="center"/>
          </w:tcPr>
          <w:p w14:paraId="3693EE20" w14:textId="77777777" w:rsidR="003734EC" w:rsidRDefault="003734EC">
            <w:pPr>
              <w:rPr>
                <w:rFonts w:ascii="宋体"/>
              </w:rPr>
            </w:pPr>
          </w:p>
        </w:tc>
        <w:tc>
          <w:tcPr>
            <w:tcW w:w="0" w:type="auto"/>
            <w:shd w:val="clear" w:color="auto" w:fill="auto"/>
            <w:vAlign w:val="center"/>
          </w:tcPr>
          <w:p w14:paraId="3693EE21" w14:textId="77777777" w:rsidR="003734EC" w:rsidRDefault="003734EC">
            <w:pPr>
              <w:rPr>
                <w:rFonts w:ascii="宋体"/>
              </w:rPr>
            </w:pPr>
          </w:p>
        </w:tc>
        <w:tc>
          <w:tcPr>
            <w:tcW w:w="0" w:type="auto"/>
            <w:shd w:val="clear" w:color="auto" w:fill="auto"/>
            <w:vAlign w:val="center"/>
          </w:tcPr>
          <w:p w14:paraId="3693EE22" w14:textId="77777777" w:rsidR="003734EC" w:rsidRDefault="003734EC">
            <w:pPr>
              <w:rPr>
                <w:rFonts w:ascii="宋体"/>
              </w:rPr>
            </w:pPr>
          </w:p>
        </w:tc>
        <w:tc>
          <w:tcPr>
            <w:tcW w:w="0" w:type="auto"/>
            <w:shd w:val="clear" w:color="auto" w:fill="auto"/>
            <w:vAlign w:val="center"/>
          </w:tcPr>
          <w:p w14:paraId="3693EE23" w14:textId="77777777" w:rsidR="003734EC" w:rsidRDefault="003734EC">
            <w:pPr>
              <w:rPr>
                <w:rFonts w:ascii="宋体"/>
              </w:rPr>
            </w:pPr>
          </w:p>
        </w:tc>
        <w:tc>
          <w:tcPr>
            <w:tcW w:w="0" w:type="auto"/>
            <w:shd w:val="clear" w:color="auto" w:fill="auto"/>
            <w:vAlign w:val="center"/>
          </w:tcPr>
          <w:p w14:paraId="3693EE24" w14:textId="77777777" w:rsidR="003734EC" w:rsidRDefault="003734EC">
            <w:pPr>
              <w:rPr>
                <w:rFonts w:ascii="宋体"/>
              </w:rPr>
            </w:pPr>
          </w:p>
        </w:tc>
      </w:tr>
      <w:tr w:rsidR="003734EC" w14:paraId="3693EE35" w14:textId="77777777">
        <w:trPr>
          <w:hidden/>
        </w:trPr>
        <w:tc>
          <w:tcPr>
            <w:tcW w:w="0" w:type="auto"/>
            <w:gridSpan w:val="3"/>
            <w:shd w:val="clear" w:color="auto" w:fill="auto"/>
            <w:vAlign w:val="center"/>
          </w:tcPr>
          <w:p w14:paraId="3693EE26" w14:textId="77777777" w:rsidR="003734EC" w:rsidRDefault="003734EC">
            <w:pPr>
              <w:rPr>
                <w:rFonts w:ascii="宋体"/>
                <w:vanish/>
              </w:rPr>
            </w:pPr>
          </w:p>
        </w:tc>
        <w:tc>
          <w:tcPr>
            <w:tcW w:w="0" w:type="auto"/>
            <w:gridSpan w:val="3"/>
            <w:shd w:val="clear" w:color="auto" w:fill="auto"/>
            <w:vAlign w:val="center"/>
          </w:tcPr>
          <w:p w14:paraId="3693EE27" w14:textId="77777777" w:rsidR="003734EC" w:rsidRDefault="003734EC">
            <w:pPr>
              <w:rPr>
                <w:rFonts w:ascii="宋体"/>
                <w:vanish/>
              </w:rPr>
            </w:pPr>
          </w:p>
        </w:tc>
        <w:tc>
          <w:tcPr>
            <w:tcW w:w="0" w:type="auto"/>
            <w:gridSpan w:val="3"/>
            <w:shd w:val="clear" w:color="auto" w:fill="auto"/>
            <w:vAlign w:val="center"/>
          </w:tcPr>
          <w:p w14:paraId="3693EE28" w14:textId="77777777" w:rsidR="003734EC" w:rsidRDefault="003734EC">
            <w:pPr>
              <w:rPr>
                <w:rFonts w:ascii="宋体"/>
                <w:vanish/>
              </w:rPr>
            </w:pPr>
          </w:p>
        </w:tc>
        <w:tc>
          <w:tcPr>
            <w:tcW w:w="0" w:type="auto"/>
            <w:gridSpan w:val="3"/>
            <w:shd w:val="clear" w:color="auto" w:fill="auto"/>
            <w:vAlign w:val="center"/>
          </w:tcPr>
          <w:p w14:paraId="3693EE29" w14:textId="77777777" w:rsidR="003734EC" w:rsidRDefault="003734EC">
            <w:pPr>
              <w:rPr>
                <w:rFonts w:ascii="宋体"/>
                <w:vanish/>
              </w:rPr>
            </w:pPr>
          </w:p>
        </w:tc>
        <w:tc>
          <w:tcPr>
            <w:tcW w:w="0" w:type="auto"/>
            <w:gridSpan w:val="3"/>
            <w:shd w:val="clear" w:color="auto" w:fill="auto"/>
            <w:vAlign w:val="center"/>
          </w:tcPr>
          <w:p w14:paraId="3693EE2A" w14:textId="77777777" w:rsidR="003734EC" w:rsidRDefault="003734EC">
            <w:pPr>
              <w:rPr>
                <w:rFonts w:ascii="宋体"/>
                <w:vanish/>
              </w:rPr>
            </w:pPr>
          </w:p>
        </w:tc>
        <w:tc>
          <w:tcPr>
            <w:tcW w:w="0" w:type="auto"/>
            <w:gridSpan w:val="3"/>
            <w:shd w:val="clear" w:color="auto" w:fill="auto"/>
            <w:vAlign w:val="center"/>
          </w:tcPr>
          <w:p w14:paraId="3693EE2B" w14:textId="77777777" w:rsidR="003734EC" w:rsidRDefault="003734EC">
            <w:pPr>
              <w:rPr>
                <w:rFonts w:ascii="宋体"/>
                <w:vanish/>
              </w:rPr>
            </w:pPr>
          </w:p>
        </w:tc>
        <w:tc>
          <w:tcPr>
            <w:tcW w:w="0" w:type="auto"/>
            <w:shd w:val="clear" w:color="auto" w:fill="auto"/>
            <w:vAlign w:val="center"/>
          </w:tcPr>
          <w:p w14:paraId="3693EE2C" w14:textId="77777777" w:rsidR="003734EC" w:rsidRDefault="003734EC">
            <w:pPr>
              <w:rPr>
                <w:rFonts w:ascii="宋体"/>
              </w:rPr>
            </w:pPr>
          </w:p>
        </w:tc>
        <w:tc>
          <w:tcPr>
            <w:tcW w:w="0" w:type="auto"/>
            <w:shd w:val="clear" w:color="auto" w:fill="auto"/>
            <w:vAlign w:val="center"/>
          </w:tcPr>
          <w:p w14:paraId="3693EE2D" w14:textId="77777777" w:rsidR="003734EC" w:rsidRDefault="003734EC">
            <w:pPr>
              <w:rPr>
                <w:rFonts w:ascii="宋体"/>
              </w:rPr>
            </w:pPr>
          </w:p>
        </w:tc>
        <w:tc>
          <w:tcPr>
            <w:tcW w:w="0" w:type="auto"/>
            <w:shd w:val="clear" w:color="auto" w:fill="auto"/>
            <w:vAlign w:val="center"/>
          </w:tcPr>
          <w:p w14:paraId="3693EE2E" w14:textId="77777777" w:rsidR="003734EC" w:rsidRDefault="003734EC">
            <w:pPr>
              <w:rPr>
                <w:rFonts w:ascii="宋体"/>
              </w:rPr>
            </w:pPr>
          </w:p>
        </w:tc>
        <w:tc>
          <w:tcPr>
            <w:tcW w:w="0" w:type="auto"/>
            <w:shd w:val="clear" w:color="auto" w:fill="auto"/>
            <w:vAlign w:val="center"/>
          </w:tcPr>
          <w:p w14:paraId="3693EE2F" w14:textId="77777777" w:rsidR="003734EC" w:rsidRDefault="003734EC">
            <w:pPr>
              <w:rPr>
                <w:rFonts w:ascii="宋体"/>
              </w:rPr>
            </w:pPr>
          </w:p>
        </w:tc>
        <w:tc>
          <w:tcPr>
            <w:tcW w:w="0" w:type="auto"/>
            <w:shd w:val="clear" w:color="auto" w:fill="auto"/>
            <w:vAlign w:val="center"/>
          </w:tcPr>
          <w:p w14:paraId="3693EE30" w14:textId="77777777" w:rsidR="003734EC" w:rsidRDefault="003734EC">
            <w:pPr>
              <w:rPr>
                <w:rFonts w:ascii="宋体"/>
              </w:rPr>
            </w:pPr>
          </w:p>
        </w:tc>
        <w:tc>
          <w:tcPr>
            <w:tcW w:w="0" w:type="auto"/>
            <w:shd w:val="clear" w:color="auto" w:fill="auto"/>
            <w:vAlign w:val="center"/>
          </w:tcPr>
          <w:p w14:paraId="3693EE31" w14:textId="77777777" w:rsidR="003734EC" w:rsidRDefault="003734EC">
            <w:pPr>
              <w:rPr>
                <w:rFonts w:ascii="宋体"/>
              </w:rPr>
            </w:pPr>
          </w:p>
        </w:tc>
        <w:tc>
          <w:tcPr>
            <w:tcW w:w="0" w:type="auto"/>
            <w:shd w:val="clear" w:color="auto" w:fill="auto"/>
            <w:vAlign w:val="center"/>
          </w:tcPr>
          <w:p w14:paraId="3693EE32" w14:textId="77777777" w:rsidR="003734EC" w:rsidRDefault="003734EC">
            <w:pPr>
              <w:rPr>
                <w:rFonts w:ascii="宋体"/>
              </w:rPr>
            </w:pPr>
          </w:p>
        </w:tc>
        <w:tc>
          <w:tcPr>
            <w:tcW w:w="0" w:type="auto"/>
            <w:shd w:val="clear" w:color="auto" w:fill="auto"/>
            <w:vAlign w:val="center"/>
          </w:tcPr>
          <w:p w14:paraId="3693EE33" w14:textId="77777777" w:rsidR="003734EC" w:rsidRDefault="003734EC">
            <w:pPr>
              <w:rPr>
                <w:rFonts w:ascii="宋体"/>
              </w:rPr>
            </w:pPr>
          </w:p>
        </w:tc>
        <w:tc>
          <w:tcPr>
            <w:tcW w:w="0" w:type="auto"/>
            <w:shd w:val="clear" w:color="auto" w:fill="auto"/>
            <w:vAlign w:val="center"/>
          </w:tcPr>
          <w:p w14:paraId="3693EE34" w14:textId="77777777" w:rsidR="003734EC" w:rsidRDefault="003734EC">
            <w:pPr>
              <w:rPr>
                <w:rFonts w:ascii="宋体"/>
              </w:rPr>
            </w:pPr>
          </w:p>
        </w:tc>
      </w:tr>
      <w:tr w:rsidR="003734EC" w14:paraId="3693EE45" w14:textId="77777777">
        <w:trPr>
          <w:hidden/>
        </w:trPr>
        <w:tc>
          <w:tcPr>
            <w:tcW w:w="0" w:type="auto"/>
            <w:gridSpan w:val="3"/>
            <w:shd w:val="clear" w:color="auto" w:fill="auto"/>
            <w:vAlign w:val="center"/>
          </w:tcPr>
          <w:p w14:paraId="3693EE36" w14:textId="77777777" w:rsidR="003734EC" w:rsidRDefault="003734EC">
            <w:pPr>
              <w:rPr>
                <w:rFonts w:ascii="宋体"/>
                <w:vanish/>
              </w:rPr>
            </w:pPr>
          </w:p>
        </w:tc>
        <w:tc>
          <w:tcPr>
            <w:tcW w:w="0" w:type="auto"/>
            <w:gridSpan w:val="3"/>
            <w:shd w:val="clear" w:color="auto" w:fill="auto"/>
            <w:vAlign w:val="center"/>
          </w:tcPr>
          <w:p w14:paraId="3693EE37" w14:textId="77777777" w:rsidR="003734EC" w:rsidRDefault="003734EC">
            <w:pPr>
              <w:rPr>
                <w:rFonts w:ascii="宋体"/>
                <w:vanish/>
              </w:rPr>
            </w:pPr>
          </w:p>
        </w:tc>
        <w:tc>
          <w:tcPr>
            <w:tcW w:w="0" w:type="auto"/>
            <w:gridSpan w:val="3"/>
            <w:shd w:val="clear" w:color="auto" w:fill="auto"/>
            <w:vAlign w:val="center"/>
          </w:tcPr>
          <w:p w14:paraId="3693EE38" w14:textId="77777777" w:rsidR="003734EC" w:rsidRDefault="003734EC">
            <w:pPr>
              <w:rPr>
                <w:rFonts w:ascii="宋体"/>
                <w:vanish/>
              </w:rPr>
            </w:pPr>
          </w:p>
        </w:tc>
        <w:tc>
          <w:tcPr>
            <w:tcW w:w="0" w:type="auto"/>
            <w:gridSpan w:val="3"/>
            <w:shd w:val="clear" w:color="auto" w:fill="auto"/>
            <w:vAlign w:val="center"/>
          </w:tcPr>
          <w:p w14:paraId="3693EE39" w14:textId="77777777" w:rsidR="003734EC" w:rsidRDefault="003734EC">
            <w:pPr>
              <w:rPr>
                <w:rFonts w:ascii="宋体"/>
                <w:vanish/>
              </w:rPr>
            </w:pPr>
          </w:p>
        </w:tc>
        <w:tc>
          <w:tcPr>
            <w:tcW w:w="0" w:type="auto"/>
            <w:gridSpan w:val="3"/>
            <w:shd w:val="clear" w:color="auto" w:fill="auto"/>
            <w:vAlign w:val="center"/>
          </w:tcPr>
          <w:p w14:paraId="3693EE3A" w14:textId="77777777" w:rsidR="003734EC" w:rsidRDefault="003734EC">
            <w:pPr>
              <w:rPr>
                <w:rFonts w:ascii="宋体"/>
                <w:vanish/>
              </w:rPr>
            </w:pPr>
          </w:p>
        </w:tc>
        <w:tc>
          <w:tcPr>
            <w:tcW w:w="0" w:type="auto"/>
            <w:gridSpan w:val="3"/>
            <w:shd w:val="clear" w:color="auto" w:fill="auto"/>
            <w:vAlign w:val="center"/>
          </w:tcPr>
          <w:p w14:paraId="3693EE3B" w14:textId="77777777" w:rsidR="003734EC" w:rsidRDefault="003734EC">
            <w:pPr>
              <w:rPr>
                <w:rFonts w:ascii="宋体"/>
                <w:vanish/>
              </w:rPr>
            </w:pPr>
          </w:p>
        </w:tc>
        <w:tc>
          <w:tcPr>
            <w:tcW w:w="0" w:type="auto"/>
            <w:shd w:val="clear" w:color="auto" w:fill="auto"/>
            <w:vAlign w:val="center"/>
          </w:tcPr>
          <w:p w14:paraId="3693EE3C" w14:textId="77777777" w:rsidR="003734EC" w:rsidRDefault="003734EC">
            <w:pPr>
              <w:rPr>
                <w:rFonts w:ascii="宋体"/>
              </w:rPr>
            </w:pPr>
          </w:p>
        </w:tc>
        <w:tc>
          <w:tcPr>
            <w:tcW w:w="0" w:type="auto"/>
            <w:shd w:val="clear" w:color="auto" w:fill="auto"/>
            <w:vAlign w:val="center"/>
          </w:tcPr>
          <w:p w14:paraId="3693EE3D" w14:textId="77777777" w:rsidR="003734EC" w:rsidRDefault="003734EC">
            <w:pPr>
              <w:rPr>
                <w:rFonts w:ascii="宋体"/>
              </w:rPr>
            </w:pPr>
          </w:p>
        </w:tc>
        <w:tc>
          <w:tcPr>
            <w:tcW w:w="0" w:type="auto"/>
            <w:shd w:val="clear" w:color="auto" w:fill="auto"/>
            <w:vAlign w:val="center"/>
          </w:tcPr>
          <w:p w14:paraId="3693EE3E" w14:textId="77777777" w:rsidR="003734EC" w:rsidRDefault="003734EC">
            <w:pPr>
              <w:rPr>
                <w:rFonts w:ascii="宋体"/>
              </w:rPr>
            </w:pPr>
          </w:p>
        </w:tc>
        <w:tc>
          <w:tcPr>
            <w:tcW w:w="0" w:type="auto"/>
            <w:shd w:val="clear" w:color="auto" w:fill="auto"/>
            <w:vAlign w:val="center"/>
          </w:tcPr>
          <w:p w14:paraId="3693EE3F" w14:textId="77777777" w:rsidR="003734EC" w:rsidRDefault="003734EC">
            <w:pPr>
              <w:rPr>
                <w:rFonts w:ascii="宋体"/>
              </w:rPr>
            </w:pPr>
          </w:p>
        </w:tc>
        <w:tc>
          <w:tcPr>
            <w:tcW w:w="0" w:type="auto"/>
            <w:shd w:val="clear" w:color="auto" w:fill="auto"/>
            <w:vAlign w:val="center"/>
          </w:tcPr>
          <w:p w14:paraId="3693EE40" w14:textId="77777777" w:rsidR="003734EC" w:rsidRDefault="003734EC">
            <w:pPr>
              <w:rPr>
                <w:rFonts w:ascii="宋体"/>
              </w:rPr>
            </w:pPr>
          </w:p>
        </w:tc>
        <w:tc>
          <w:tcPr>
            <w:tcW w:w="0" w:type="auto"/>
            <w:shd w:val="clear" w:color="auto" w:fill="auto"/>
            <w:vAlign w:val="center"/>
          </w:tcPr>
          <w:p w14:paraId="3693EE41" w14:textId="77777777" w:rsidR="003734EC" w:rsidRDefault="003734EC">
            <w:pPr>
              <w:rPr>
                <w:rFonts w:ascii="宋体"/>
              </w:rPr>
            </w:pPr>
          </w:p>
        </w:tc>
        <w:tc>
          <w:tcPr>
            <w:tcW w:w="0" w:type="auto"/>
            <w:shd w:val="clear" w:color="auto" w:fill="auto"/>
            <w:vAlign w:val="center"/>
          </w:tcPr>
          <w:p w14:paraId="3693EE42" w14:textId="77777777" w:rsidR="003734EC" w:rsidRDefault="003734EC">
            <w:pPr>
              <w:rPr>
                <w:rFonts w:ascii="宋体"/>
              </w:rPr>
            </w:pPr>
          </w:p>
        </w:tc>
        <w:tc>
          <w:tcPr>
            <w:tcW w:w="0" w:type="auto"/>
            <w:shd w:val="clear" w:color="auto" w:fill="auto"/>
            <w:vAlign w:val="center"/>
          </w:tcPr>
          <w:p w14:paraId="3693EE43" w14:textId="77777777" w:rsidR="003734EC" w:rsidRDefault="003734EC">
            <w:pPr>
              <w:rPr>
                <w:rFonts w:ascii="宋体"/>
              </w:rPr>
            </w:pPr>
          </w:p>
        </w:tc>
        <w:tc>
          <w:tcPr>
            <w:tcW w:w="0" w:type="auto"/>
            <w:shd w:val="clear" w:color="auto" w:fill="auto"/>
            <w:vAlign w:val="center"/>
          </w:tcPr>
          <w:p w14:paraId="3693EE44" w14:textId="77777777" w:rsidR="003734EC" w:rsidRDefault="003734EC">
            <w:pPr>
              <w:rPr>
                <w:rFonts w:ascii="宋体"/>
              </w:rPr>
            </w:pPr>
          </w:p>
        </w:tc>
      </w:tr>
      <w:tr w:rsidR="003734EC" w14:paraId="3693EE55" w14:textId="77777777">
        <w:tc>
          <w:tcPr>
            <w:tcW w:w="0" w:type="auto"/>
            <w:gridSpan w:val="3"/>
            <w:shd w:val="clear" w:color="auto" w:fill="E2EFD9"/>
            <w:tcMar>
              <w:top w:w="40" w:type="dxa"/>
              <w:left w:w="20" w:type="dxa"/>
              <w:bottom w:w="40" w:type="dxa"/>
              <w:right w:w="20" w:type="dxa"/>
            </w:tcMar>
            <w:vAlign w:val="bottom"/>
          </w:tcPr>
          <w:p w14:paraId="3693EE46" w14:textId="77777777" w:rsidR="003734EC" w:rsidRDefault="000E364E">
            <w:pPr>
              <w:textAlignment w:val="bottom"/>
            </w:pPr>
            <w:r>
              <w:rPr>
                <w:rFonts w:ascii="sans-serif" w:eastAsia="sans-serif" w:hAnsi="sans-serif" w:cs="sans-serif"/>
                <w:color w:val="000000"/>
                <w:sz w:val="20"/>
                <w:szCs w:val="20"/>
              </w:rPr>
              <w:t>Other noncurrent liabilities:</w:t>
            </w:r>
          </w:p>
        </w:tc>
        <w:tc>
          <w:tcPr>
            <w:tcW w:w="0" w:type="auto"/>
            <w:gridSpan w:val="3"/>
            <w:shd w:val="clear" w:color="auto" w:fill="E2EFD9"/>
            <w:tcMar>
              <w:left w:w="20" w:type="dxa"/>
              <w:right w:w="20" w:type="dxa"/>
            </w:tcMar>
            <w:vAlign w:val="bottom"/>
          </w:tcPr>
          <w:p w14:paraId="3693EE47"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E48"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E49"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E4A"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EE4B" w14:textId="77777777" w:rsidR="003734EC" w:rsidRDefault="003734EC">
            <w:pPr>
              <w:rPr>
                <w:rFonts w:ascii="宋体"/>
              </w:rPr>
            </w:pPr>
          </w:p>
        </w:tc>
        <w:tc>
          <w:tcPr>
            <w:tcW w:w="0" w:type="auto"/>
            <w:shd w:val="clear" w:color="auto" w:fill="auto"/>
            <w:vAlign w:val="center"/>
          </w:tcPr>
          <w:p w14:paraId="3693EE4C" w14:textId="77777777" w:rsidR="003734EC" w:rsidRDefault="003734EC">
            <w:pPr>
              <w:rPr>
                <w:rFonts w:ascii="宋体"/>
              </w:rPr>
            </w:pPr>
          </w:p>
        </w:tc>
        <w:tc>
          <w:tcPr>
            <w:tcW w:w="0" w:type="auto"/>
            <w:shd w:val="clear" w:color="auto" w:fill="auto"/>
            <w:vAlign w:val="center"/>
          </w:tcPr>
          <w:p w14:paraId="3693EE4D" w14:textId="77777777" w:rsidR="003734EC" w:rsidRDefault="003734EC">
            <w:pPr>
              <w:rPr>
                <w:rFonts w:ascii="宋体"/>
              </w:rPr>
            </w:pPr>
          </w:p>
        </w:tc>
        <w:tc>
          <w:tcPr>
            <w:tcW w:w="0" w:type="auto"/>
            <w:shd w:val="clear" w:color="auto" w:fill="auto"/>
            <w:vAlign w:val="center"/>
          </w:tcPr>
          <w:p w14:paraId="3693EE4E" w14:textId="77777777" w:rsidR="003734EC" w:rsidRDefault="003734EC">
            <w:pPr>
              <w:rPr>
                <w:rFonts w:ascii="宋体"/>
              </w:rPr>
            </w:pPr>
          </w:p>
        </w:tc>
        <w:tc>
          <w:tcPr>
            <w:tcW w:w="0" w:type="auto"/>
            <w:shd w:val="clear" w:color="auto" w:fill="auto"/>
            <w:vAlign w:val="center"/>
          </w:tcPr>
          <w:p w14:paraId="3693EE4F" w14:textId="77777777" w:rsidR="003734EC" w:rsidRDefault="003734EC">
            <w:pPr>
              <w:rPr>
                <w:rFonts w:ascii="宋体"/>
              </w:rPr>
            </w:pPr>
          </w:p>
        </w:tc>
        <w:tc>
          <w:tcPr>
            <w:tcW w:w="0" w:type="auto"/>
            <w:shd w:val="clear" w:color="auto" w:fill="auto"/>
            <w:vAlign w:val="center"/>
          </w:tcPr>
          <w:p w14:paraId="3693EE50" w14:textId="77777777" w:rsidR="003734EC" w:rsidRDefault="003734EC">
            <w:pPr>
              <w:rPr>
                <w:rFonts w:ascii="宋体"/>
              </w:rPr>
            </w:pPr>
          </w:p>
        </w:tc>
        <w:tc>
          <w:tcPr>
            <w:tcW w:w="0" w:type="auto"/>
            <w:shd w:val="clear" w:color="auto" w:fill="auto"/>
            <w:vAlign w:val="center"/>
          </w:tcPr>
          <w:p w14:paraId="3693EE51" w14:textId="77777777" w:rsidR="003734EC" w:rsidRDefault="003734EC">
            <w:pPr>
              <w:rPr>
                <w:rFonts w:ascii="宋体"/>
              </w:rPr>
            </w:pPr>
          </w:p>
        </w:tc>
        <w:tc>
          <w:tcPr>
            <w:tcW w:w="0" w:type="auto"/>
            <w:shd w:val="clear" w:color="auto" w:fill="auto"/>
            <w:vAlign w:val="center"/>
          </w:tcPr>
          <w:p w14:paraId="3693EE52" w14:textId="77777777" w:rsidR="003734EC" w:rsidRDefault="003734EC">
            <w:pPr>
              <w:rPr>
                <w:rFonts w:ascii="宋体"/>
              </w:rPr>
            </w:pPr>
          </w:p>
        </w:tc>
        <w:tc>
          <w:tcPr>
            <w:tcW w:w="0" w:type="auto"/>
            <w:shd w:val="clear" w:color="auto" w:fill="auto"/>
            <w:vAlign w:val="center"/>
          </w:tcPr>
          <w:p w14:paraId="3693EE53" w14:textId="77777777" w:rsidR="003734EC" w:rsidRDefault="003734EC">
            <w:pPr>
              <w:rPr>
                <w:rFonts w:ascii="宋体"/>
              </w:rPr>
            </w:pPr>
          </w:p>
        </w:tc>
        <w:tc>
          <w:tcPr>
            <w:tcW w:w="0" w:type="auto"/>
            <w:shd w:val="clear" w:color="auto" w:fill="auto"/>
            <w:vAlign w:val="center"/>
          </w:tcPr>
          <w:p w14:paraId="3693EE54" w14:textId="77777777" w:rsidR="003734EC" w:rsidRDefault="003734EC">
            <w:pPr>
              <w:rPr>
                <w:rFonts w:ascii="宋体"/>
              </w:rPr>
            </w:pPr>
          </w:p>
        </w:tc>
      </w:tr>
      <w:tr w:rsidR="003734EC" w14:paraId="3693EE69" w14:textId="77777777">
        <w:tc>
          <w:tcPr>
            <w:tcW w:w="0" w:type="auto"/>
            <w:gridSpan w:val="3"/>
            <w:shd w:val="clear" w:color="auto" w:fill="FFFFFF"/>
            <w:tcMar>
              <w:top w:w="40" w:type="dxa"/>
              <w:left w:w="180" w:type="dxa"/>
              <w:bottom w:w="40" w:type="dxa"/>
              <w:right w:w="20" w:type="dxa"/>
            </w:tcMar>
            <w:vAlign w:val="bottom"/>
          </w:tcPr>
          <w:p w14:paraId="3693EE56" w14:textId="77777777" w:rsidR="003734EC" w:rsidRDefault="000E364E">
            <w:pPr>
              <w:textAlignment w:val="bottom"/>
            </w:pPr>
            <w:r>
              <w:rPr>
                <w:rFonts w:ascii="sans-serif" w:eastAsia="sans-serif" w:hAnsi="sans-serif" w:cs="sans-serif"/>
                <w:color w:val="000000"/>
                <w:sz w:val="20"/>
                <w:szCs w:val="20"/>
              </w:rPr>
              <w:t>2.20% Notes Due 2021 (1)</w:t>
            </w:r>
          </w:p>
        </w:tc>
        <w:tc>
          <w:tcPr>
            <w:tcW w:w="0" w:type="auto"/>
            <w:gridSpan w:val="3"/>
            <w:shd w:val="clear" w:color="auto" w:fill="FFFFFF"/>
            <w:tcMar>
              <w:top w:w="40" w:type="dxa"/>
              <w:left w:w="20" w:type="dxa"/>
              <w:bottom w:w="40" w:type="dxa"/>
              <w:right w:w="20" w:type="dxa"/>
            </w:tcMar>
            <w:vAlign w:val="bottom"/>
          </w:tcPr>
          <w:p w14:paraId="3693EE57"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E5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5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5A" w14:textId="77777777" w:rsidR="003734EC" w:rsidRDefault="000E364E">
            <w:pPr>
              <w:jc w:val="right"/>
              <w:textAlignment w:val="bottom"/>
            </w:pPr>
            <w:r>
              <w:rPr>
                <w:rFonts w:ascii="sans-serif" w:eastAsia="sans-serif" w:hAnsi="sans-serif" w:cs="sans-serif"/>
                <w:color w:val="000000"/>
                <w:sz w:val="20"/>
                <w:szCs w:val="20"/>
              </w:rPr>
              <w:t>1,020 </w:t>
            </w:r>
          </w:p>
        </w:tc>
        <w:tc>
          <w:tcPr>
            <w:tcW w:w="0" w:type="auto"/>
            <w:shd w:val="clear" w:color="auto" w:fill="FFFFFF"/>
            <w:tcMar>
              <w:top w:w="40" w:type="dxa"/>
              <w:bottom w:w="40" w:type="dxa"/>
              <w:right w:w="20" w:type="dxa"/>
            </w:tcMar>
            <w:vAlign w:val="bottom"/>
          </w:tcPr>
          <w:p w14:paraId="3693EE5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E5C"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5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5E" w14:textId="77777777" w:rsidR="003734EC" w:rsidRDefault="000E364E">
            <w:pPr>
              <w:jc w:val="right"/>
              <w:textAlignment w:val="bottom"/>
            </w:pPr>
            <w:r>
              <w:rPr>
                <w:rFonts w:ascii="sans-serif" w:eastAsia="sans-serif" w:hAnsi="sans-serif" w:cs="sans-serif"/>
                <w:color w:val="000000"/>
                <w:sz w:val="20"/>
                <w:szCs w:val="20"/>
              </w:rPr>
              <w:t>1,065 </w:t>
            </w:r>
          </w:p>
        </w:tc>
        <w:tc>
          <w:tcPr>
            <w:tcW w:w="0" w:type="auto"/>
            <w:shd w:val="clear" w:color="auto" w:fill="FFFFFF"/>
            <w:tcMar>
              <w:top w:w="40" w:type="dxa"/>
              <w:bottom w:w="40" w:type="dxa"/>
              <w:right w:w="20" w:type="dxa"/>
            </w:tcMar>
            <w:vAlign w:val="bottom"/>
          </w:tcPr>
          <w:p w14:paraId="3693EE5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60" w14:textId="77777777" w:rsidR="003734EC" w:rsidRDefault="003734EC">
            <w:pPr>
              <w:rPr>
                <w:rFonts w:ascii="宋体"/>
              </w:rPr>
            </w:pPr>
          </w:p>
        </w:tc>
        <w:tc>
          <w:tcPr>
            <w:tcW w:w="0" w:type="auto"/>
            <w:shd w:val="clear" w:color="auto" w:fill="auto"/>
            <w:vAlign w:val="center"/>
          </w:tcPr>
          <w:p w14:paraId="3693EE61" w14:textId="77777777" w:rsidR="003734EC" w:rsidRDefault="003734EC">
            <w:pPr>
              <w:rPr>
                <w:rFonts w:ascii="宋体"/>
              </w:rPr>
            </w:pPr>
          </w:p>
        </w:tc>
        <w:tc>
          <w:tcPr>
            <w:tcW w:w="0" w:type="auto"/>
            <w:shd w:val="clear" w:color="auto" w:fill="auto"/>
            <w:vAlign w:val="center"/>
          </w:tcPr>
          <w:p w14:paraId="3693EE62" w14:textId="77777777" w:rsidR="003734EC" w:rsidRDefault="003734EC">
            <w:pPr>
              <w:rPr>
                <w:rFonts w:ascii="宋体"/>
              </w:rPr>
            </w:pPr>
          </w:p>
        </w:tc>
        <w:tc>
          <w:tcPr>
            <w:tcW w:w="0" w:type="auto"/>
            <w:shd w:val="clear" w:color="auto" w:fill="auto"/>
            <w:vAlign w:val="center"/>
          </w:tcPr>
          <w:p w14:paraId="3693EE63" w14:textId="77777777" w:rsidR="003734EC" w:rsidRDefault="003734EC">
            <w:pPr>
              <w:rPr>
                <w:rFonts w:ascii="宋体"/>
              </w:rPr>
            </w:pPr>
          </w:p>
        </w:tc>
        <w:tc>
          <w:tcPr>
            <w:tcW w:w="0" w:type="auto"/>
            <w:shd w:val="clear" w:color="auto" w:fill="auto"/>
            <w:vAlign w:val="center"/>
          </w:tcPr>
          <w:p w14:paraId="3693EE64" w14:textId="77777777" w:rsidR="003734EC" w:rsidRDefault="003734EC">
            <w:pPr>
              <w:rPr>
                <w:rFonts w:ascii="宋体"/>
              </w:rPr>
            </w:pPr>
          </w:p>
        </w:tc>
        <w:tc>
          <w:tcPr>
            <w:tcW w:w="0" w:type="auto"/>
            <w:shd w:val="clear" w:color="auto" w:fill="auto"/>
            <w:vAlign w:val="center"/>
          </w:tcPr>
          <w:p w14:paraId="3693EE65" w14:textId="77777777" w:rsidR="003734EC" w:rsidRDefault="003734EC">
            <w:pPr>
              <w:rPr>
                <w:rFonts w:ascii="宋体"/>
              </w:rPr>
            </w:pPr>
          </w:p>
        </w:tc>
        <w:tc>
          <w:tcPr>
            <w:tcW w:w="0" w:type="auto"/>
            <w:shd w:val="clear" w:color="auto" w:fill="auto"/>
            <w:vAlign w:val="center"/>
          </w:tcPr>
          <w:p w14:paraId="3693EE66" w14:textId="77777777" w:rsidR="003734EC" w:rsidRDefault="003734EC">
            <w:pPr>
              <w:rPr>
                <w:rFonts w:ascii="宋体"/>
              </w:rPr>
            </w:pPr>
          </w:p>
        </w:tc>
        <w:tc>
          <w:tcPr>
            <w:tcW w:w="0" w:type="auto"/>
            <w:shd w:val="clear" w:color="auto" w:fill="auto"/>
            <w:vAlign w:val="center"/>
          </w:tcPr>
          <w:p w14:paraId="3693EE67" w14:textId="77777777" w:rsidR="003734EC" w:rsidRDefault="003734EC">
            <w:pPr>
              <w:rPr>
                <w:rFonts w:ascii="宋体"/>
              </w:rPr>
            </w:pPr>
          </w:p>
        </w:tc>
        <w:tc>
          <w:tcPr>
            <w:tcW w:w="0" w:type="auto"/>
            <w:shd w:val="clear" w:color="auto" w:fill="auto"/>
            <w:vAlign w:val="center"/>
          </w:tcPr>
          <w:p w14:paraId="3693EE68" w14:textId="77777777" w:rsidR="003734EC" w:rsidRDefault="003734EC">
            <w:pPr>
              <w:rPr>
                <w:rFonts w:ascii="宋体"/>
              </w:rPr>
            </w:pPr>
          </w:p>
        </w:tc>
      </w:tr>
      <w:tr w:rsidR="003734EC" w14:paraId="3693EE7D" w14:textId="77777777">
        <w:tc>
          <w:tcPr>
            <w:tcW w:w="0" w:type="auto"/>
            <w:gridSpan w:val="3"/>
            <w:shd w:val="clear" w:color="auto" w:fill="E2EFD9"/>
            <w:tcMar>
              <w:top w:w="40" w:type="dxa"/>
              <w:left w:w="180" w:type="dxa"/>
              <w:bottom w:w="40" w:type="dxa"/>
              <w:right w:w="20" w:type="dxa"/>
            </w:tcMar>
            <w:vAlign w:val="bottom"/>
          </w:tcPr>
          <w:p w14:paraId="3693EE6A" w14:textId="77777777" w:rsidR="003734EC" w:rsidRDefault="000E364E">
            <w:pPr>
              <w:textAlignment w:val="bottom"/>
            </w:pPr>
            <w:r>
              <w:rPr>
                <w:rFonts w:ascii="sans-serif" w:eastAsia="sans-serif" w:hAnsi="sans-serif" w:cs="sans-serif"/>
                <w:color w:val="000000"/>
                <w:sz w:val="20"/>
                <w:szCs w:val="20"/>
              </w:rPr>
              <w:t>3.20% Notes Due 2026 (1)</w:t>
            </w:r>
          </w:p>
        </w:tc>
        <w:tc>
          <w:tcPr>
            <w:tcW w:w="0" w:type="auto"/>
            <w:gridSpan w:val="3"/>
            <w:shd w:val="clear" w:color="auto" w:fill="E2EFD9"/>
            <w:tcMar>
              <w:top w:w="40" w:type="dxa"/>
              <w:left w:w="20" w:type="dxa"/>
              <w:bottom w:w="40" w:type="dxa"/>
              <w:right w:w="20" w:type="dxa"/>
            </w:tcMar>
            <w:vAlign w:val="bottom"/>
          </w:tcPr>
          <w:p w14:paraId="3693EE6B"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E6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6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6E" w14:textId="77777777" w:rsidR="003734EC" w:rsidRDefault="000E364E">
            <w:pPr>
              <w:jc w:val="right"/>
              <w:textAlignment w:val="bottom"/>
            </w:pPr>
            <w:r>
              <w:rPr>
                <w:rFonts w:ascii="sans-serif" w:eastAsia="sans-serif" w:hAnsi="sans-serif" w:cs="sans-serif"/>
                <w:color w:val="000000"/>
                <w:sz w:val="20"/>
                <w:szCs w:val="20"/>
              </w:rPr>
              <w:t>1,104 </w:t>
            </w:r>
          </w:p>
        </w:tc>
        <w:tc>
          <w:tcPr>
            <w:tcW w:w="0" w:type="auto"/>
            <w:shd w:val="clear" w:color="auto" w:fill="E2EFD9"/>
            <w:tcMar>
              <w:top w:w="40" w:type="dxa"/>
              <w:bottom w:w="40" w:type="dxa"/>
              <w:right w:w="20" w:type="dxa"/>
            </w:tcMar>
            <w:vAlign w:val="bottom"/>
          </w:tcPr>
          <w:p w14:paraId="3693EE6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E70"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7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72" w14:textId="77777777" w:rsidR="003734EC" w:rsidRDefault="000E364E">
            <w:pPr>
              <w:jc w:val="right"/>
              <w:textAlignment w:val="bottom"/>
            </w:pPr>
            <w:r>
              <w:rPr>
                <w:rFonts w:ascii="sans-serif" w:eastAsia="sans-serif" w:hAnsi="sans-serif" w:cs="sans-serif"/>
                <w:color w:val="000000"/>
                <w:sz w:val="20"/>
                <w:szCs w:val="20"/>
              </w:rPr>
              <w:t>1,006 </w:t>
            </w:r>
          </w:p>
        </w:tc>
        <w:tc>
          <w:tcPr>
            <w:tcW w:w="0" w:type="auto"/>
            <w:shd w:val="clear" w:color="auto" w:fill="E2EFD9"/>
            <w:tcMar>
              <w:top w:w="40" w:type="dxa"/>
              <w:bottom w:w="40" w:type="dxa"/>
              <w:right w:w="20" w:type="dxa"/>
            </w:tcMar>
            <w:vAlign w:val="bottom"/>
          </w:tcPr>
          <w:p w14:paraId="3693EE7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74" w14:textId="77777777" w:rsidR="003734EC" w:rsidRDefault="003734EC">
            <w:pPr>
              <w:rPr>
                <w:rFonts w:ascii="宋体"/>
              </w:rPr>
            </w:pPr>
          </w:p>
        </w:tc>
        <w:tc>
          <w:tcPr>
            <w:tcW w:w="0" w:type="auto"/>
            <w:shd w:val="clear" w:color="auto" w:fill="auto"/>
            <w:vAlign w:val="center"/>
          </w:tcPr>
          <w:p w14:paraId="3693EE75" w14:textId="77777777" w:rsidR="003734EC" w:rsidRDefault="003734EC">
            <w:pPr>
              <w:rPr>
                <w:rFonts w:ascii="宋体"/>
              </w:rPr>
            </w:pPr>
          </w:p>
        </w:tc>
        <w:tc>
          <w:tcPr>
            <w:tcW w:w="0" w:type="auto"/>
            <w:shd w:val="clear" w:color="auto" w:fill="auto"/>
            <w:vAlign w:val="center"/>
          </w:tcPr>
          <w:p w14:paraId="3693EE76" w14:textId="77777777" w:rsidR="003734EC" w:rsidRDefault="003734EC">
            <w:pPr>
              <w:rPr>
                <w:rFonts w:ascii="宋体"/>
              </w:rPr>
            </w:pPr>
          </w:p>
        </w:tc>
        <w:tc>
          <w:tcPr>
            <w:tcW w:w="0" w:type="auto"/>
            <w:shd w:val="clear" w:color="auto" w:fill="auto"/>
            <w:vAlign w:val="center"/>
          </w:tcPr>
          <w:p w14:paraId="3693EE77" w14:textId="77777777" w:rsidR="003734EC" w:rsidRDefault="003734EC">
            <w:pPr>
              <w:rPr>
                <w:rFonts w:ascii="宋体"/>
              </w:rPr>
            </w:pPr>
          </w:p>
        </w:tc>
        <w:tc>
          <w:tcPr>
            <w:tcW w:w="0" w:type="auto"/>
            <w:shd w:val="clear" w:color="auto" w:fill="auto"/>
            <w:vAlign w:val="center"/>
          </w:tcPr>
          <w:p w14:paraId="3693EE78" w14:textId="77777777" w:rsidR="003734EC" w:rsidRDefault="003734EC">
            <w:pPr>
              <w:rPr>
                <w:rFonts w:ascii="宋体"/>
              </w:rPr>
            </w:pPr>
          </w:p>
        </w:tc>
        <w:tc>
          <w:tcPr>
            <w:tcW w:w="0" w:type="auto"/>
            <w:shd w:val="clear" w:color="auto" w:fill="auto"/>
            <w:vAlign w:val="center"/>
          </w:tcPr>
          <w:p w14:paraId="3693EE79" w14:textId="77777777" w:rsidR="003734EC" w:rsidRDefault="003734EC">
            <w:pPr>
              <w:rPr>
                <w:rFonts w:ascii="宋体"/>
              </w:rPr>
            </w:pPr>
          </w:p>
        </w:tc>
        <w:tc>
          <w:tcPr>
            <w:tcW w:w="0" w:type="auto"/>
            <w:shd w:val="clear" w:color="auto" w:fill="auto"/>
            <w:vAlign w:val="center"/>
          </w:tcPr>
          <w:p w14:paraId="3693EE7A" w14:textId="77777777" w:rsidR="003734EC" w:rsidRDefault="003734EC">
            <w:pPr>
              <w:rPr>
                <w:rFonts w:ascii="宋体"/>
              </w:rPr>
            </w:pPr>
          </w:p>
        </w:tc>
        <w:tc>
          <w:tcPr>
            <w:tcW w:w="0" w:type="auto"/>
            <w:shd w:val="clear" w:color="auto" w:fill="auto"/>
            <w:vAlign w:val="center"/>
          </w:tcPr>
          <w:p w14:paraId="3693EE7B" w14:textId="77777777" w:rsidR="003734EC" w:rsidRDefault="003734EC">
            <w:pPr>
              <w:rPr>
                <w:rFonts w:ascii="宋体"/>
              </w:rPr>
            </w:pPr>
          </w:p>
        </w:tc>
        <w:tc>
          <w:tcPr>
            <w:tcW w:w="0" w:type="auto"/>
            <w:shd w:val="clear" w:color="auto" w:fill="auto"/>
            <w:vAlign w:val="center"/>
          </w:tcPr>
          <w:p w14:paraId="3693EE7C" w14:textId="77777777" w:rsidR="003734EC" w:rsidRDefault="003734EC">
            <w:pPr>
              <w:rPr>
                <w:rFonts w:ascii="宋体"/>
              </w:rPr>
            </w:pPr>
          </w:p>
        </w:tc>
      </w:tr>
      <w:tr w:rsidR="003734EC" w14:paraId="3693EE91" w14:textId="77777777">
        <w:tc>
          <w:tcPr>
            <w:tcW w:w="0" w:type="auto"/>
            <w:gridSpan w:val="3"/>
            <w:shd w:val="clear" w:color="auto" w:fill="FFFFFF"/>
            <w:tcMar>
              <w:top w:w="40" w:type="dxa"/>
              <w:left w:w="180" w:type="dxa"/>
              <w:bottom w:w="40" w:type="dxa"/>
              <w:right w:w="20" w:type="dxa"/>
            </w:tcMar>
            <w:vAlign w:val="bottom"/>
          </w:tcPr>
          <w:p w14:paraId="3693EE7E" w14:textId="77777777" w:rsidR="003734EC" w:rsidRDefault="000E364E">
            <w:pPr>
              <w:textAlignment w:val="bottom"/>
            </w:pPr>
            <w:r>
              <w:rPr>
                <w:rFonts w:ascii="sans-serif" w:eastAsia="sans-serif" w:hAnsi="sans-serif" w:cs="sans-serif"/>
                <w:color w:val="000000"/>
                <w:sz w:val="20"/>
                <w:szCs w:val="20"/>
              </w:rPr>
              <w:t>2.85% Notes Due 2030 (1)</w:t>
            </w:r>
          </w:p>
        </w:tc>
        <w:tc>
          <w:tcPr>
            <w:tcW w:w="0" w:type="auto"/>
            <w:gridSpan w:val="3"/>
            <w:shd w:val="clear" w:color="auto" w:fill="FFFFFF"/>
            <w:tcMar>
              <w:top w:w="40" w:type="dxa"/>
              <w:left w:w="20" w:type="dxa"/>
              <w:bottom w:w="40" w:type="dxa"/>
              <w:right w:w="20" w:type="dxa"/>
            </w:tcMar>
            <w:vAlign w:val="bottom"/>
          </w:tcPr>
          <w:p w14:paraId="3693EE7F"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E80"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8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82" w14:textId="77777777" w:rsidR="003734EC" w:rsidRDefault="000E364E">
            <w:pPr>
              <w:jc w:val="right"/>
              <w:textAlignment w:val="bottom"/>
            </w:pPr>
            <w:r>
              <w:rPr>
                <w:rFonts w:ascii="sans-serif" w:eastAsia="sans-serif" w:hAnsi="sans-serif" w:cs="sans-serif"/>
                <w:color w:val="000000"/>
                <w:sz w:val="20"/>
                <w:szCs w:val="20"/>
              </w:rPr>
              <w:t>1,635 </w:t>
            </w:r>
          </w:p>
        </w:tc>
        <w:tc>
          <w:tcPr>
            <w:tcW w:w="0" w:type="auto"/>
            <w:shd w:val="clear" w:color="auto" w:fill="FFFFFF"/>
            <w:tcMar>
              <w:top w:w="40" w:type="dxa"/>
              <w:bottom w:w="40" w:type="dxa"/>
              <w:right w:w="20" w:type="dxa"/>
            </w:tcMar>
            <w:vAlign w:val="bottom"/>
          </w:tcPr>
          <w:p w14:paraId="3693EE8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E84"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8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8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E8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88" w14:textId="77777777" w:rsidR="003734EC" w:rsidRDefault="003734EC">
            <w:pPr>
              <w:rPr>
                <w:rFonts w:ascii="宋体"/>
              </w:rPr>
            </w:pPr>
          </w:p>
        </w:tc>
        <w:tc>
          <w:tcPr>
            <w:tcW w:w="0" w:type="auto"/>
            <w:shd w:val="clear" w:color="auto" w:fill="auto"/>
            <w:vAlign w:val="center"/>
          </w:tcPr>
          <w:p w14:paraId="3693EE89" w14:textId="77777777" w:rsidR="003734EC" w:rsidRDefault="003734EC">
            <w:pPr>
              <w:rPr>
                <w:rFonts w:ascii="宋体"/>
              </w:rPr>
            </w:pPr>
          </w:p>
        </w:tc>
        <w:tc>
          <w:tcPr>
            <w:tcW w:w="0" w:type="auto"/>
            <w:shd w:val="clear" w:color="auto" w:fill="auto"/>
            <w:vAlign w:val="center"/>
          </w:tcPr>
          <w:p w14:paraId="3693EE8A" w14:textId="77777777" w:rsidR="003734EC" w:rsidRDefault="003734EC">
            <w:pPr>
              <w:rPr>
                <w:rFonts w:ascii="宋体"/>
              </w:rPr>
            </w:pPr>
          </w:p>
        </w:tc>
        <w:tc>
          <w:tcPr>
            <w:tcW w:w="0" w:type="auto"/>
            <w:shd w:val="clear" w:color="auto" w:fill="auto"/>
            <w:vAlign w:val="center"/>
          </w:tcPr>
          <w:p w14:paraId="3693EE8B" w14:textId="77777777" w:rsidR="003734EC" w:rsidRDefault="003734EC">
            <w:pPr>
              <w:rPr>
                <w:rFonts w:ascii="宋体"/>
              </w:rPr>
            </w:pPr>
          </w:p>
        </w:tc>
        <w:tc>
          <w:tcPr>
            <w:tcW w:w="0" w:type="auto"/>
            <w:shd w:val="clear" w:color="auto" w:fill="auto"/>
            <w:vAlign w:val="center"/>
          </w:tcPr>
          <w:p w14:paraId="3693EE8C" w14:textId="77777777" w:rsidR="003734EC" w:rsidRDefault="003734EC">
            <w:pPr>
              <w:rPr>
                <w:rFonts w:ascii="宋体"/>
              </w:rPr>
            </w:pPr>
          </w:p>
        </w:tc>
        <w:tc>
          <w:tcPr>
            <w:tcW w:w="0" w:type="auto"/>
            <w:shd w:val="clear" w:color="auto" w:fill="auto"/>
            <w:vAlign w:val="center"/>
          </w:tcPr>
          <w:p w14:paraId="3693EE8D" w14:textId="77777777" w:rsidR="003734EC" w:rsidRDefault="003734EC">
            <w:pPr>
              <w:rPr>
                <w:rFonts w:ascii="宋体"/>
              </w:rPr>
            </w:pPr>
          </w:p>
        </w:tc>
        <w:tc>
          <w:tcPr>
            <w:tcW w:w="0" w:type="auto"/>
            <w:shd w:val="clear" w:color="auto" w:fill="auto"/>
            <w:vAlign w:val="center"/>
          </w:tcPr>
          <w:p w14:paraId="3693EE8E" w14:textId="77777777" w:rsidR="003734EC" w:rsidRDefault="003734EC">
            <w:pPr>
              <w:rPr>
                <w:rFonts w:ascii="宋体"/>
              </w:rPr>
            </w:pPr>
          </w:p>
        </w:tc>
        <w:tc>
          <w:tcPr>
            <w:tcW w:w="0" w:type="auto"/>
            <w:shd w:val="clear" w:color="auto" w:fill="auto"/>
            <w:vAlign w:val="center"/>
          </w:tcPr>
          <w:p w14:paraId="3693EE8F" w14:textId="77777777" w:rsidR="003734EC" w:rsidRDefault="003734EC">
            <w:pPr>
              <w:rPr>
                <w:rFonts w:ascii="宋体"/>
              </w:rPr>
            </w:pPr>
          </w:p>
        </w:tc>
        <w:tc>
          <w:tcPr>
            <w:tcW w:w="0" w:type="auto"/>
            <w:shd w:val="clear" w:color="auto" w:fill="auto"/>
            <w:vAlign w:val="center"/>
          </w:tcPr>
          <w:p w14:paraId="3693EE90" w14:textId="77777777" w:rsidR="003734EC" w:rsidRDefault="003734EC">
            <w:pPr>
              <w:rPr>
                <w:rFonts w:ascii="宋体"/>
              </w:rPr>
            </w:pPr>
          </w:p>
        </w:tc>
      </w:tr>
      <w:tr w:rsidR="003734EC" w14:paraId="3693EEA5" w14:textId="77777777">
        <w:tc>
          <w:tcPr>
            <w:tcW w:w="0" w:type="auto"/>
            <w:gridSpan w:val="3"/>
            <w:shd w:val="clear" w:color="auto" w:fill="E2EFD9"/>
            <w:tcMar>
              <w:top w:w="40" w:type="dxa"/>
              <w:left w:w="180" w:type="dxa"/>
              <w:bottom w:w="40" w:type="dxa"/>
              <w:right w:w="20" w:type="dxa"/>
            </w:tcMar>
            <w:vAlign w:val="bottom"/>
          </w:tcPr>
          <w:p w14:paraId="3693EE92" w14:textId="77777777" w:rsidR="003734EC" w:rsidRDefault="000E364E">
            <w:pPr>
              <w:textAlignment w:val="bottom"/>
            </w:pPr>
            <w:r>
              <w:rPr>
                <w:rFonts w:ascii="sans-serif" w:eastAsia="sans-serif" w:hAnsi="sans-serif" w:cs="sans-serif"/>
                <w:color w:val="000000"/>
                <w:sz w:val="20"/>
                <w:szCs w:val="20"/>
              </w:rPr>
              <w:t>3.50% Notes Due 2040 (1)</w:t>
            </w:r>
          </w:p>
        </w:tc>
        <w:tc>
          <w:tcPr>
            <w:tcW w:w="0" w:type="auto"/>
            <w:gridSpan w:val="3"/>
            <w:shd w:val="clear" w:color="auto" w:fill="E2EFD9"/>
            <w:tcMar>
              <w:top w:w="40" w:type="dxa"/>
              <w:left w:w="20" w:type="dxa"/>
              <w:bottom w:w="40" w:type="dxa"/>
              <w:right w:w="20" w:type="dxa"/>
            </w:tcMar>
            <w:vAlign w:val="bottom"/>
          </w:tcPr>
          <w:p w14:paraId="3693EE93"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E94"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9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96" w14:textId="77777777" w:rsidR="003734EC" w:rsidRDefault="000E364E">
            <w:pPr>
              <w:jc w:val="right"/>
              <w:textAlignment w:val="bottom"/>
            </w:pPr>
            <w:r>
              <w:rPr>
                <w:rFonts w:ascii="sans-serif" w:eastAsia="sans-serif" w:hAnsi="sans-serif" w:cs="sans-serif"/>
                <w:color w:val="000000"/>
                <w:sz w:val="20"/>
                <w:szCs w:val="20"/>
              </w:rPr>
              <w:t>1,134 </w:t>
            </w:r>
          </w:p>
        </w:tc>
        <w:tc>
          <w:tcPr>
            <w:tcW w:w="0" w:type="auto"/>
            <w:shd w:val="clear" w:color="auto" w:fill="E2EFD9"/>
            <w:tcMar>
              <w:top w:w="40" w:type="dxa"/>
              <w:bottom w:w="40" w:type="dxa"/>
              <w:right w:w="20" w:type="dxa"/>
            </w:tcMar>
            <w:vAlign w:val="bottom"/>
          </w:tcPr>
          <w:p w14:paraId="3693EE9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E98"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9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9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E9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9C" w14:textId="77777777" w:rsidR="003734EC" w:rsidRDefault="003734EC">
            <w:pPr>
              <w:rPr>
                <w:rFonts w:ascii="宋体"/>
              </w:rPr>
            </w:pPr>
          </w:p>
        </w:tc>
        <w:tc>
          <w:tcPr>
            <w:tcW w:w="0" w:type="auto"/>
            <w:shd w:val="clear" w:color="auto" w:fill="auto"/>
            <w:vAlign w:val="center"/>
          </w:tcPr>
          <w:p w14:paraId="3693EE9D" w14:textId="77777777" w:rsidR="003734EC" w:rsidRDefault="003734EC">
            <w:pPr>
              <w:rPr>
                <w:rFonts w:ascii="宋体"/>
              </w:rPr>
            </w:pPr>
          </w:p>
        </w:tc>
        <w:tc>
          <w:tcPr>
            <w:tcW w:w="0" w:type="auto"/>
            <w:shd w:val="clear" w:color="auto" w:fill="auto"/>
            <w:vAlign w:val="center"/>
          </w:tcPr>
          <w:p w14:paraId="3693EE9E" w14:textId="77777777" w:rsidR="003734EC" w:rsidRDefault="003734EC">
            <w:pPr>
              <w:rPr>
                <w:rFonts w:ascii="宋体"/>
              </w:rPr>
            </w:pPr>
          </w:p>
        </w:tc>
        <w:tc>
          <w:tcPr>
            <w:tcW w:w="0" w:type="auto"/>
            <w:shd w:val="clear" w:color="auto" w:fill="auto"/>
            <w:vAlign w:val="center"/>
          </w:tcPr>
          <w:p w14:paraId="3693EE9F" w14:textId="77777777" w:rsidR="003734EC" w:rsidRDefault="003734EC">
            <w:pPr>
              <w:rPr>
                <w:rFonts w:ascii="宋体"/>
              </w:rPr>
            </w:pPr>
          </w:p>
        </w:tc>
        <w:tc>
          <w:tcPr>
            <w:tcW w:w="0" w:type="auto"/>
            <w:shd w:val="clear" w:color="auto" w:fill="auto"/>
            <w:vAlign w:val="center"/>
          </w:tcPr>
          <w:p w14:paraId="3693EEA0" w14:textId="77777777" w:rsidR="003734EC" w:rsidRDefault="003734EC">
            <w:pPr>
              <w:rPr>
                <w:rFonts w:ascii="宋体"/>
              </w:rPr>
            </w:pPr>
          </w:p>
        </w:tc>
        <w:tc>
          <w:tcPr>
            <w:tcW w:w="0" w:type="auto"/>
            <w:shd w:val="clear" w:color="auto" w:fill="auto"/>
            <w:vAlign w:val="center"/>
          </w:tcPr>
          <w:p w14:paraId="3693EEA1" w14:textId="77777777" w:rsidR="003734EC" w:rsidRDefault="003734EC">
            <w:pPr>
              <w:rPr>
                <w:rFonts w:ascii="宋体"/>
              </w:rPr>
            </w:pPr>
          </w:p>
        </w:tc>
        <w:tc>
          <w:tcPr>
            <w:tcW w:w="0" w:type="auto"/>
            <w:shd w:val="clear" w:color="auto" w:fill="auto"/>
            <w:vAlign w:val="center"/>
          </w:tcPr>
          <w:p w14:paraId="3693EEA2" w14:textId="77777777" w:rsidR="003734EC" w:rsidRDefault="003734EC">
            <w:pPr>
              <w:rPr>
                <w:rFonts w:ascii="宋体"/>
              </w:rPr>
            </w:pPr>
          </w:p>
        </w:tc>
        <w:tc>
          <w:tcPr>
            <w:tcW w:w="0" w:type="auto"/>
            <w:shd w:val="clear" w:color="auto" w:fill="auto"/>
            <w:vAlign w:val="center"/>
          </w:tcPr>
          <w:p w14:paraId="3693EEA3" w14:textId="77777777" w:rsidR="003734EC" w:rsidRDefault="003734EC">
            <w:pPr>
              <w:rPr>
                <w:rFonts w:ascii="宋体"/>
              </w:rPr>
            </w:pPr>
          </w:p>
        </w:tc>
        <w:tc>
          <w:tcPr>
            <w:tcW w:w="0" w:type="auto"/>
            <w:shd w:val="clear" w:color="auto" w:fill="auto"/>
            <w:vAlign w:val="center"/>
          </w:tcPr>
          <w:p w14:paraId="3693EEA4" w14:textId="77777777" w:rsidR="003734EC" w:rsidRDefault="003734EC">
            <w:pPr>
              <w:rPr>
                <w:rFonts w:ascii="宋体"/>
              </w:rPr>
            </w:pPr>
          </w:p>
        </w:tc>
      </w:tr>
      <w:tr w:rsidR="003734EC" w14:paraId="3693EEB9" w14:textId="77777777">
        <w:tc>
          <w:tcPr>
            <w:tcW w:w="0" w:type="auto"/>
            <w:gridSpan w:val="3"/>
            <w:shd w:val="clear" w:color="auto" w:fill="FFFFFF"/>
            <w:tcMar>
              <w:top w:w="40" w:type="dxa"/>
              <w:left w:w="180" w:type="dxa"/>
              <w:bottom w:w="40" w:type="dxa"/>
              <w:right w:w="20" w:type="dxa"/>
            </w:tcMar>
            <w:vAlign w:val="bottom"/>
          </w:tcPr>
          <w:p w14:paraId="3693EEA6" w14:textId="77777777" w:rsidR="003734EC" w:rsidRDefault="000E364E">
            <w:pPr>
              <w:textAlignment w:val="bottom"/>
            </w:pPr>
            <w:r>
              <w:rPr>
                <w:rFonts w:ascii="sans-serif" w:eastAsia="sans-serif" w:hAnsi="sans-serif" w:cs="sans-serif"/>
                <w:color w:val="000000"/>
                <w:sz w:val="20"/>
                <w:szCs w:val="20"/>
              </w:rPr>
              <w:t>3.50% Notes Due 2050 (1)</w:t>
            </w:r>
          </w:p>
        </w:tc>
        <w:tc>
          <w:tcPr>
            <w:tcW w:w="0" w:type="auto"/>
            <w:gridSpan w:val="3"/>
            <w:shd w:val="clear" w:color="auto" w:fill="FFFFFF"/>
            <w:tcMar>
              <w:top w:w="40" w:type="dxa"/>
              <w:left w:w="20" w:type="dxa"/>
              <w:bottom w:w="40" w:type="dxa"/>
              <w:right w:w="20" w:type="dxa"/>
            </w:tcMar>
            <w:vAlign w:val="bottom"/>
          </w:tcPr>
          <w:p w14:paraId="3693EEA7"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3693EEA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A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AA" w14:textId="77777777" w:rsidR="003734EC" w:rsidRDefault="000E364E">
            <w:pPr>
              <w:jc w:val="right"/>
              <w:textAlignment w:val="bottom"/>
            </w:pPr>
            <w:r>
              <w:rPr>
                <w:rFonts w:ascii="sans-serif" w:eastAsia="sans-serif" w:hAnsi="sans-serif" w:cs="sans-serif"/>
                <w:color w:val="000000"/>
                <w:sz w:val="20"/>
                <w:szCs w:val="20"/>
              </w:rPr>
              <w:t>2,336 </w:t>
            </w:r>
          </w:p>
        </w:tc>
        <w:tc>
          <w:tcPr>
            <w:tcW w:w="0" w:type="auto"/>
            <w:shd w:val="clear" w:color="auto" w:fill="FFFFFF"/>
            <w:tcMar>
              <w:top w:w="40" w:type="dxa"/>
              <w:bottom w:w="40" w:type="dxa"/>
              <w:right w:w="20" w:type="dxa"/>
            </w:tcMar>
            <w:vAlign w:val="bottom"/>
          </w:tcPr>
          <w:p w14:paraId="3693EE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EAC"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EEA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EEA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EEA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B0" w14:textId="77777777" w:rsidR="003734EC" w:rsidRDefault="003734EC">
            <w:pPr>
              <w:rPr>
                <w:rFonts w:ascii="宋体"/>
              </w:rPr>
            </w:pPr>
          </w:p>
        </w:tc>
        <w:tc>
          <w:tcPr>
            <w:tcW w:w="0" w:type="auto"/>
            <w:shd w:val="clear" w:color="auto" w:fill="auto"/>
            <w:vAlign w:val="center"/>
          </w:tcPr>
          <w:p w14:paraId="3693EEB1" w14:textId="77777777" w:rsidR="003734EC" w:rsidRDefault="003734EC">
            <w:pPr>
              <w:rPr>
                <w:rFonts w:ascii="宋体"/>
              </w:rPr>
            </w:pPr>
          </w:p>
        </w:tc>
        <w:tc>
          <w:tcPr>
            <w:tcW w:w="0" w:type="auto"/>
            <w:shd w:val="clear" w:color="auto" w:fill="auto"/>
            <w:vAlign w:val="center"/>
          </w:tcPr>
          <w:p w14:paraId="3693EEB2" w14:textId="77777777" w:rsidR="003734EC" w:rsidRDefault="003734EC">
            <w:pPr>
              <w:rPr>
                <w:rFonts w:ascii="宋体"/>
              </w:rPr>
            </w:pPr>
          </w:p>
        </w:tc>
        <w:tc>
          <w:tcPr>
            <w:tcW w:w="0" w:type="auto"/>
            <w:shd w:val="clear" w:color="auto" w:fill="auto"/>
            <w:vAlign w:val="center"/>
          </w:tcPr>
          <w:p w14:paraId="3693EEB3" w14:textId="77777777" w:rsidR="003734EC" w:rsidRDefault="003734EC">
            <w:pPr>
              <w:rPr>
                <w:rFonts w:ascii="宋体"/>
              </w:rPr>
            </w:pPr>
          </w:p>
        </w:tc>
        <w:tc>
          <w:tcPr>
            <w:tcW w:w="0" w:type="auto"/>
            <w:shd w:val="clear" w:color="auto" w:fill="auto"/>
            <w:vAlign w:val="center"/>
          </w:tcPr>
          <w:p w14:paraId="3693EEB4" w14:textId="77777777" w:rsidR="003734EC" w:rsidRDefault="003734EC">
            <w:pPr>
              <w:rPr>
                <w:rFonts w:ascii="宋体"/>
              </w:rPr>
            </w:pPr>
          </w:p>
        </w:tc>
        <w:tc>
          <w:tcPr>
            <w:tcW w:w="0" w:type="auto"/>
            <w:shd w:val="clear" w:color="auto" w:fill="auto"/>
            <w:vAlign w:val="center"/>
          </w:tcPr>
          <w:p w14:paraId="3693EEB5" w14:textId="77777777" w:rsidR="003734EC" w:rsidRDefault="003734EC">
            <w:pPr>
              <w:rPr>
                <w:rFonts w:ascii="宋体"/>
              </w:rPr>
            </w:pPr>
          </w:p>
        </w:tc>
        <w:tc>
          <w:tcPr>
            <w:tcW w:w="0" w:type="auto"/>
            <w:shd w:val="clear" w:color="auto" w:fill="auto"/>
            <w:vAlign w:val="center"/>
          </w:tcPr>
          <w:p w14:paraId="3693EEB6" w14:textId="77777777" w:rsidR="003734EC" w:rsidRDefault="003734EC">
            <w:pPr>
              <w:rPr>
                <w:rFonts w:ascii="宋体"/>
              </w:rPr>
            </w:pPr>
          </w:p>
        </w:tc>
        <w:tc>
          <w:tcPr>
            <w:tcW w:w="0" w:type="auto"/>
            <w:shd w:val="clear" w:color="auto" w:fill="auto"/>
            <w:vAlign w:val="center"/>
          </w:tcPr>
          <w:p w14:paraId="3693EEB7" w14:textId="77777777" w:rsidR="003734EC" w:rsidRDefault="003734EC">
            <w:pPr>
              <w:rPr>
                <w:rFonts w:ascii="宋体"/>
              </w:rPr>
            </w:pPr>
          </w:p>
        </w:tc>
        <w:tc>
          <w:tcPr>
            <w:tcW w:w="0" w:type="auto"/>
            <w:shd w:val="clear" w:color="auto" w:fill="auto"/>
            <w:vAlign w:val="center"/>
          </w:tcPr>
          <w:p w14:paraId="3693EEB8" w14:textId="77777777" w:rsidR="003734EC" w:rsidRDefault="003734EC">
            <w:pPr>
              <w:rPr>
                <w:rFonts w:ascii="宋体"/>
              </w:rPr>
            </w:pPr>
          </w:p>
        </w:tc>
      </w:tr>
      <w:tr w:rsidR="003734EC" w14:paraId="3693EECD" w14:textId="77777777">
        <w:tc>
          <w:tcPr>
            <w:tcW w:w="0" w:type="auto"/>
            <w:gridSpan w:val="3"/>
            <w:shd w:val="clear" w:color="auto" w:fill="E2EFD9"/>
            <w:tcMar>
              <w:top w:w="40" w:type="dxa"/>
              <w:left w:w="180" w:type="dxa"/>
              <w:bottom w:w="40" w:type="dxa"/>
              <w:right w:w="20" w:type="dxa"/>
            </w:tcMar>
            <w:vAlign w:val="bottom"/>
          </w:tcPr>
          <w:p w14:paraId="3693EEBA" w14:textId="77777777" w:rsidR="003734EC" w:rsidRDefault="000E364E">
            <w:pPr>
              <w:textAlignment w:val="bottom"/>
            </w:pPr>
            <w:r>
              <w:rPr>
                <w:rFonts w:ascii="sans-serif" w:eastAsia="sans-serif" w:hAnsi="sans-serif" w:cs="sans-serif"/>
                <w:color w:val="000000"/>
                <w:sz w:val="20"/>
                <w:szCs w:val="20"/>
              </w:rPr>
              <w:t>3.70% Notes Due 2060 (1)</w:t>
            </w:r>
          </w:p>
        </w:tc>
        <w:tc>
          <w:tcPr>
            <w:tcW w:w="0" w:type="auto"/>
            <w:gridSpan w:val="3"/>
            <w:shd w:val="clear" w:color="auto" w:fill="E2EFD9"/>
            <w:tcMar>
              <w:top w:w="40" w:type="dxa"/>
              <w:left w:w="20" w:type="dxa"/>
              <w:bottom w:w="40" w:type="dxa"/>
              <w:right w:w="20" w:type="dxa"/>
            </w:tcMar>
            <w:vAlign w:val="bottom"/>
          </w:tcPr>
          <w:p w14:paraId="3693EEBB" w14:textId="77777777" w:rsidR="003734EC" w:rsidRDefault="000E364E">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3693EEB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B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BE" w14:textId="77777777" w:rsidR="003734EC" w:rsidRDefault="000E364E">
            <w:pPr>
              <w:jc w:val="right"/>
              <w:textAlignment w:val="bottom"/>
            </w:pPr>
            <w:r>
              <w:rPr>
                <w:rFonts w:ascii="sans-serif" w:eastAsia="sans-serif" w:hAnsi="sans-serif" w:cs="sans-serif"/>
                <w:color w:val="000000"/>
                <w:sz w:val="20"/>
                <w:szCs w:val="20"/>
              </w:rPr>
              <w:t>594 </w:t>
            </w:r>
          </w:p>
        </w:tc>
        <w:tc>
          <w:tcPr>
            <w:tcW w:w="0" w:type="auto"/>
            <w:shd w:val="clear" w:color="auto" w:fill="E2EFD9"/>
            <w:tcMar>
              <w:top w:w="40" w:type="dxa"/>
              <w:bottom w:w="40" w:type="dxa"/>
              <w:right w:w="20" w:type="dxa"/>
            </w:tcMar>
            <w:vAlign w:val="bottom"/>
          </w:tcPr>
          <w:p w14:paraId="3693EEB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EC0"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EC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EC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EEC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EC4" w14:textId="77777777" w:rsidR="003734EC" w:rsidRDefault="003734EC">
            <w:pPr>
              <w:rPr>
                <w:rFonts w:ascii="宋体"/>
              </w:rPr>
            </w:pPr>
          </w:p>
        </w:tc>
        <w:tc>
          <w:tcPr>
            <w:tcW w:w="0" w:type="auto"/>
            <w:shd w:val="clear" w:color="auto" w:fill="auto"/>
            <w:vAlign w:val="center"/>
          </w:tcPr>
          <w:p w14:paraId="3693EEC5" w14:textId="77777777" w:rsidR="003734EC" w:rsidRDefault="003734EC">
            <w:pPr>
              <w:rPr>
                <w:rFonts w:ascii="宋体"/>
              </w:rPr>
            </w:pPr>
          </w:p>
        </w:tc>
        <w:tc>
          <w:tcPr>
            <w:tcW w:w="0" w:type="auto"/>
            <w:shd w:val="clear" w:color="auto" w:fill="auto"/>
            <w:vAlign w:val="center"/>
          </w:tcPr>
          <w:p w14:paraId="3693EEC6" w14:textId="77777777" w:rsidR="003734EC" w:rsidRDefault="003734EC">
            <w:pPr>
              <w:rPr>
                <w:rFonts w:ascii="宋体"/>
              </w:rPr>
            </w:pPr>
          </w:p>
        </w:tc>
        <w:tc>
          <w:tcPr>
            <w:tcW w:w="0" w:type="auto"/>
            <w:shd w:val="clear" w:color="auto" w:fill="auto"/>
            <w:vAlign w:val="center"/>
          </w:tcPr>
          <w:p w14:paraId="3693EEC7" w14:textId="77777777" w:rsidR="003734EC" w:rsidRDefault="003734EC">
            <w:pPr>
              <w:rPr>
                <w:rFonts w:ascii="宋体"/>
              </w:rPr>
            </w:pPr>
          </w:p>
        </w:tc>
        <w:tc>
          <w:tcPr>
            <w:tcW w:w="0" w:type="auto"/>
            <w:shd w:val="clear" w:color="auto" w:fill="auto"/>
            <w:vAlign w:val="center"/>
          </w:tcPr>
          <w:p w14:paraId="3693EEC8" w14:textId="77777777" w:rsidR="003734EC" w:rsidRDefault="003734EC">
            <w:pPr>
              <w:rPr>
                <w:rFonts w:ascii="宋体"/>
              </w:rPr>
            </w:pPr>
          </w:p>
        </w:tc>
        <w:tc>
          <w:tcPr>
            <w:tcW w:w="0" w:type="auto"/>
            <w:shd w:val="clear" w:color="auto" w:fill="auto"/>
            <w:vAlign w:val="center"/>
          </w:tcPr>
          <w:p w14:paraId="3693EEC9" w14:textId="77777777" w:rsidR="003734EC" w:rsidRDefault="003734EC">
            <w:pPr>
              <w:rPr>
                <w:rFonts w:ascii="宋体"/>
              </w:rPr>
            </w:pPr>
          </w:p>
        </w:tc>
        <w:tc>
          <w:tcPr>
            <w:tcW w:w="0" w:type="auto"/>
            <w:shd w:val="clear" w:color="auto" w:fill="auto"/>
            <w:vAlign w:val="center"/>
          </w:tcPr>
          <w:p w14:paraId="3693EECA" w14:textId="77777777" w:rsidR="003734EC" w:rsidRDefault="003734EC">
            <w:pPr>
              <w:rPr>
                <w:rFonts w:ascii="宋体"/>
              </w:rPr>
            </w:pPr>
          </w:p>
        </w:tc>
        <w:tc>
          <w:tcPr>
            <w:tcW w:w="0" w:type="auto"/>
            <w:shd w:val="clear" w:color="auto" w:fill="auto"/>
            <w:vAlign w:val="center"/>
          </w:tcPr>
          <w:p w14:paraId="3693EECB" w14:textId="77777777" w:rsidR="003734EC" w:rsidRDefault="003734EC">
            <w:pPr>
              <w:rPr>
                <w:rFonts w:ascii="宋体"/>
              </w:rPr>
            </w:pPr>
          </w:p>
        </w:tc>
        <w:tc>
          <w:tcPr>
            <w:tcW w:w="0" w:type="auto"/>
            <w:shd w:val="clear" w:color="auto" w:fill="auto"/>
            <w:vAlign w:val="center"/>
          </w:tcPr>
          <w:p w14:paraId="3693EECC" w14:textId="77777777" w:rsidR="003734EC" w:rsidRDefault="003734EC">
            <w:pPr>
              <w:rPr>
                <w:rFonts w:ascii="宋体"/>
              </w:rPr>
            </w:pPr>
          </w:p>
        </w:tc>
      </w:tr>
    </w:tbl>
    <w:p w14:paraId="3693EECE" w14:textId="77777777" w:rsidR="003734EC" w:rsidRDefault="000E364E">
      <w:pPr>
        <w:spacing w:after="60"/>
        <w:ind w:hanging="360"/>
        <w:jc w:val="both"/>
      </w:pPr>
      <w:r>
        <w:rPr>
          <w:rFonts w:ascii="sans-serif" w:eastAsia="sans-serif" w:hAnsi="sans-serif" w:cs="sans-serif"/>
          <w:color w:val="000000"/>
          <w:sz w:val="16"/>
          <w:szCs w:val="16"/>
        </w:rPr>
        <w:t>(1) These liabilities are carried on our Consolidated Balance Sheets at their original issuance value, net of unamortized debt discount and issuance costs, and are not marked to fair value each period. Refer to Note 12 of these Notes to Condensed Consolid</w:t>
      </w:r>
      <w:r>
        <w:rPr>
          <w:rFonts w:ascii="sans-serif" w:eastAsia="sans-serif" w:hAnsi="sans-serif" w:cs="sans-serif"/>
          <w:color w:val="000000"/>
          <w:sz w:val="16"/>
          <w:szCs w:val="16"/>
        </w:rPr>
        <w:t>ated Financial Statements for additional information.</w:t>
      </w:r>
    </w:p>
    <w:p w14:paraId="3693EECF" w14:textId="77777777" w:rsidR="003734EC" w:rsidRDefault="000E364E">
      <w:pPr>
        <w:spacing w:before="240" w:after="120"/>
        <w:jc w:val="both"/>
      </w:pPr>
      <w:r>
        <w:rPr>
          <w:rFonts w:ascii="sans-serif" w:eastAsia="sans-serif" w:hAnsi="sans-serif" w:cs="sans-serif"/>
          <w:b/>
          <w:bCs/>
          <w:color w:val="76B900"/>
          <w:sz w:val="22"/>
          <w:szCs w:val="22"/>
        </w:rPr>
        <w:t>Note 9 - Amortizable Intangible Assets</w:t>
      </w:r>
    </w:p>
    <w:p w14:paraId="3693EED0" w14:textId="77777777" w:rsidR="003734EC" w:rsidRDefault="000E364E">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1"/>
        <w:gridCol w:w="1258"/>
        <w:gridCol w:w="69"/>
        <w:gridCol w:w="126"/>
        <w:gridCol w:w="541"/>
        <w:gridCol w:w="76"/>
        <w:gridCol w:w="40"/>
        <w:gridCol w:w="34"/>
        <w:gridCol w:w="35"/>
        <w:gridCol w:w="125"/>
        <w:gridCol w:w="833"/>
        <w:gridCol w:w="83"/>
        <w:gridCol w:w="40"/>
        <w:gridCol w:w="32"/>
        <w:gridCol w:w="35"/>
        <w:gridCol w:w="125"/>
        <w:gridCol w:w="794"/>
        <w:gridCol w:w="79"/>
        <w:gridCol w:w="40"/>
        <w:gridCol w:w="32"/>
        <w:gridCol w:w="35"/>
        <w:gridCol w:w="125"/>
        <w:gridCol w:w="540"/>
        <w:gridCol w:w="75"/>
        <w:gridCol w:w="40"/>
        <w:gridCol w:w="32"/>
        <w:gridCol w:w="35"/>
        <w:gridCol w:w="125"/>
        <w:gridCol w:w="833"/>
        <w:gridCol w:w="83"/>
        <w:gridCol w:w="40"/>
        <w:gridCol w:w="32"/>
        <w:gridCol w:w="35"/>
        <w:gridCol w:w="125"/>
        <w:gridCol w:w="794"/>
        <w:gridCol w:w="79"/>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tblGrid>
      <w:tr w:rsidR="003734EC" w14:paraId="3693EEF5" w14:textId="77777777">
        <w:trPr>
          <w:gridAfter w:val="24"/>
        </w:trPr>
        <w:tc>
          <w:tcPr>
            <w:tcW w:w="50" w:type="pct"/>
            <w:shd w:val="clear" w:color="auto" w:fill="auto"/>
            <w:vAlign w:val="center"/>
          </w:tcPr>
          <w:p w14:paraId="3693EED1" w14:textId="77777777" w:rsidR="003734EC" w:rsidRDefault="003734EC">
            <w:pPr>
              <w:rPr>
                <w:rFonts w:ascii="宋体"/>
              </w:rPr>
            </w:pPr>
          </w:p>
        </w:tc>
        <w:tc>
          <w:tcPr>
            <w:tcW w:w="960" w:type="pct"/>
            <w:shd w:val="clear" w:color="auto" w:fill="auto"/>
            <w:vAlign w:val="center"/>
          </w:tcPr>
          <w:p w14:paraId="3693EED2" w14:textId="77777777" w:rsidR="003734EC" w:rsidRDefault="003734EC">
            <w:pPr>
              <w:rPr>
                <w:rFonts w:ascii="宋体"/>
              </w:rPr>
            </w:pPr>
          </w:p>
        </w:tc>
        <w:tc>
          <w:tcPr>
            <w:tcW w:w="50" w:type="pct"/>
            <w:shd w:val="clear" w:color="auto" w:fill="auto"/>
            <w:vAlign w:val="center"/>
          </w:tcPr>
          <w:p w14:paraId="3693EED3" w14:textId="77777777" w:rsidR="003734EC" w:rsidRDefault="003734EC">
            <w:pPr>
              <w:rPr>
                <w:rFonts w:ascii="宋体"/>
              </w:rPr>
            </w:pPr>
          </w:p>
        </w:tc>
        <w:tc>
          <w:tcPr>
            <w:tcW w:w="50" w:type="pct"/>
            <w:shd w:val="clear" w:color="auto" w:fill="auto"/>
            <w:vAlign w:val="center"/>
          </w:tcPr>
          <w:p w14:paraId="3693EED4" w14:textId="77777777" w:rsidR="003734EC" w:rsidRDefault="003734EC">
            <w:pPr>
              <w:rPr>
                <w:rFonts w:ascii="宋体"/>
              </w:rPr>
            </w:pPr>
          </w:p>
        </w:tc>
        <w:tc>
          <w:tcPr>
            <w:tcW w:w="525" w:type="pct"/>
            <w:shd w:val="clear" w:color="auto" w:fill="auto"/>
            <w:vAlign w:val="center"/>
          </w:tcPr>
          <w:p w14:paraId="3693EED5" w14:textId="77777777" w:rsidR="003734EC" w:rsidRDefault="003734EC">
            <w:pPr>
              <w:rPr>
                <w:rFonts w:ascii="宋体"/>
              </w:rPr>
            </w:pPr>
          </w:p>
        </w:tc>
        <w:tc>
          <w:tcPr>
            <w:tcW w:w="50" w:type="pct"/>
            <w:shd w:val="clear" w:color="auto" w:fill="auto"/>
            <w:vAlign w:val="center"/>
          </w:tcPr>
          <w:p w14:paraId="3693EED6" w14:textId="77777777" w:rsidR="003734EC" w:rsidRDefault="003734EC">
            <w:pPr>
              <w:rPr>
                <w:rFonts w:ascii="宋体"/>
              </w:rPr>
            </w:pPr>
          </w:p>
        </w:tc>
        <w:tc>
          <w:tcPr>
            <w:tcW w:w="5" w:type="pct"/>
            <w:shd w:val="clear" w:color="auto" w:fill="auto"/>
            <w:vAlign w:val="center"/>
          </w:tcPr>
          <w:p w14:paraId="3693EED7" w14:textId="77777777" w:rsidR="003734EC" w:rsidRDefault="003734EC">
            <w:pPr>
              <w:rPr>
                <w:rFonts w:ascii="宋体"/>
              </w:rPr>
            </w:pPr>
          </w:p>
        </w:tc>
        <w:tc>
          <w:tcPr>
            <w:tcW w:w="26" w:type="pct"/>
            <w:shd w:val="clear" w:color="auto" w:fill="auto"/>
            <w:vAlign w:val="center"/>
          </w:tcPr>
          <w:p w14:paraId="3693EED8" w14:textId="77777777" w:rsidR="003734EC" w:rsidRDefault="003734EC">
            <w:pPr>
              <w:rPr>
                <w:rFonts w:ascii="宋体"/>
              </w:rPr>
            </w:pPr>
          </w:p>
        </w:tc>
        <w:tc>
          <w:tcPr>
            <w:tcW w:w="5" w:type="pct"/>
            <w:shd w:val="clear" w:color="auto" w:fill="auto"/>
            <w:vAlign w:val="center"/>
          </w:tcPr>
          <w:p w14:paraId="3693EED9" w14:textId="77777777" w:rsidR="003734EC" w:rsidRDefault="003734EC">
            <w:pPr>
              <w:rPr>
                <w:rFonts w:ascii="宋体"/>
              </w:rPr>
            </w:pPr>
          </w:p>
        </w:tc>
        <w:tc>
          <w:tcPr>
            <w:tcW w:w="50" w:type="pct"/>
            <w:shd w:val="clear" w:color="auto" w:fill="auto"/>
            <w:vAlign w:val="center"/>
          </w:tcPr>
          <w:p w14:paraId="3693EEDA" w14:textId="77777777" w:rsidR="003734EC" w:rsidRDefault="003734EC">
            <w:pPr>
              <w:rPr>
                <w:rFonts w:ascii="宋体"/>
              </w:rPr>
            </w:pPr>
          </w:p>
        </w:tc>
        <w:tc>
          <w:tcPr>
            <w:tcW w:w="525" w:type="pct"/>
            <w:shd w:val="clear" w:color="auto" w:fill="auto"/>
            <w:vAlign w:val="center"/>
          </w:tcPr>
          <w:p w14:paraId="3693EEDB" w14:textId="77777777" w:rsidR="003734EC" w:rsidRDefault="003734EC">
            <w:pPr>
              <w:rPr>
                <w:rFonts w:ascii="宋体"/>
              </w:rPr>
            </w:pPr>
          </w:p>
        </w:tc>
        <w:tc>
          <w:tcPr>
            <w:tcW w:w="50" w:type="pct"/>
            <w:shd w:val="clear" w:color="auto" w:fill="auto"/>
            <w:vAlign w:val="center"/>
          </w:tcPr>
          <w:p w14:paraId="3693EEDC" w14:textId="77777777" w:rsidR="003734EC" w:rsidRDefault="003734EC">
            <w:pPr>
              <w:rPr>
                <w:rFonts w:ascii="宋体"/>
              </w:rPr>
            </w:pPr>
          </w:p>
        </w:tc>
        <w:tc>
          <w:tcPr>
            <w:tcW w:w="5" w:type="pct"/>
            <w:shd w:val="clear" w:color="auto" w:fill="auto"/>
            <w:vAlign w:val="center"/>
          </w:tcPr>
          <w:p w14:paraId="3693EEDD" w14:textId="77777777" w:rsidR="003734EC" w:rsidRDefault="003734EC">
            <w:pPr>
              <w:rPr>
                <w:rFonts w:ascii="宋体"/>
              </w:rPr>
            </w:pPr>
          </w:p>
        </w:tc>
        <w:tc>
          <w:tcPr>
            <w:tcW w:w="26" w:type="pct"/>
            <w:shd w:val="clear" w:color="auto" w:fill="auto"/>
            <w:vAlign w:val="center"/>
          </w:tcPr>
          <w:p w14:paraId="3693EEDE" w14:textId="77777777" w:rsidR="003734EC" w:rsidRDefault="003734EC">
            <w:pPr>
              <w:rPr>
                <w:rFonts w:ascii="宋体"/>
              </w:rPr>
            </w:pPr>
          </w:p>
        </w:tc>
        <w:tc>
          <w:tcPr>
            <w:tcW w:w="5" w:type="pct"/>
            <w:shd w:val="clear" w:color="auto" w:fill="auto"/>
            <w:vAlign w:val="center"/>
          </w:tcPr>
          <w:p w14:paraId="3693EEDF" w14:textId="77777777" w:rsidR="003734EC" w:rsidRDefault="003734EC">
            <w:pPr>
              <w:rPr>
                <w:rFonts w:ascii="宋体"/>
              </w:rPr>
            </w:pPr>
          </w:p>
        </w:tc>
        <w:tc>
          <w:tcPr>
            <w:tcW w:w="50" w:type="pct"/>
            <w:shd w:val="clear" w:color="auto" w:fill="auto"/>
            <w:vAlign w:val="center"/>
          </w:tcPr>
          <w:p w14:paraId="3693EEE0" w14:textId="77777777" w:rsidR="003734EC" w:rsidRDefault="003734EC">
            <w:pPr>
              <w:rPr>
                <w:rFonts w:ascii="宋体"/>
              </w:rPr>
            </w:pPr>
          </w:p>
        </w:tc>
        <w:tc>
          <w:tcPr>
            <w:tcW w:w="525" w:type="pct"/>
            <w:shd w:val="clear" w:color="auto" w:fill="auto"/>
            <w:vAlign w:val="center"/>
          </w:tcPr>
          <w:p w14:paraId="3693EEE1" w14:textId="77777777" w:rsidR="003734EC" w:rsidRDefault="003734EC">
            <w:pPr>
              <w:rPr>
                <w:rFonts w:ascii="宋体"/>
              </w:rPr>
            </w:pPr>
          </w:p>
        </w:tc>
        <w:tc>
          <w:tcPr>
            <w:tcW w:w="50" w:type="pct"/>
            <w:shd w:val="clear" w:color="auto" w:fill="auto"/>
            <w:vAlign w:val="center"/>
          </w:tcPr>
          <w:p w14:paraId="3693EEE2" w14:textId="77777777" w:rsidR="003734EC" w:rsidRDefault="003734EC">
            <w:pPr>
              <w:rPr>
                <w:rFonts w:ascii="宋体"/>
              </w:rPr>
            </w:pPr>
          </w:p>
        </w:tc>
        <w:tc>
          <w:tcPr>
            <w:tcW w:w="5" w:type="pct"/>
            <w:shd w:val="clear" w:color="auto" w:fill="auto"/>
            <w:vAlign w:val="center"/>
          </w:tcPr>
          <w:p w14:paraId="3693EEE3" w14:textId="77777777" w:rsidR="003734EC" w:rsidRDefault="003734EC">
            <w:pPr>
              <w:rPr>
                <w:rFonts w:ascii="宋体"/>
              </w:rPr>
            </w:pPr>
          </w:p>
        </w:tc>
        <w:tc>
          <w:tcPr>
            <w:tcW w:w="26" w:type="pct"/>
            <w:shd w:val="clear" w:color="auto" w:fill="auto"/>
            <w:vAlign w:val="center"/>
          </w:tcPr>
          <w:p w14:paraId="3693EEE4" w14:textId="77777777" w:rsidR="003734EC" w:rsidRDefault="003734EC">
            <w:pPr>
              <w:rPr>
                <w:rFonts w:ascii="宋体"/>
              </w:rPr>
            </w:pPr>
          </w:p>
        </w:tc>
        <w:tc>
          <w:tcPr>
            <w:tcW w:w="5" w:type="pct"/>
            <w:shd w:val="clear" w:color="auto" w:fill="auto"/>
            <w:vAlign w:val="center"/>
          </w:tcPr>
          <w:p w14:paraId="3693EEE5" w14:textId="77777777" w:rsidR="003734EC" w:rsidRDefault="003734EC">
            <w:pPr>
              <w:rPr>
                <w:rFonts w:ascii="宋体"/>
              </w:rPr>
            </w:pPr>
          </w:p>
        </w:tc>
        <w:tc>
          <w:tcPr>
            <w:tcW w:w="50" w:type="pct"/>
            <w:shd w:val="clear" w:color="auto" w:fill="auto"/>
            <w:vAlign w:val="center"/>
          </w:tcPr>
          <w:p w14:paraId="3693EEE6" w14:textId="77777777" w:rsidR="003734EC" w:rsidRDefault="003734EC">
            <w:pPr>
              <w:rPr>
                <w:rFonts w:ascii="宋体"/>
              </w:rPr>
            </w:pPr>
          </w:p>
        </w:tc>
        <w:tc>
          <w:tcPr>
            <w:tcW w:w="525" w:type="pct"/>
            <w:shd w:val="clear" w:color="auto" w:fill="auto"/>
            <w:vAlign w:val="center"/>
          </w:tcPr>
          <w:p w14:paraId="3693EEE7" w14:textId="77777777" w:rsidR="003734EC" w:rsidRDefault="003734EC">
            <w:pPr>
              <w:rPr>
                <w:rFonts w:ascii="宋体"/>
              </w:rPr>
            </w:pPr>
          </w:p>
        </w:tc>
        <w:tc>
          <w:tcPr>
            <w:tcW w:w="50" w:type="pct"/>
            <w:shd w:val="clear" w:color="auto" w:fill="auto"/>
            <w:vAlign w:val="center"/>
          </w:tcPr>
          <w:p w14:paraId="3693EEE8" w14:textId="77777777" w:rsidR="003734EC" w:rsidRDefault="003734EC">
            <w:pPr>
              <w:rPr>
                <w:rFonts w:ascii="宋体"/>
              </w:rPr>
            </w:pPr>
          </w:p>
        </w:tc>
        <w:tc>
          <w:tcPr>
            <w:tcW w:w="5" w:type="pct"/>
            <w:shd w:val="clear" w:color="auto" w:fill="auto"/>
            <w:vAlign w:val="center"/>
          </w:tcPr>
          <w:p w14:paraId="3693EEE9" w14:textId="77777777" w:rsidR="003734EC" w:rsidRDefault="003734EC">
            <w:pPr>
              <w:rPr>
                <w:rFonts w:ascii="宋体"/>
              </w:rPr>
            </w:pPr>
          </w:p>
        </w:tc>
        <w:tc>
          <w:tcPr>
            <w:tcW w:w="26" w:type="pct"/>
            <w:shd w:val="clear" w:color="auto" w:fill="auto"/>
            <w:vAlign w:val="center"/>
          </w:tcPr>
          <w:p w14:paraId="3693EEEA" w14:textId="77777777" w:rsidR="003734EC" w:rsidRDefault="003734EC">
            <w:pPr>
              <w:rPr>
                <w:rFonts w:ascii="宋体"/>
              </w:rPr>
            </w:pPr>
          </w:p>
        </w:tc>
        <w:tc>
          <w:tcPr>
            <w:tcW w:w="5" w:type="pct"/>
            <w:shd w:val="clear" w:color="auto" w:fill="auto"/>
            <w:vAlign w:val="center"/>
          </w:tcPr>
          <w:p w14:paraId="3693EEEB" w14:textId="77777777" w:rsidR="003734EC" w:rsidRDefault="003734EC">
            <w:pPr>
              <w:rPr>
                <w:rFonts w:ascii="宋体"/>
              </w:rPr>
            </w:pPr>
          </w:p>
        </w:tc>
        <w:tc>
          <w:tcPr>
            <w:tcW w:w="50" w:type="pct"/>
            <w:shd w:val="clear" w:color="auto" w:fill="auto"/>
            <w:vAlign w:val="center"/>
          </w:tcPr>
          <w:p w14:paraId="3693EEEC" w14:textId="77777777" w:rsidR="003734EC" w:rsidRDefault="003734EC">
            <w:pPr>
              <w:rPr>
                <w:rFonts w:ascii="宋体"/>
              </w:rPr>
            </w:pPr>
          </w:p>
        </w:tc>
        <w:tc>
          <w:tcPr>
            <w:tcW w:w="525" w:type="pct"/>
            <w:shd w:val="clear" w:color="auto" w:fill="auto"/>
            <w:vAlign w:val="center"/>
          </w:tcPr>
          <w:p w14:paraId="3693EEED" w14:textId="77777777" w:rsidR="003734EC" w:rsidRDefault="003734EC">
            <w:pPr>
              <w:rPr>
                <w:rFonts w:ascii="宋体"/>
              </w:rPr>
            </w:pPr>
          </w:p>
        </w:tc>
        <w:tc>
          <w:tcPr>
            <w:tcW w:w="50" w:type="pct"/>
            <w:shd w:val="clear" w:color="auto" w:fill="auto"/>
            <w:vAlign w:val="center"/>
          </w:tcPr>
          <w:p w14:paraId="3693EEEE" w14:textId="77777777" w:rsidR="003734EC" w:rsidRDefault="003734EC">
            <w:pPr>
              <w:rPr>
                <w:rFonts w:ascii="宋体"/>
              </w:rPr>
            </w:pPr>
          </w:p>
        </w:tc>
        <w:tc>
          <w:tcPr>
            <w:tcW w:w="5" w:type="pct"/>
            <w:shd w:val="clear" w:color="auto" w:fill="auto"/>
            <w:vAlign w:val="center"/>
          </w:tcPr>
          <w:p w14:paraId="3693EEEF" w14:textId="77777777" w:rsidR="003734EC" w:rsidRDefault="003734EC">
            <w:pPr>
              <w:rPr>
                <w:rFonts w:ascii="宋体"/>
              </w:rPr>
            </w:pPr>
          </w:p>
        </w:tc>
        <w:tc>
          <w:tcPr>
            <w:tcW w:w="26" w:type="pct"/>
            <w:shd w:val="clear" w:color="auto" w:fill="auto"/>
            <w:vAlign w:val="center"/>
          </w:tcPr>
          <w:p w14:paraId="3693EEF0" w14:textId="77777777" w:rsidR="003734EC" w:rsidRDefault="003734EC">
            <w:pPr>
              <w:rPr>
                <w:rFonts w:ascii="宋体"/>
              </w:rPr>
            </w:pPr>
          </w:p>
        </w:tc>
        <w:tc>
          <w:tcPr>
            <w:tcW w:w="5" w:type="pct"/>
            <w:shd w:val="clear" w:color="auto" w:fill="auto"/>
            <w:vAlign w:val="center"/>
          </w:tcPr>
          <w:p w14:paraId="3693EEF1" w14:textId="77777777" w:rsidR="003734EC" w:rsidRDefault="003734EC">
            <w:pPr>
              <w:rPr>
                <w:rFonts w:ascii="宋体"/>
              </w:rPr>
            </w:pPr>
          </w:p>
        </w:tc>
        <w:tc>
          <w:tcPr>
            <w:tcW w:w="50" w:type="pct"/>
            <w:shd w:val="clear" w:color="auto" w:fill="auto"/>
            <w:vAlign w:val="center"/>
          </w:tcPr>
          <w:p w14:paraId="3693EEF2" w14:textId="77777777" w:rsidR="003734EC" w:rsidRDefault="003734EC">
            <w:pPr>
              <w:rPr>
                <w:rFonts w:ascii="宋体"/>
              </w:rPr>
            </w:pPr>
          </w:p>
        </w:tc>
        <w:tc>
          <w:tcPr>
            <w:tcW w:w="526" w:type="pct"/>
            <w:shd w:val="clear" w:color="auto" w:fill="auto"/>
            <w:vAlign w:val="center"/>
          </w:tcPr>
          <w:p w14:paraId="3693EEF3" w14:textId="77777777" w:rsidR="003734EC" w:rsidRDefault="003734EC">
            <w:pPr>
              <w:rPr>
                <w:rFonts w:ascii="宋体"/>
              </w:rPr>
            </w:pPr>
          </w:p>
        </w:tc>
        <w:tc>
          <w:tcPr>
            <w:tcW w:w="50" w:type="pct"/>
            <w:shd w:val="clear" w:color="auto" w:fill="auto"/>
            <w:vAlign w:val="center"/>
          </w:tcPr>
          <w:p w14:paraId="3693EEF4" w14:textId="77777777" w:rsidR="003734EC" w:rsidRDefault="003734EC">
            <w:pPr>
              <w:rPr>
                <w:rFonts w:ascii="宋体"/>
              </w:rPr>
            </w:pPr>
          </w:p>
        </w:tc>
      </w:tr>
      <w:tr w:rsidR="003734EC" w14:paraId="3693EF02" w14:textId="77777777">
        <w:tc>
          <w:tcPr>
            <w:tcW w:w="0" w:type="auto"/>
            <w:gridSpan w:val="3"/>
            <w:shd w:val="clear" w:color="auto" w:fill="auto"/>
            <w:tcMar>
              <w:top w:w="40" w:type="dxa"/>
              <w:left w:w="20" w:type="dxa"/>
              <w:bottom w:w="40" w:type="dxa"/>
              <w:right w:w="20" w:type="dxa"/>
            </w:tcMar>
            <w:vAlign w:val="bottom"/>
          </w:tcPr>
          <w:p w14:paraId="3693EEF6" w14:textId="77777777" w:rsidR="003734EC" w:rsidRDefault="000E364E">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3693EEF7"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vAlign w:val="center"/>
          </w:tcPr>
          <w:p w14:paraId="3693EEF8" w14:textId="77777777" w:rsidR="003734EC" w:rsidRDefault="003734EC">
            <w:pPr>
              <w:rPr>
                <w:rFonts w:ascii="宋体"/>
                <w:vanish/>
              </w:rPr>
            </w:pPr>
          </w:p>
        </w:tc>
        <w:tc>
          <w:tcPr>
            <w:tcW w:w="0" w:type="auto"/>
            <w:gridSpan w:val="3"/>
            <w:shd w:val="clear" w:color="auto" w:fill="auto"/>
            <w:vAlign w:val="center"/>
          </w:tcPr>
          <w:p w14:paraId="3693EEF9" w14:textId="77777777" w:rsidR="003734EC" w:rsidRDefault="003734EC">
            <w:pPr>
              <w:rPr>
                <w:rFonts w:ascii="宋体"/>
                <w:vanish/>
              </w:rPr>
            </w:pPr>
          </w:p>
        </w:tc>
        <w:tc>
          <w:tcPr>
            <w:tcW w:w="0" w:type="auto"/>
            <w:gridSpan w:val="3"/>
            <w:shd w:val="clear" w:color="auto" w:fill="auto"/>
            <w:vAlign w:val="center"/>
          </w:tcPr>
          <w:p w14:paraId="3693EEFA" w14:textId="77777777" w:rsidR="003734EC" w:rsidRDefault="003734EC">
            <w:pPr>
              <w:rPr>
                <w:rFonts w:ascii="宋体"/>
                <w:vanish/>
              </w:rPr>
            </w:pPr>
          </w:p>
        </w:tc>
        <w:tc>
          <w:tcPr>
            <w:tcW w:w="0" w:type="auto"/>
            <w:gridSpan w:val="3"/>
            <w:shd w:val="clear" w:color="auto" w:fill="auto"/>
            <w:vAlign w:val="center"/>
          </w:tcPr>
          <w:p w14:paraId="3693EEFB"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EFC" w14:textId="77777777" w:rsidR="003734EC" w:rsidRDefault="003734EC">
            <w:pPr>
              <w:rPr>
                <w:rFonts w:ascii="宋体"/>
              </w:rPr>
            </w:pPr>
          </w:p>
        </w:tc>
        <w:tc>
          <w:tcPr>
            <w:tcW w:w="0" w:type="auto"/>
            <w:gridSpan w:val="15"/>
            <w:shd w:val="clear" w:color="auto" w:fill="auto"/>
            <w:tcMar>
              <w:top w:w="40" w:type="dxa"/>
              <w:left w:w="20" w:type="dxa"/>
              <w:bottom w:w="40" w:type="dxa"/>
              <w:right w:w="20" w:type="dxa"/>
            </w:tcMar>
            <w:vAlign w:val="bottom"/>
          </w:tcPr>
          <w:p w14:paraId="3693EEFD" w14:textId="77777777" w:rsidR="003734EC" w:rsidRDefault="000E364E">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vAlign w:val="center"/>
          </w:tcPr>
          <w:p w14:paraId="3693EEFE" w14:textId="77777777" w:rsidR="003734EC" w:rsidRDefault="003734EC">
            <w:pPr>
              <w:rPr>
                <w:rFonts w:ascii="宋体"/>
                <w:vanish/>
              </w:rPr>
            </w:pPr>
          </w:p>
        </w:tc>
        <w:tc>
          <w:tcPr>
            <w:tcW w:w="0" w:type="auto"/>
            <w:gridSpan w:val="3"/>
            <w:shd w:val="clear" w:color="auto" w:fill="auto"/>
            <w:vAlign w:val="center"/>
          </w:tcPr>
          <w:p w14:paraId="3693EEFF" w14:textId="77777777" w:rsidR="003734EC" w:rsidRDefault="003734EC">
            <w:pPr>
              <w:rPr>
                <w:rFonts w:ascii="宋体"/>
                <w:vanish/>
              </w:rPr>
            </w:pPr>
          </w:p>
        </w:tc>
        <w:tc>
          <w:tcPr>
            <w:tcW w:w="0" w:type="auto"/>
            <w:gridSpan w:val="3"/>
            <w:shd w:val="clear" w:color="auto" w:fill="auto"/>
            <w:vAlign w:val="center"/>
          </w:tcPr>
          <w:p w14:paraId="3693EF00" w14:textId="77777777" w:rsidR="003734EC" w:rsidRDefault="003734EC">
            <w:pPr>
              <w:rPr>
                <w:rFonts w:ascii="宋体"/>
                <w:vanish/>
              </w:rPr>
            </w:pPr>
          </w:p>
        </w:tc>
        <w:tc>
          <w:tcPr>
            <w:tcW w:w="0" w:type="auto"/>
            <w:gridSpan w:val="3"/>
            <w:shd w:val="clear" w:color="auto" w:fill="auto"/>
            <w:vAlign w:val="center"/>
          </w:tcPr>
          <w:p w14:paraId="3693EF01" w14:textId="77777777" w:rsidR="003734EC" w:rsidRDefault="003734EC">
            <w:pPr>
              <w:rPr>
                <w:rFonts w:ascii="宋体"/>
                <w:vanish/>
              </w:rPr>
            </w:pPr>
          </w:p>
        </w:tc>
      </w:tr>
      <w:tr w:rsidR="003734EC" w14:paraId="3693EF27" w14:textId="77777777">
        <w:tc>
          <w:tcPr>
            <w:tcW w:w="0" w:type="auto"/>
            <w:gridSpan w:val="3"/>
            <w:shd w:val="clear" w:color="auto" w:fill="auto"/>
            <w:tcMar>
              <w:top w:w="40" w:type="dxa"/>
              <w:left w:w="20" w:type="dxa"/>
              <w:bottom w:w="40" w:type="dxa"/>
              <w:right w:w="20" w:type="dxa"/>
            </w:tcMar>
            <w:vAlign w:val="bottom"/>
          </w:tcPr>
          <w:p w14:paraId="3693EF03"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F04" w14:textId="77777777" w:rsidR="003734EC" w:rsidRDefault="000E364E">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left w:w="20" w:type="dxa"/>
              <w:right w:w="20" w:type="dxa"/>
            </w:tcMar>
            <w:vAlign w:val="bottom"/>
          </w:tcPr>
          <w:p w14:paraId="3693EF05"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F06" w14:textId="77777777" w:rsidR="003734EC" w:rsidRDefault="000E364E">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left w:w="20" w:type="dxa"/>
              <w:right w:w="20" w:type="dxa"/>
            </w:tcMar>
            <w:vAlign w:val="bottom"/>
          </w:tcPr>
          <w:p w14:paraId="3693EF07"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F08" w14:textId="77777777" w:rsidR="003734EC" w:rsidRDefault="000E364E">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left w:w="20" w:type="dxa"/>
              <w:right w:w="20" w:type="dxa"/>
            </w:tcMar>
            <w:vAlign w:val="bottom"/>
          </w:tcPr>
          <w:p w14:paraId="3693EF09"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EF0A" w14:textId="77777777" w:rsidR="003734EC" w:rsidRDefault="000E364E">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left w:w="20" w:type="dxa"/>
              <w:right w:w="20" w:type="dxa"/>
            </w:tcMar>
            <w:vAlign w:val="bottom"/>
          </w:tcPr>
          <w:p w14:paraId="3693EF0B"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F0C" w14:textId="77777777" w:rsidR="003734EC" w:rsidRDefault="000E364E">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left w:w="20" w:type="dxa"/>
              <w:right w:w="20" w:type="dxa"/>
            </w:tcMar>
            <w:vAlign w:val="bottom"/>
          </w:tcPr>
          <w:p w14:paraId="3693EF0D"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EF0E" w14:textId="77777777" w:rsidR="003734EC" w:rsidRDefault="000E364E">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shd w:val="clear" w:color="auto" w:fill="auto"/>
            <w:vAlign w:val="center"/>
          </w:tcPr>
          <w:p w14:paraId="3693EF0F" w14:textId="77777777" w:rsidR="003734EC" w:rsidRDefault="003734EC">
            <w:pPr>
              <w:rPr>
                <w:rFonts w:ascii="宋体"/>
              </w:rPr>
            </w:pPr>
          </w:p>
        </w:tc>
        <w:tc>
          <w:tcPr>
            <w:tcW w:w="0" w:type="auto"/>
            <w:shd w:val="clear" w:color="auto" w:fill="auto"/>
            <w:vAlign w:val="center"/>
          </w:tcPr>
          <w:p w14:paraId="3693EF10" w14:textId="77777777" w:rsidR="003734EC" w:rsidRDefault="003734EC">
            <w:pPr>
              <w:rPr>
                <w:rFonts w:ascii="宋体"/>
              </w:rPr>
            </w:pPr>
          </w:p>
        </w:tc>
        <w:tc>
          <w:tcPr>
            <w:tcW w:w="0" w:type="auto"/>
            <w:shd w:val="clear" w:color="auto" w:fill="auto"/>
            <w:vAlign w:val="center"/>
          </w:tcPr>
          <w:p w14:paraId="3693EF11" w14:textId="77777777" w:rsidR="003734EC" w:rsidRDefault="003734EC">
            <w:pPr>
              <w:rPr>
                <w:rFonts w:ascii="宋体"/>
              </w:rPr>
            </w:pPr>
          </w:p>
        </w:tc>
        <w:tc>
          <w:tcPr>
            <w:tcW w:w="0" w:type="auto"/>
            <w:shd w:val="clear" w:color="auto" w:fill="auto"/>
            <w:vAlign w:val="center"/>
          </w:tcPr>
          <w:p w14:paraId="3693EF12" w14:textId="77777777" w:rsidR="003734EC" w:rsidRDefault="003734EC">
            <w:pPr>
              <w:rPr>
                <w:rFonts w:ascii="宋体"/>
              </w:rPr>
            </w:pPr>
          </w:p>
        </w:tc>
        <w:tc>
          <w:tcPr>
            <w:tcW w:w="0" w:type="auto"/>
            <w:shd w:val="clear" w:color="auto" w:fill="auto"/>
            <w:vAlign w:val="center"/>
          </w:tcPr>
          <w:p w14:paraId="3693EF13" w14:textId="77777777" w:rsidR="003734EC" w:rsidRDefault="003734EC">
            <w:pPr>
              <w:rPr>
                <w:rFonts w:ascii="宋体"/>
              </w:rPr>
            </w:pPr>
          </w:p>
        </w:tc>
        <w:tc>
          <w:tcPr>
            <w:tcW w:w="0" w:type="auto"/>
            <w:shd w:val="clear" w:color="auto" w:fill="auto"/>
            <w:vAlign w:val="center"/>
          </w:tcPr>
          <w:p w14:paraId="3693EF14" w14:textId="77777777" w:rsidR="003734EC" w:rsidRDefault="003734EC">
            <w:pPr>
              <w:rPr>
                <w:rFonts w:ascii="宋体"/>
              </w:rPr>
            </w:pPr>
          </w:p>
        </w:tc>
        <w:tc>
          <w:tcPr>
            <w:tcW w:w="0" w:type="auto"/>
            <w:shd w:val="clear" w:color="auto" w:fill="auto"/>
            <w:vAlign w:val="center"/>
          </w:tcPr>
          <w:p w14:paraId="3693EF15" w14:textId="77777777" w:rsidR="003734EC" w:rsidRDefault="003734EC">
            <w:pPr>
              <w:rPr>
                <w:rFonts w:ascii="宋体"/>
              </w:rPr>
            </w:pPr>
          </w:p>
        </w:tc>
        <w:tc>
          <w:tcPr>
            <w:tcW w:w="0" w:type="auto"/>
            <w:shd w:val="clear" w:color="auto" w:fill="auto"/>
            <w:vAlign w:val="center"/>
          </w:tcPr>
          <w:p w14:paraId="3693EF16" w14:textId="77777777" w:rsidR="003734EC" w:rsidRDefault="003734EC">
            <w:pPr>
              <w:rPr>
                <w:rFonts w:ascii="宋体"/>
              </w:rPr>
            </w:pPr>
          </w:p>
        </w:tc>
        <w:tc>
          <w:tcPr>
            <w:tcW w:w="0" w:type="auto"/>
            <w:shd w:val="clear" w:color="auto" w:fill="auto"/>
            <w:vAlign w:val="center"/>
          </w:tcPr>
          <w:p w14:paraId="3693EF17" w14:textId="77777777" w:rsidR="003734EC" w:rsidRDefault="003734EC">
            <w:pPr>
              <w:rPr>
                <w:rFonts w:ascii="宋体"/>
              </w:rPr>
            </w:pPr>
          </w:p>
        </w:tc>
        <w:tc>
          <w:tcPr>
            <w:tcW w:w="0" w:type="auto"/>
            <w:shd w:val="clear" w:color="auto" w:fill="auto"/>
            <w:vAlign w:val="center"/>
          </w:tcPr>
          <w:p w14:paraId="3693EF18" w14:textId="77777777" w:rsidR="003734EC" w:rsidRDefault="003734EC">
            <w:pPr>
              <w:rPr>
                <w:rFonts w:ascii="宋体"/>
              </w:rPr>
            </w:pPr>
          </w:p>
        </w:tc>
        <w:tc>
          <w:tcPr>
            <w:tcW w:w="0" w:type="auto"/>
            <w:shd w:val="clear" w:color="auto" w:fill="auto"/>
            <w:vAlign w:val="center"/>
          </w:tcPr>
          <w:p w14:paraId="3693EF19" w14:textId="77777777" w:rsidR="003734EC" w:rsidRDefault="003734EC">
            <w:pPr>
              <w:rPr>
                <w:rFonts w:ascii="宋体"/>
              </w:rPr>
            </w:pPr>
          </w:p>
        </w:tc>
        <w:tc>
          <w:tcPr>
            <w:tcW w:w="0" w:type="auto"/>
            <w:shd w:val="clear" w:color="auto" w:fill="auto"/>
            <w:vAlign w:val="center"/>
          </w:tcPr>
          <w:p w14:paraId="3693EF1A" w14:textId="77777777" w:rsidR="003734EC" w:rsidRDefault="003734EC">
            <w:pPr>
              <w:rPr>
                <w:rFonts w:ascii="宋体"/>
              </w:rPr>
            </w:pPr>
          </w:p>
        </w:tc>
        <w:tc>
          <w:tcPr>
            <w:tcW w:w="0" w:type="auto"/>
            <w:shd w:val="clear" w:color="auto" w:fill="auto"/>
            <w:vAlign w:val="center"/>
          </w:tcPr>
          <w:p w14:paraId="3693EF1B" w14:textId="77777777" w:rsidR="003734EC" w:rsidRDefault="003734EC">
            <w:pPr>
              <w:rPr>
                <w:rFonts w:ascii="宋体"/>
              </w:rPr>
            </w:pPr>
          </w:p>
        </w:tc>
        <w:tc>
          <w:tcPr>
            <w:tcW w:w="0" w:type="auto"/>
            <w:shd w:val="clear" w:color="auto" w:fill="auto"/>
            <w:vAlign w:val="center"/>
          </w:tcPr>
          <w:p w14:paraId="3693EF1C" w14:textId="77777777" w:rsidR="003734EC" w:rsidRDefault="003734EC">
            <w:pPr>
              <w:rPr>
                <w:rFonts w:ascii="宋体"/>
              </w:rPr>
            </w:pPr>
          </w:p>
        </w:tc>
        <w:tc>
          <w:tcPr>
            <w:tcW w:w="0" w:type="auto"/>
            <w:shd w:val="clear" w:color="auto" w:fill="auto"/>
            <w:vAlign w:val="center"/>
          </w:tcPr>
          <w:p w14:paraId="3693EF1D" w14:textId="77777777" w:rsidR="003734EC" w:rsidRDefault="003734EC">
            <w:pPr>
              <w:rPr>
                <w:rFonts w:ascii="宋体"/>
              </w:rPr>
            </w:pPr>
          </w:p>
        </w:tc>
        <w:tc>
          <w:tcPr>
            <w:tcW w:w="0" w:type="auto"/>
            <w:shd w:val="clear" w:color="auto" w:fill="auto"/>
            <w:vAlign w:val="center"/>
          </w:tcPr>
          <w:p w14:paraId="3693EF1E" w14:textId="77777777" w:rsidR="003734EC" w:rsidRDefault="003734EC">
            <w:pPr>
              <w:rPr>
                <w:rFonts w:ascii="宋体"/>
              </w:rPr>
            </w:pPr>
          </w:p>
        </w:tc>
        <w:tc>
          <w:tcPr>
            <w:tcW w:w="0" w:type="auto"/>
            <w:shd w:val="clear" w:color="auto" w:fill="auto"/>
            <w:vAlign w:val="center"/>
          </w:tcPr>
          <w:p w14:paraId="3693EF1F" w14:textId="77777777" w:rsidR="003734EC" w:rsidRDefault="003734EC">
            <w:pPr>
              <w:rPr>
                <w:rFonts w:ascii="宋体"/>
              </w:rPr>
            </w:pPr>
          </w:p>
        </w:tc>
        <w:tc>
          <w:tcPr>
            <w:tcW w:w="0" w:type="auto"/>
            <w:shd w:val="clear" w:color="auto" w:fill="auto"/>
            <w:vAlign w:val="center"/>
          </w:tcPr>
          <w:p w14:paraId="3693EF20" w14:textId="77777777" w:rsidR="003734EC" w:rsidRDefault="003734EC">
            <w:pPr>
              <w:rPr>
                <w:rFonts w:ascii="宋体"/>
              </w:rPr>
            </w:pPr>
          </w:p>
        </w:tc>
        <w:tc>
          <w:tcPr>
            <w:tcW w:w="0" w:type="auto"/>
            <w:shd w:val="clear" w:color="auto" w:fill="auto"/>
            <w:vAlign w:val="center"/>
          </w:tcPr>
          <w:p w14:paraId="3693EF21" w14:textId="77777777" w:rsidR="003734EC" w:rsidRDefault="003734EC">
            <w:pPr>
              <w:rPr>
                <w:rFonts w:ascii="宋体"/>
              </w:rPr>
            </w:pPr>
          </w:p>
        </w:tc>
        <w:tc>
          <w:tcPr>
            <w:tcW w:w="0" w:type="auto"/>
            <w:shd w:val="clear" w:color="auto" w:fill="auto"/>
            <w:vAlign w:val="center"/>
          </w:tcPr>
          <w:p w14:paraId="3693EF22" w14:textId="77777777" w:rsidR="003734EC" w:rsidRDefault="003734EC">
            <w:pPr>
              <w:rPr>
                <w:rFonts w:ascii="宋体"/>
              </w:rPr>
            </w:pPr>
          </w:p>
        </w:tc>
        <w:tc>
          <w:tcPr>
            <w:tcW w:w="0" w:type="auto"/>
            <w:shd w:val="clear" w:color="auto" w:fill="auto"/>
            <w:vAlign w:val="center"/>
          </w:tcPr>
          <w:p w14:paraId="3693EF23" w14:textId="77777777" w:rsidR="003734EC" w:rsidRDefault="003734EC">
            <w:pPr>
              <w:rPr>
                <w:rFonts w:ascii="宋体"/>
              </w:rPr>
            </w:pPr>
          </w:p>
        </w:tc>
        <w:tc>
          <w:tcPr>
            <w:tcW w:w="0" w:type="auto"/>
            <w:shd w:val="clear" w:color="auto" w:fill="auto"/>
            <w:vAlign w:val="center"/>
          </w:tcPr>
          <w:p w14:paraId="3693EF24" w14:textId="77777777" w:rsidR="003734EC" w:rsidRDefault="003734EC">
            <w:pPr>
              <w:rPr>
                <w:rFonts w:ascii="宋体"/>
              </w:rPr>
            </w:pPr>
          </w:p>
        </w:tc>
        <w:tc>
          <w:tcPr>
            <w:tcW w:w="0" w:type="auto"/>
            <w:shd w:val="clear" w:color="auto" w:fill="auto"/>
            <w:vAlign w:val="center"/>
          </w:tcPr>
          <w:p w14:paraId="3693EF25" w14:textId="77777777" w:rsidR="003734EC" w:rsidRDefault="003734EC">
            <w:pPr>
              <w:rPr>
                <w:rFonts w:ascii="宋体"/>
              </w:rPr>
            </w:pPr>
          </w:p>
        </w:tc>
        <w:tc>
          <w:tcPr>
            <w:tcW w:w="0" w:type="auto"/>
            <w:shd w:val="clear" w:color="auto" w:fill="auto"/>
            <w:vAlign w:val="center"/>
          </w:tcPr>
          <w:p w14:paraId="3693EF26" w14:textId="77777777" w:rsidR="003734EC" w:rsidRDefault="003734EC">
            <w:pPr>
              <w:rPr>
                <w:rFonts w:ascii="宋体"/>
              </w:rPr>
            </w:pPr>
          </w:p>
        </w:tc>
      </w:tr>
      <w:tr w:rsidR="003734EC" w14:paraId="3693EF34" w14:textId="77777777">
        <w:tc>
          <w:tcPr>
            <w:tcW w:w="0" w:type="auto"/>
            <w:gridSpan w:val="3"/>
            <w:shd w:val="clear" w:color="auto" w:fill="auto"/>
            <w:tcMar>
              <w:top w:w="40" w:type="dxa"/>
              <w:left w:w="20" w:type="dxa"/>
              <w:bottom w:w="40" w:type="dxa"/>
              <w:right w:w="20" w:type="dxa"/>
            </w:tcMar>
            <w:vAlign w:val="bottom"/>
          </w:tcPr>
          <w:p w14:paraId="3693EF28" w14:textId="77777777" w:rsidR="003734EC" w:rsidRDefault="000E364E">
            <w:pPr>
              <w:textAlignment w:val="bottom"/>
            </w:pPr>
            <w:r>
              <w:rPr>
                <w:rFonts w:ascii="sans-serif" w:eastAsia="sans-serif" w:hAnsi="sans-serif" w:cs="sans-serif"/>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93EF29"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F2A" w14:textId="77777777" w:rsidR="003734EC" w:rsidRDefault="003734EC">
            <w:pPr>
              <w:rPr>
                <w:rFonts w:ascii="宋体"/>
                <w:vanish/>
              </w:rPr>
            </w:pPr>
          </w:p>
        </w:tc>
        <w:tc>
          <w:tcPr>
            <w:tcW w:w="0" w:type="auto"/>
            <w:gridSpan w:val="3"/>
            <w:shd w:val="clear" w:color="auto" w:fill="auto"/>
            <w:vAlign w:val="center"/>
          </w:tcPr>
          <w:p w14:paraId="3693EF2B" w14:textId="77777777" w:rsidR="003734EC" w:rsidRDefault="003734EC">
            <w:pPr>
              <w:rPr>
                <w:rFonts w:ascii="宋体"/>
                <w:vanish/>
              </w:rPr>
            </w:pPr>
          </w:p>
        </w:tc>
        <w:tc>
          <w:tcPr>
            <w:tcW w:w="0" w:type="auto"/>
            <w:gridSpan w:val="3"/>
            <w:shd w:val="clear" w:color="auto" w:fill="auto"/>
            <w:vAlign w:val="center"/>
          </w:tcPr>
          <w:p w14:paraId="3693EF2C" w14:textId="77777777" w:rsidR="003734EC" w:rsidRDefault="003734EC">
            <w:pPr>
              <w:rPr>
                <w:rFonts w:ascii="宋体"/>
                <w:vanish/>
              </w:rPr>
            </w:pPr>
          </w:p>
        </w:tc>
        <w:tc>
          <w:tcPr>
            <w:tcW w:w="0" w:type="auto"/>
            <w:gridSpan w:val="3"/>
            <w:shd w:val="clear" w:color="auto" w:fill="auto"/>
            <w:vAlign w:val="center"/>
          </w:tcPr>
          <w:p w14:paraId="3693EF2D"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EF2E" w14:textId="77777777" w:rsidR="003734EC" w:rsidRDefault="003734EC">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93EF2F"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F30" w14:textId="77777777" w:rsidR="003734EC" w:rsidRDefault="003734EC">
            <w:pPr>
              <w:rPr>
                <w:rFonts w:ascii="宋体"/>
                <w:vanish/>
              </w:rPr>
            </w:pPr>
          </w:p>
        </w:tc>
        <w:tc>
          <w:tcPr>
            <w:tcW w:w="0" w:type="auto"/>
            <w:gridSpan w:val="3"/>
            <w:shd w:val="clear" w:color="auto" w:fill="auto"/>
            <w:vAlign w:val="center"/>
          </w:tcPr>
          <w:p w14:paraId="3693EF31" w14:textId="77777777" w:rsidR="003734EC" w:rsidRDefault="003734EC">
            <w:pPr>
              <w:rPr>
                <w:rFonts w:ascii="宋体"/>
                <w:vanish/>
              </w:rPr>
            </w:pPr>
          </w:p>
        </w:tc>
        <w:tc>
          <w:tcPr>
            <w:tcW w:w="0" w:type="auto"/>
            <w:gridSpan w:val="3"/>
            <w:shd w:val="clear" w:color="auto" w:fill="auto"/>
            <w:vAlign w:val="center"/>
          </w:tcPr>
          <w:p w14:paraId="3693EF32" w14:textId="77777777" w:rsidR="003734EC" w:rsidRDefault="003734EC">
            <w:pPr>
              <w:rPr>
                <w:rFonts w:ascii="宋体"/>
                <w:vanish/>
              </w:rPr>
            </w:pPr>
          </w:p>
        </w:tc>
        <w:tc>
          <w:tcPr>
            <w:tcW w:w="0" w:type="auto"/>
            <w:gridSpan w:val="3"/>
            <w:shd w:val="clear" w:color="auto" w:fill="auto"/>
            <w:vAlign w:val="center"/>
          </w:tcPr>
          <w:p w14:paraId="3693EF33" w14:textId="77777777" w:rsidR="003734EC" w:rsidRDefault="003734EC">
            <w:pPr>
              <w:rPr>
                <w:rFonts w:ascii="宋体"/>
                <w:vanish/>
              </w:rPr>
            </w:pPr>
          </w:p>
        </w:tc>
      </w:tr>
      <w:tr w:rsidR="003734EC" w14:paraId="3693EF65" w14:textId="77777777">
        <w:tc>
          <w:tcPr>
            <w:tcW w:w="0" w:type="auto"/>
            <w:gridSpan w:val="3"/>
            <w:shd w:val="clear" w:color="auto" w:fill="E2EFD9"/>
            <w:tcMar>
              <w:top w:w="40" w:type="dxa"/>
              <w:left w:w="20" w:type="dxa"/>
              <w:bottom w:w="40" w:type="dxa"/>
              <w:right w:w="20" w:type="dxa"/>
            </w:tcMar>
            <w:vAlign w:val="bottom"/>
          </w:tcPr>
          <w:p w14:paraId="3693EF35" w14:textId="77777777" w:rsidR="003734EC" w:rsidRDefault="000E364E">
            <w:pPr>
              <w:textAlignment w:val="bottom"/>
            </w:pPr>
            <w:r>
              <w:rPr>
                <w:rFonts w:ascii="sans-serif" w:eastAsia="sans-serif" w:hAnsi="sans-serif" w:cs="sans-serif"/>
                <w:color w:val="000000"/>
                <w:sz w:val="20"/>
                <w:szCs w:val="20"/>
              </w:rPr>
              <w:t>Acquisition-related intangible assets</w:t>
            </w:r>
          </w:p>
        </w:tc>
        <w:tc>
          <w:tcPr>
            <w:tcW w:w="0" w:type="auto"/>
            <w:shd w:val="clear" w:color="auto" w:fill="E2EFD9"/>
            <w:tcMar>
              <w:top w:w="40" w:type="dxa"/>
              <w:left w:w="20" w:type="dxa"/>
              <w:bottom w:w="40" w:type="dxa"/>
            </w:tcMar>
            <w:vAlign w:val="bottom"/>
          </w:tcPr>
          <w:p w14:paraId="3693EF3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37" w14:textId="77777777" w:rsidR="003734EC" w:rsidRDefault="000E364E">
            <w:pPr>
              <w:jc w:val="right"/>
              <w:textAlignment w:val="bottom"/>
            </w:pPr>
            <w:r>
              <w:rPr>
                <w:rFonts w:ascii="sans-serif" w:eastAsia="sans-serif" w:hAnsi="sans-serif" w:cs="sans-serif"/>
                <w:color w:val="000000"/>
                <w:sz w:val="20"/>
                <w:szCs w:val="20"/>
              </w:rPr>
              <w:t>231 </w:t>
            </w:r>
          </w:p>
        </w:tc>
        <w:tc>
          <w:tcPr>
            <w:tcW w:w="0" w:type="auto"/>
            <w:shd w:val="clear" w:color="auto" w:fill="E2EFD9"/>
            <w:tcMar>
              <w:top w:w="40" w:type="dxa"/>
              <w:bottom w:w="40" w:type="dxa"/>
              <w:right w:w="20" w:type="dxa"/>
            </w:tcMar>
            <w:vAlign w:val="bottom"/>
          </w:tcPr>
          <w:p w14:paraId="3693EF3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3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3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3B" w14:textId="77777777" w:rsidR="003734EC" w:rsidRDefault="000E364E">
            <w:pPr>
              <w:jc w:val="right"/>
              <w:textAlignment w:val="bottom"/>
            </w:pPr>
            <w:r>
              <w:rPr>
                <w:rFonts w:ascii="sans-serif" w:eastAsia="sans-serif" w:hAnsi="sans-serif" w:cs="sans-serif"/>
                <w:color w:val="000000"/>
                <w:sz w:val="20"/>
                <w:szCs w:val="20"/>
              </w:rPr>
              <w:t>(195)</w:t>
            </w:r>
          </w:p>
        </w:tc>
        <w:tc>
          <w:tcPr>
            <w:tcW w:w="0" w:type="auto"/>
            <w:shd w:val="clear" w:color="auto" w:fill="E2EFD9"/>
            <w:tcMar>
              <w:top w:w="40" w:type="dxa"/>
              <w:bottom w:w="40" w:type="dxa"/>
              <w:right w:w="20" w:type="dxa"/>
            </w:tcMar>
            <w:vAlign w:val="bottom"/>
          </w:tcPr>
          <w:p w14:paraId="3693EF3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3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3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3F" w14:textId="77777777" w:rsidR="003734EC" w:rsidRDefault="000E364E">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bottom w:w="40" w:type="dxa"/>
              <w:right w:w="20" w:type="dxa"/>
            </w:tcMar>
            <w:vAlign w:val="bottom"/>
          </w:tcPr>
          <w:p w14:paraId="3693EF4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41"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42"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43" w14:textId="77777777" w:rsidR="003734EC" w:rsidRDefault="000E364E">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bottom w:w="40" w:type="dxa"/>
              <w:right w:w="20" w:type="dxa"/>
            </w:tcMar>
            <w:vAlign w:val="bottom"/>
          </w:tcPr>
          <w:p w14:paraId="3693EF4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45"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4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47" w14:textId="77777777" w:rsidR="003734EC" w:rsidRDefault="000E364E">
            <w:pPr>
              <w:jc w:val="right"/>
              <w:textAlignment w:val="bottom"/>
            </w:pPr>
            <w:r>
              <w:rPr>
                <w:rFonts w:ascii="sans-serif" w:eastAsia="sans-serif" w:hAnsi="sans-serif" w:cs="sans-serif"/>
                <w:color w:val="000000"/>
                <w:sz w:val="20"/>
                <w:szCs w:val="20"/>
              </w:rPr>
              <w:t>(192)</w:t>
            </w:r>
          </w:p>
        </w:tc>
        <w:tc>
          <w:tcPr>
            <w:tcW w:w="0" w:type="auto"/>
            <w:shd w:val="clear" w:color="auto" w:fill="E2EFD9"/>
            <w:tcMar>
              <w:top w:w="40" w:type="dxa"/>
              <w:bottom w:w="40" w:type="dxa"/>
              <w:right w:w="20" w:type="dxa"/>
            </w:tcMar>
            <w:vAlign w:val="bottom"/>
          </w:tcPr>
          <w:p w14:paraId="3693EF4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4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4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4B" w14:textId="77777777" w:rsidR="003734EC" w:rsidRDefault="000E364E">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bottom w:w="40" w:type="dxa"/>
              <w:right w:w="20" w:type="dxa"/>
            </w:tcMar>
            <w:vAlign w:val="bottom"/>
          </w:tcPr>
          <w:p w14:paraId="3693EF4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F4D" w14:textId="77777777" w:rsidR="003734EC" w:rsidRDefault="003734EC">
            <w:pPr>
              <w:rPr>
                <w:rFonts w:ascii="宋体"/>
              </w:rPr>
            </w:pPr>
          </w:p>
        </w:tc>
        <w:tc>
          <w:tcPr>
            <w:tcW w:w="0" w:type="auto"/>
            <w:shd w:val="clear" w:color="auto" w:fill="auto"/>
            <w:vAlign w:val="center"/>
          </w:tcPr>
          <w:p w14:paraId="3693EF4E" w14:textId="77777777" w:rsidR="003734EC" w:rsidRDefault="003734EC">
            <w:pPr>
              <w:rPr>
                <w:rFonts w:ascii="宋体"/>
              </w:rPr>
            </w:pPr>
          </w:p>
        </w:tc>
        <w:tc>
          <w:tcPr>
            <w:tcW w:w="0" w:type="auto"/>
            <w:shd w:val="clear" w:color="auto" w:fill="auto"/>
            <w:vAlign w:val="center"/>
          </w:tcPr>
          <w:p w14:paraId="3693EF4F" w14:textId="77777777" w:rsidR="003734EC" w:rsidRDefault="003734EC">
            <w:pPr>
              <w:rPr>
                <w:rFonts w:ascii="宋体"/>
              </w:rPr>
            </w:pPr>
          </w:p>
        </w:tc>
        <w:tc>
          <w:tcPr>
            <w:tcW w:w="0" w:type="auto"/>
            <w:shd w:val="clear" w:color="auto" w:fill="auto"/>
            <w:vAlign w:val="center"/>
          </w:tcPr>
          <w:p w14:paraId="3693EF50" w14:textId="77777777" w:rsidR="003734EC" w:rsidRDefault="003734EC">
            <w:pPr>
              <w:rPr>
                <w:rFonts w:ascii="宋体"/>
              </w:rPr>
            </w:pPr>
          </w:p>
        </w:tc>
        <w:tc>
          <w:tcPr>
            <w:tcW w:w="0" w:type="auto"/>
            <w:shd w:val="clear" w:color="auto" w:fill="auto"/>
            <w:vAlign w:val="center"/>
          </w:tcPr>
          <w:p w14:paraId="3693EF51" w14:textId="77777777" w:rsidR="003734EC" w:rsidRDefault="003734EC">
            <w:pPr>
              <w:rPr>
                <w:rFonts w:ascii="宋体"/>
              </w:rPr>
            </w:pPr>
          </w:p>
        </w:tc>
        <w:tc>
          <w:tcPr>
            <w:tcW w:w="0" w:type="auto"/>
            <w:shd w:val="clear" w:color="auto" w:fill="auto"/>
            <w:vAlign w:val="center"/>
          </w:tcPr>
          <w:p w14:paraId="3693EF52" w14:textId="77777777" w:rsidR="003734EC" w:rsidRDefault="003734EC">
            <w:pPr>
              <w:rPr>
                <w:rFonts w:ascii="宋体"/>
              </w:rPr>
            </w:pPr>
          </w:p>
        </w:tc>
        <w:tc>
          <w:tcPr>
            <w:tcW w:w="0" w:type="auto"/>
            <w:shd w:val="clear" w:color="auto" w:fill="auto"/>
            <w:vAlign w:val="center"/>
          </w:tcPr>
          <w:p w14:paraId="3693EF53" w14:textId="77777777" w:rsidR="003734EC" w:rsidRDefault="003734EC">
            <w:pPr>
              <w:rPr>
                <w:rFonts w:ascii="宋体"/>
              </w:rPr>
            </w:pPr>
          </w:p>
        </w:tc>
        <w:tc>
          <w:tcPr>
            <w:tcW w:w="0" w:type="auto"/>
            <w:shd w:val="clear" w:color="auto" w:fill="auto"/>
            <w:vAlign w:val="center"/>
          </w:tcPr>
          <w:p w14:paraId="3693EF54" w14:textId="77777777" w:rsidR="003734EC" w:rsidRDefault="003734EC">
            <w:pPr>
              <w:rPr>
                <w:rFonts w:ascii="宋体"/>
              </w:rPr>
            </w:pPr>
          </w:p>
        </w:tc>
        <w:tc>
          <w:tcPr>
            <w:tcW w:w="0" w:type="auto"/>
            <w:shd w:val="clear" w:color="auto" w:fill="auto"/>
            <w:vAlign w:val="center"/>
          </w:tcPr>
          <w:p w14:paraId="3693EF55" w14:textId="77777777" w:rsidR="003734EC" w:rsidRDefault="003734EC">
            <w:pPr>
              <w:rPr>
                <w:rFonts w:ascii="宋体"/>
              </w:rPr>
            </w:pPr>
          </w:p>
        </w:tc>
        <w:tc>
          <w:tcPr>
            <w:tcW w:w="0" w:type="auto"/>
            <w:shd w:val="clear" w:color="auto" w:fill="auto"/>
            <w:vAlign w:val="center"/>
          </w:tcPr>
          <w:p w14:paraId="3693EF56" w14:textId="77777777" w:rsidR="003734EC" w:rsidRDefault="003734EC">
            <w:pPr>
              <w:rPr>
                <w:rFonts w:ascii="宋体"/>
              </w:rPr>
            </w:pPr>
          </w:p>
        </w:tc>
        <w:tc>
          <w:tcPr>
            <w:tcW w:w="0" w:type="auto"/>
            <w:shd w:val="clear" w:color="auto" w:fill="auto"/>
            <w:vAlign w:val="center"/>
          </w:tcPr>
          <w:p w14:paraId="3693EF57" w14:textId="77777777" w:rsidR="003734EC" w:rsidRDefault="003734EC">
            <w:pPr>
              <w:rPr>
                <w:rFonts w:ascii="宋体"/>
              </w:rPr>
            </w:pPr>
          </w:p>
        </w:tc>
        <w:tc>
          <w:tcPr>
            <w:tcW w:w="0" w:type="auto"/>
            <w:shd w:val="clear" w:color="auto" w:fill="auto"/>
            <w:vAlign w:val="center"/>
          </w:tcPr>
          <w:p w14:paraId="3693EF58" w14:textId="77777777" w:rsidR="003734EC" w:rsidRDefault="003734EC">
            <w:pPr>
              <w:rPr>
                <w:rFonts w:ascii="宋体"/>
              </w:rPr>
            </w:pPr>
          </w:p>
        </w:tc>
        <w:tc>
          <w:tcPr>
            <w:tcW w:w="0" w:type="auto"/>
            <w:shd w:val="clear" w:color="auto" w:fill="auto"/>
            <w:vAlign w:val="center"/>
          </w:tcPr>
          <w:p w14:paraId="3693EF59" w14:textId="77777777" w:rsidR="003734EC" w:rsidRDefault="003734EC">
            <w:pPr>
              <w:rPr>
                <w:rFonts w:ascii="宋体"/>
              </w:rPr>
            </w:pPr>
          </w:p>
        </w:tc>
        <w:tc>
          <w:tcPr>
            <w:tcW w:w="0" w:type="auto"/>
            <w:shd w:val="clear" w:color="auto" w:fill="auto"/>
            <w:vAlign w:val="center"/>
          </w:tcPr>
          <w:p w14:paraId="3693EF5A" w14:textId="77777777" w:rsidR="003734EC" w:rsidRDefault="003734EC">
            <w:pPr>
              <w:rPr>
                <w:rFonts w:ascii="宋体"/>
              </w:rPr>
            </w:pPr>
          </w:p>
        </w:tc>
        <w:tc>
          <w:tcPr>
            <w:tcW w:w="0" w:type="auto"/>
            <w:shd w:val="clear" w:color="auto" w:fill="auto"/>
            <w:vAlign w:val="center"/>
          </w:tcPr>
          <w:p w14:paraId="3693EF5B" w14:textId="77777777" w:rsidR="003734EC" w:rsidRDefault="003734EC">
            <w:pPr>
              <w:rPr>
                <w:rFonts w:ascii="宋体"/>
              </w:rPr>
            </w:pPr>
          </w:p>
        </w:tc>
        <w:tc>
          <w:tcPr>
            <w:tcW w:w="0" w:type="auto"/>
            <w:shd w:val="clear" w:color="auto" w:fill="auto"/>
            <w:vAlign w:val="center"/>
          </w:tcPr>
          <w:p w14:paraId="3693EF5C" w14:textId="77777777" w:rsidR="003734EC" w:rsidRDefault="003734EC">
            <w:pPr>
              <w:rPr>
                <w:rFonts w:ascii="宋体"/>
              </w:rPr>
            </w:pPr>
          </w:p>
        </w:tc>
        <w:tc>
          <w:tcPr>
            <w:tcW w:w="0" w:type="auto"/>
            <w:shd w:val="clear" w:color="auto" w:fill="auto"/>
            <w:vAlign w:val="center"/>
          </w:tcPr>
          <w:p w14:paraId="3693EF5D" w14:textId="77777777" w:rsidR="003734EC" w:rsidRDefault="003734EC">
            <w:pPr>
              <w:rPr>
                <w:rFonts w:ascii="宋体"/>
              </w:rPr>
            </w:pPr>
          </w:p>
        </w:tc>
        <w:tc>
          <w:tcPr>
            <w:tcW w:w="0" w:type="auto"/>
            <w:shd w:val="clear" w:color="auto" w:fill="auto"/>
            <w:vAlign w:val="center"/>
          </w:tcPr>
          <w:p w14:paraId="3693EF5E" w14:textId="77777777" w:rsidR="003734EC" w:rsidRDefault="003734EC">
            <w:pPr>
              <w:rPr>
                <w:rFonts w:ascii="宋体"/>
              </w:rPr>
            </w:pPr>
          </w:p>
        </w:tc>
        <w:tc>
          <w:tcPr>
            <w:tcW w:w="0" w:type="auto"/>
            <w:shd w:val="clear" w:color="auto" w:fill="auto"/>
            <w:vAlign w:val="center"/>
          </w:tcPr>
          <w:p w14:paraId="3693EF5F" w14:textId="77777777" w:rsidR="003734EC" w:rsidRDefault="003734EC">
            <w:pPr>
              <w:rPr>
                <w:rFonts w:ascii="宋体"/>
              </w:rPr>
            </w:pPr>
          </w:p>
        </w:tc>
        <w:tc>
          <w:tcPr>
            <w:tcW w:w="0" w:type="auto"/>
            <w:shd w:val="clear" w:color="auto" w:fill="auto"/>
            <w:vAlign w:val="center"/>
          </w:tcPr>
          <w:p w14:paraId="3693EF60" w14:textId="77777777" w:rsidR="003734EC" w:rsidRDefault="003734EC">
            <w:pPr>
              <w:rPr>
                <w:rFonts w:ascii="宋体"/>
              </w:rPr>
            </w:pPr>
          </w:p>
        </w:tc>
        <w:tc>
          <w:tcPr>
            <w:tcW w:w="0" w:type="auto"/>
            <w:shd w:val="clear" w:color="auto" w:fill="auto"/>
            <w:vAlign w:val="center"/>
          </w:tcPr>
          <w:p w14:paraId="3693EF61" w14:textId="77777777" w:rsidR="003734EC" w:rsidRDefault="003734EC">
            <w:pPr>
              <w:rPr>
                <w:rFonts w:ascii="宋体"/>
              </w:rPr>
            </w:pPr>
          </w:p>
        </w:tc>
        <w:tc>
          <w:tcPr>
            <w:tcW w:w="0" w:type="auto"/>
            <w:shd w:val="clear" w:color="auto" w:fill="auto"/>
            <w:vAlign w:val="center"/>
          </w:tcPr>
          <w:p w14:paraId="3693EF62" w14:textId="77777777" w:rsidR="003734EC" w:rsidRDefault="003734EC">
            <w:pPr>
              <w:rPr>
                <w:rFonts w:ascii="宋体"/>
              </w:rPr>
            </w:pPr>
          </w:p>
        </w:tc>
        <w:tc>
          <w:tcPr>
            <w:tcW w:w="0" w:type="auto"/>
            <w:shd w:val="clear" w:color="auto" w:fill="auto"/>
            <w:vAlign w:val="center"/>
          </w:tcPr>
          <w:p w14:paraId="3693EF63" w14:textId="77777777" w:rsidR="003734EC" w:rsidRDefault="003734EC">
            <w:pPr>
              <w:rPr>
                <w:rFonts w:ascii="宋体"/>
              </w:rPr>
            </w:pPr>
          </w:p>
        </w:tc>
        <w:tc>
          <w:tcPr>
            <w:tcW w:w="0" w:type="auto"/>
            <w:shd w:val="clear" w:color="auto" w:fill="auto"/>
            <w:vAlign w:val="center"/>
          </w:tcPr>
          <w:p w14:paraId="3693EF64" w14:textId="77777777" w:rsidR="003734EC" w:rsidRDefault="003734EC">
            <w:pPr>
              <w:rPr>
                <w:rFonts w:ascii="宋体"/>
              </w:rPr>
            </w:pPr>
          </w:p>
        </w:tc>
      </w:tr>
      <w:tr w:rsidR="003734EC" w14:paraId="3693EF90" w14:textId="77777777">
        <w:tc>
          <w:tcPr>
            <w:tcW w:w="0" w:type="auto"/>
            <w:gridSpan w:val="3"/>
            <w:shd w:val="clear" w:color="auto" w:fill="FFFFFF"/>
            <w:tcMar>
              <w:top w:w="40" w:type="dxa"/>
              <w:left w:w="20" w:type="dxa"/>
              <w:bottom w:w="40" w:type="dxa"/>
              <w:right w:w="20" w:type="dxa"/>
            </w:tcMar>
            <w:vAlign w:val="bottom"/>
          </w:tcPr>
          <w:p w14:paraId="3693EF66" w14:textId="77777777" w:rsidR="003734EC" w:rsidRDefault="000E364E">
            <w:pPr>
              <w:textAlignment w:val="bottom"/>
            </w:pPr>
            <w:r>
              <w:rPr>
                <w:rFonts w:ascii="sans-serif" w:eastAsia="sans-serif" w:hAnsi="sans-serif" w:cs="sans-serif"/>
                <w:color w:val="000000"/>
                <w:sz w:val="20"/>
                <w:szCs w:val="20"/>
              </w:rPr>
              <w:t>Patents and licensed technology</w:t>
            </w:r>
          </w:p>
        </w:tc>
        <w:tc>
          <w:tcPr>
            <w:tcW w:w="0" w:type="auto"/>
            <w:gridSpan w:val="2"/>
            <w:shd w:val="clear" w:color="auto" w:fill="FFFFFF"/>
            <w:tcMar>
              <w:top w:w="40" w:type="dxa"/>
              <w:left w:w="20" w:type="dxa"/>
              <w:bottom w:w="40" w:type="dxa"/>
              <w:right w:w="0" w:type="dxa"/>
            </w:tcMar>
            <w:vAlign w:val="bottom"/>
          </w:tcPr>
          <w:p w14:paraId="3693EF67" w14:textId="77777777" w:rsidR="003734EC" w:rsidRDefault="000E364E">
            <w:pPr>
              <w:jc w:val="right"/>
              <w:textAlignment w:val="bottom"/>
            </w:pPr>
            <w:r>
              <w:rPr>
                <w:rFonts w:ascii="sans-serif" w:eastAsia="sans-serif" w:hAnsi="sans-serif" w:cs="sans-serif"/>
                <w:color w:val="000000"/>
                <w:sz w:val="20"/>
                <w:szCs w:val="20"/>
              </w:rPr>
              <w:t>522 </w:t>
            </w:r>
          </w:p>
        </w:tc>
        <w:tc>
          <w:tcPr>
            <w:tcW w:w="0" w:type="auto"/>
            <w:shd w:val="clear" w:color="auto" w:fill="FFFFFF"/>
            <w:tcMar>
              <w:top w:w="40" w:type="dxa"/>
              <w:bottom w:w="40" w:type="dxa"/>
              <w:right w:w="20" w:type="dxa"/>
            </w:tcMar>
            <w:vAlign w:val="bottom"/>
          </w:tcPr>
          <w:p w14:paraId="3693EF6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6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6A" w14:textId="77777777" w:rsidR="003734EC" w:rsidRDefault="000E364E">
            <w:pPr>
              <w:jc w:val="right"/>
              <w:textAlignment w:val="bottom"/>
            </w:pPr>
            <w:r>
              <w:rPr>
                <w:rFonts w:ascii="sans-serif" w:eastAsia="sans-serif" w:hAnsi="sans-serif" w:cs="sans-serif"/>
                <w:color w:val="000000"/>
                <w:sz w:val="20"/>
                <w:szCs w:val="20"/>
              </w:rPr>
              <w:t>(478)</w:t>
            </w:r>
          </w:p>
        </w:tc>
        <w:tc>
          <w:tcPr>
            <w:tcW w:w="0" w:type="auto"/>
            <w:shd w:val="clear" w:color="auto" w:fill="FFFFFF"/>
            <w:tcMar>
              <w:top w:w="40" w:type="dxa"/>
              <w:bottom w:w="40" w:type="dxa"/>
              <w:right w:w="20" w:type="dxa"/>
            </w:tcMar>
            <w:vAlign w:val="bottom"/>
          </w:tcPr>
          <w:p w14:paraId="3693EF6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6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6D" w14:textId="77777777" w:rsidR="003734EC" w:rsidRDefault="000E364E">
            <w:pPr>
              <w:jc w:val="right"/>
              <w:textAlignment w:val="bottom"/>
            </w:pPr>
            <w:r>
              <w:rPr>
                <w:rFonts w:ascii="sans-serif" w:eastAsia="sans-serif" w:hAnsi="sans-serif" w:cs="sans-serif"/>
                <w:color w:val="000000"/>
                <w:sz w:val="20"/>
                <w:szCs w:val="20"/>
              </w:rPr>
              <w:t>44 </w:t>
            </w:r>
          </w:p>
        </w:tc>
        <w:tc>
          <w:tcPr>
            <w:tcW w:w="0" w:type="auto"/>
            <w:shd w:val="clear" w:color="auto" w:fill="FFFFFF"/>
            <w:tcMar>
              <w:top w:w="40" w:type="dxa"/>
              <w:bottom w:w="40" w:type="dxa"/>
              <w:right w:w="20" w:type="dxa"/>
            </w:tcMar>
            <w:vAlign w:val="bottom"/>
          </w:tcPr>
          <w:p w14:paraId="3693EF6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6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70" w14:textId="77777777" w:rsidR="003734EC" w:rsidRDefault="000E364E">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bottom w:w="40" w:type="dxa"/>
              <w:right w:w="20" w:type="dxa"/>
            </w:tcMar>
            <w:vAlign w:val="bottom"/>
          </w:tcPr>
          <w:p w14:paraId="3693EF7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7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73" w14:textId="77777777" w:rsidR="003734EC" w:rsidRDefault="000E364E">
            <w:pPr>
              <w:jc w:val="right"/>
              <w:textAlignment w:val="bottom"/>
            </w:pPr>
            <w:r>
              <w:rPr>
                <w:rFonts w:ascii="sans-serif" w:eastAsia="sans-serif" w:hAnsi="sans-serif" w:cs="sans-serif"/>
                <w:color w:val="000000"/>
                <w:sz w:val="20"/>
                <w:szCs w:val="20"/>
              </w:rPr>
              <w:t>(474)</w:t>
            </w:r>
          </w:p>
        </w:tc>
        <w:tc>
          <w:tcPr>
            <w:tcW w:w="0" w:type="auto"/>
            <w:shd w:val="clear" w:color="auto" w:fill="FFFFFF"/>
            <w:tcMar>
              <w:top w:w="40" w:type="dxa"/>
              <w:bottom w:w="40" w:type="dxa"/>
              <w:right w:w="20" w:type="dxa"/>
            </w:tcMar>
            <w:vAlign w:val="bottom"/>
          </w:tcPr>
          <w:p w14:paraId="3693EF7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7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76" w14:textId="77777777" w:rsidR="003734EC" w:rsidRDefault="000E364E">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bottom w:w="40" w:type="dxa"/>
              <w:right w:w="20" w:type="dxa"/>
            </w:tcMar>
            <w:vAlign w:val="bottom"/>
          </w:tcPr>
          <w:p w14:paraId="3693EF7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F78" w14:textId="77777777" w:rsidR="003734EC" w:rsidRDefault="003734EC">
            <w:pPr>
              <w:rPr>
                <w:rFonts w:ascii="宋体"/>
              </w:rPr>
            </w:pPr>
          </w:p>
        </w:tc>
        <w:tc>
          <w:tcPr>
            <w:tcW w:w="0" w:type="auto"/>
            <w:shd w:val="clear" w:color="auto" w:fill="auto"/>
            <w:vAlign w:val="center"/>
          </w:tcPr>
          <w:p w14:paraId="3693EF79" w14:textId="77777777" w:rsidR="003734EC" w:rsidRDefault="003734EC">
            <w:pPr>
              <w:rPr>
                <w:rFonts w:ascii="宋体"/>
              </w:rPr>
            </w:pPr>
          </w:p>
        </w:tc>
        <w:tc>
          <w:tcPr>
            <w:tcW w:w="0" w:type="auto"/>
            <w:shd w:val="clear" w:color="auto" w:fill="auto"/>
            <w:vAlign w:val="center"/>
          </w:tcPr>
          <w:p w14:paraId="3693EF7A" w14:textId="77777777" w:rsidR="003734EC" w:rsidRDefault="003734EC">
            <w:pPr>
              <w:rPr>
                <w:rFonts w:ascii="宋体"/>
              </w:rPr>
            </w:pPr>
          </w:p>
        </w:tc>
        <w:tc>
          <w:tcPr>
            <w:tcW w:w="0" w:type="auto"/>
            <w:shd w:val="clear" w:color="auto" w:fill="auto"/>
            <w:vAlign w:val="center"/>
          </w:tcPr>
          <w:p w14:paraId="3693EF7B" w14:textId="77777777" w:rsidR="003734EC" w:rsidRDefault="003734EC">
            <w:pPr>
              <w:rPr>
                <w:rFonts w:ascii="宋体"/>
              </w:rPr>
            </w:pPr>
          </w:p>
        </w:tc>
        <w:tc>
          <w:tcPr>
            <w:tcW w:w="0" w:type="auto"/>
            <w:shd w:val="clear" w:color="auto" w:fill="auto"/>
            <w:vAlign w:val="center"/>
          </w:tcPr>
          <w:p w14:paraId="3693EF7C" w14:textId="77777777" w:rsidR="003734EC" w:rsidRDefault="003734EC">
            <w:pPr>
              <w:rPr>
                <w:rFonts w:ascii="宋体"/>
              </w:rPr>
            </w:pPr>
          </w:p>
        </w:tc>
        <w:tc>
          <w:tcPr>
            <w:tcW w:w="0" w:type="auto"/>
            <w:shd w:val="clear" w:color="auto" w:fill="auto"/>
            <w:vAlign w:val="center"/>
          </w:tcPr>
          <w:p w14:paraId="3693EF7D" w14:textId="77777777" w:rsidR="003734EC" w:rsidRDefault="003734EC">
            <w:pPr>
              <w:rPr>
                <w:rFonts w:ascii="宋体"/>
              </w:rPr>
            </w:pPr>
          </w:p>
        </w:tc>
        <w:tc>
          <w:tcPr>
            <w:tcW w:w="0" w:type="auto"/>
            <w:shd w:val="clear" w:color="auto" w:fill="auto"/>
            <w:vAlign w:val="center"/>
          </w:tcPr>
          <w:p w14:paraId="3693EF7E" w14:textId="77777777" w:rsidR="003734EC" w:rsidRDefault="003734EC">
            <w:pPr>
              <w:rPr>
                <w:rFonts w:ascii="宋体"/>
              </w:rPr>
            </w:pPr>
          </w:p>
        </w:tc>
        <w:tc>
          <w:tcPr>
            <w:tcW w:w="0" w:type="auto"/>
            <w:shd w:val="clear" w:color="auto" w:fill="auto"/>
            <w:vAlign w:val="center"/>
          </w:tcPr>
          <w:p w14:paraId="3693EF7F" w14:textId="77777777" w:rsidR="003734EC" w:rsidRDefault="003734EC">
            <w:pPr>
              <w:rPr>
                <w:rFonts w:ascii="宋体"/>
              </w:rPr>
            </w:pPr>
          </w:p>
        </w:tc>
        <w:tc>
          <w:tcPr>
            <w:tcW w:w="0" w:type="auto"/>
            <w:shd w:val="clear" w:color="auto" w:fill="auto"/>
            <w:vAlign w:val="center"/>
          </w:tcPr>
          <w:p w14:paraId="3693EF80" w14:textId="77777777" w:rsidR="003734EC" w:rsidRDefault="003734EC">
            <w:pPr>
              <w:rPr>
                <w:rFonts w:ascii="宋体"/>
              </w:rPr>
            </w:pPr>
          </w:p>
        </w:tc>
        <w:tc>
          <w:tcPr>
            <w:tcW w:w="0" w:type="auto"/>
            <w:shd w:val="clear" w:color="auto" w:fill="auto"/>
            <w:vAlign w:val="center"/>
          </w:tcPr>
          <w:p w14:paraId="3693EF81" w14:textId="77777777" w:rsidR="003734EC" w:rsidRDefault="003734EC">
            <w:pPr>
              <w:rPr>
                <w:rFonts w:ascii="宋体"/>
              </w:rPr>
            </w:pPr>
          </w:p>
        </w:tc>
        <w:tc>
          <w:tcPr>
            <w:tcW w:w="0" w:type="auto"/>
            <w:shd w:val="clear" w:color="auto" w:fill="auto"/>
            <w:vAlign w:val="center"/>
          </w:tcPr>
          <w:p w14:paraId="3693EF82" w14:textId="77777777" w:rsidR="003734EC" w:rsidRDefault="003734EC">
            <w:pPr>
              <w:rPr>
                <w:rFonts w:ascii="宋体"/>
              </w:rPr>
            </w:pPr>
          </w:p>
        </w:tc>
        <w:tc>
          <w:tcPr>
            <w:tcW w:w="0" w:type="auto"/>
            <w:shd w:val="clear" w:color="auto" w:fill="auto"/>
            <w:vAlign w:val="center"/>
          </w:tcPr>
          <w:p w14:paraId="3693EF83" w14:textId="77777777" w:rsidR="003734EC" w:rsidRDefault="003734EC">
            <w:pPr>
              <w:rPr>
                <w:rFonts w:ascii="宋体"/>
              </w:rPr>
            </w:pPr>
          </w:p>
        </w:tc>
        <w:tc>
          <w:tcPr>
            <w:tcW w:w="0" w:type="auto"/>
            <w:shd w:val="clear" w:color="auto" w:fill="auto"/>
            <w:vAlign w:val="center"/>
          </w:tcPr>
          <w:p w14:paraId="3693EF84" w14:textId="77777777" w:rsidR="003734EC" w:rsidRDefault="003734EC">
            <w:pPr>
              <w:rPr>
                <w:rFonts w:ascii="宋体"/>
              </w:rPr>
            </w:pPr>
          </w:p>
        </w:tc>
        <w:tc>
          <w:tcPr>
            <w:tcW w:w="0" w:type="auto"/>
            <w:shd w:val="clear" w:color="auto" w:fill="auto"/>
            <w:vAlign w:val="center"/>
          </w:tcPr>
          <w:p w14:paraId="3693EF85" w14:textId="77777777" w:rsidR="003734EC" w:rsidRDefault="003734EC">
            <w:pPr>
              <w:rPr>
                <w:rFonts w:ascii="宋体"/>
              </w:rPr>
            </w:pPr>
          </w:p>
        </w:tc>
        <w:tc>
          <w:tcPr>
            <w:tcW w:w="0" w:type="auto"/>
            <w:shd w:val="clear" w:color="auto" w:fill="auto"/>
            <w:vAlign w:val="center"/>
          </w:tcPr>
          <w:p w14:paraId="3693EF86" w14:textId="77777777" w:rsidR="003734EC" w:rsidRDefault="003734EC">
            <w:pPr>
              <w:rPr>
                <w:rFonts w:ascii="宋体"/>
              </w:rPr>
            </w:pPr>
          </w:p>
        </w:tc>
        <w:tc>
          <w:tcPr>
            <w:tcW w:w="0" w:type="auto"/>
            <w:shd w:val="clear" w:color="auto" w:fill="auto"/>
            <w:vAlign w:val="center"/>
          </w:tcPr>
          <w:p w14:paraId="3693EF87" w14:textId="77777777" w:rsidR="003734EC" w:rsidRDefault="003734EC">
            <w:pPr>
              <w:rPr>
                <w:rFonts w:ascii="宋体"/>
              </w:rPr>
            </w:pPr>
          </w:p>
        </w:tc>
        <w:tc>
          <w:tcPr>
            <w:tcW w:w="0" w:type="auto"/>
            <w:shd w:val="clear" w:color="auto" w:fill="auto"/>
            <w:vAlign w:val="center"/>
          </w:tcPr>
          <w:p w14:paraId="3693EF88" w14:textId="77777777" w:rsidR="003734EC" w:rsidRDefault="003734EC">
            <w:pPr>
              <w:rPr>
                <w:rFonts w:ascii="宋体"/>
              </w:rPr>
            </w:pPr>
          </w:p>
        </w:tc>
        <w:tc>
          <w:tcPr>
            <w:tcW w:w="0" w:type="auto"/>
            <w:shd w:val="clear" w:color="auto" w:fill="auto"/>
            <w:vAlign w:val="center"/>
          </w:tcPr>
          <w:p w14:paraId="3693EF89" w14:textId="77777777" w:rsidR="003734EC" w:rsidRDefault="003734EC">
            <w:pPr>
              <w:rPr>
                <w:rFonts w:ascii="宋体"/>
              </w:rPr>
            </w:pPr>
          </w:p>
        </w:tc>
        <w:tc>
          <w:tcPr>
            <w:tcW w:w="0" w:type="auto"/>
            <w:shd w:val="clear" w:color="auto" w:fill="auto"/>
            <w:vAlign w:val="center"/>
          </w:tcPr>
          <w:p w14:paraId="3693EF8A" w14:textId="77777777" w:rsidR="003734EC" w:rsidRDefault="003734EC">
            <w:pPr>
              <w:rPr>
                <w:rFonts w:ascii="宋体"/>
              </w:rPr>
            </w:pPr>
          </w:p>
        </w:tc>
        <w:tc>
          <w:tcPr>
            <w:tcW w:w="0" w:type="auto"/>
            <w:shd w:val="clear" w:color="auto" w:fill="auto"/>
            <w:vAlign w:val="center"/>
          </w:tcPr>
          <w:p w14:paraId="3693EF8B" w14:textId="77777777" w:rsidR="003734EC" w:rsidRDefault="003734EC">
            <w:pPr>
              <w:rPr>
                <w:rFonts w:ascii="宋体"/>
              </w:rPr>
            </w:pPr>
          </w:p>
        </w:tc>
        <w:tc>
          <w:tcPr>
            <w:tcW w:w="0" w:type="auto"/>
            <w:shd w:val="clear" w:color="auto" w:fill="auto"/>
            <w:vAlign w:val="center"/>
          </w:tcPr>
          <w:p w14:paraId="3693EF8C" w14:textId="77777777" w:rsidR="003734EC" w:rsidRDefault="003734EC">
            <w:pPr>
              <w:rPr>
                <w:rFonts w:ascii="宋体"/>
              </w:rPr>
            </w:pPr>
          </w:p>
        </w:tc>
        <w:tc>
          <w:tcPr>
            <w:tcW w:w="0" w:type="auto"/>
            <w:shd w:val="clear" w:color="auto" w:fill="auto"/>
            <w:vAlign w:val="center"/>
          </w:tcPr>
          <w:p w14:paraId="3693EF8D" w14:textId="77777777" w:rsidR="003734EC" w:rsidRDefault="003734EC">
            <w:pPr>
              <w:rPr>
                <w:rFonts w:ascii="宋体"/>
              </w:rPr>
            </w:pPr>
          </w:p>
        </w:tc>
        <w:tc>
          <w:tcPr>
            <w:tcW w:w="0" w:type="auto"/>
            <w:shd w:val="clear" w:color="auto" w:fill="auto"/>
            <w:vAlign w:val="center"/>
          </w:tcPr>
          <w:p w14:paraId="3693EF8E" w14:textId="77777777" w:rsidR="003734EC" w:rsidRDefault="003734EC">
            <w:pPr>
              <w:rPr>
                <w:rFonts w:ascii="宋体"/>
              </w:rPr>
            </w:pPr>
          </w:p>
        </w:tc>
        <w:tc>
          <w:tcPr>
            <w:tcW w:w="0" w:type="auto"/>
            <w:shd w:val="clear" w:color="auto" w:fill="auto"/>
            <w:vAlign w:val="center"/>
          </w:tcPr>
          <w:p w14:paraId="3693EF8F" w14:textId="77777777" w:rsidR="003734EC" w:rsidRDefault="003734EC">
            <w:pPr>
              <w:rPr>
                <w:rFonts w:ascii="宋体"/>
              </w:rPr>
            </w:pPr>
          </w:p>
        </w:tc>
      </w:tr>
      <w:tr w:rsidR="003734EC" w14:paraId="3693EFC1" w14:textId="77777777">
        <w:tc>
          <w:tcPr>
            <w:tcW w:w="0" w:type="auto"/>
            <w:gridSpan w:val="3"/>
            <w:shd w:val="clear" w:color="auto" w:fill="E2EFD9"/>
            <w:tcMar>
              <w:top w:w="40" w:type="dxa"/>
              <w:left w:w="20" w:type="dxa"/>
              <w:bottom w:w="40" w:type="dxa"/>
              <w:right w:w="20" w:type="dxa"/>
            </w:tcMar>
            <w:vAlign w:val="bottom"/>
          </w:tcPr>
          <w:p w14:paraId="3693EF91" w14:textId="77777777" w:rsidR="003734EC" w:rsidRDefault="000E364E">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92"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93" w14:textId="77777777" w:rsidR="003734EC" w:rsidRDefault="000E364E">
            <w:pPr>
              <w:jc w:val="right"/>
              <w:textAlignment w:val="bottom"/>
            </w:pPr>
            <w:r>
              <w:rPr>
                <w:rFonts w:ascii="sans-serif" w:eastAsia="sans-serif" w:hAnsi="sans-serif" w:cs="sans-serif"/>
                <w:color w:val="000000"/>
                <w:sz w:val="20"/>
                <w:szCs w:val="20"/>
              </w:rPr>
              <w:t>753 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9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95"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96"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97" w14:textId="77777777" w:rsidR="003734EC" w:rsidRDefault="000E364E">
            <w:pPr>
              <w:jc w:val="right"/>
              <w:textAlignment w:val="bottom"/>
            </w:pPr>
            <w:r>
              <w:rPr>
                <w:rFonts w:ascii="sans-serif" w:eastAsia="sans-serif" w:hAnsi="sans-serif" w:cs="sans-serif"/>
                <w:color w:val="000000"/>
                <w:sz w:val="20"/>
                <w:szCs w:val="20"/>
              </w:rPr>
              <w:t>(</w:t>
            </w:r>
            <w:r>
              <w:rPr>
                <w:rFonts w:ascii="sans-serif" w:eastAsia="sans-serif" w:hAnsi="sans-serif" w:cs="sans-serif"/>
                <w:color w:val="000000"/>
                <w:sz w:val="20"/>
                <w:szCs w:val="20"/>
              </w:rPr>
              <w:t>673)</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9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99"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9A"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9B" w14:textId="77777777" w:rsidR="003734EC" w:rsidRDefault="000E364E">
            <w:pPr>
              <w:jc w:val="right"/>
              <w:textAlignment w:val="bottom"/>
            </w:pPr>
            <w:r>
              <w:rPr>
                <w:rFonts w:ascii="sans-serif" w:eastAsia="sans-serif" w:hAnsi="sans-serif" w:cs="sans-serif"/>
                <w:color w:val="000000"/>
                <w:sz w:val="20"/>
                <w:szCs w:val="20"/>
              </w:rPr>
              <w:t>80 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9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9D"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9E"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9F" w14:textId="77777777" w:rsidR="003734EC" w:rsidRDefault="000E364E">
            <w:pPr>
              <w:jc w:val="right"/>
              <w:textAlignment w:val="bottom"/>
            </w:pPr>
            <w:r>
              <w:rPr>
                <w:rFonts w:ascii="sans-serif" w:eastAsia="sans-serif" w:hAnsi="sans-serif" w:cs="sans-serif"/>
                <w:color w:val="000000"/>
                <w:sz w:val="20"/>
                <w:szCs w:val="20"/>
              </w:rPr>
              <w:t>715 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A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A1"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A2"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A3" w14:textId="77777777" w:rsidR="003734EC" w:rsidRDefault="000E364E">
            <w:pPr>
              <w:jc w:val="right"/>
              <w:textAlignment w:val="bottom"/>
            </w:pPr>
            <w:r>
              <w:rPr>
                <w:rFonts w:ascii="sans-serif" w:eastAsia="sans-serif" w:hAnsi="sans-serif" w:cs="sans-serif"/>
                <w:color w:val="000000"/>
                <w:sz w:val="20"/>
                <w:szCs w:val="20"/>
              </w:rPr>
              <w:t>(666)</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A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A5"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EFA6"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EFA7" w14:textId="77777777" w:rsidR="003734EC" w:rsidRDefault="000E364E">
            <w:pPr>
              <w:jc w:val="right"/>
              <w:textAlignment w:val="bottom"/>
            </w:pPr>
            <w:r>
              <w:rPr>
                <w:rFonts w:ascii="sans-serif" w:eastAsia="sans-serif" w:hAnsi="sans-serif" w:cs="sans-serif"/>
                <w:color w:val="000000"/>
                <w:sz w:val="20"/>
                <w:szCs w:val="20"/>
              </w:rPr>
              <w:t>49 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EFA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FA9" w14:textId="77777777" w:rsidR="003734EC" w:rsidRDefault="003734EC">
            <w:pPr>
              <w:rPr>
                <w:rFonts w:ascii="宋体"/>
              </w:rPr>
            </w:pPr>
          </w:p>
        </w:tc>
        <w:tc>
          <w:tcPr>
            <w:tcW w:w="0" w:type="auto"/>
            <w:shd w:val="clear" w:color="auto" w:fill="auto"/>
            <w:vAlign w:val="center"/>
          </w:tcPr>
          <w:p w14:paraId="3693EFAA" w14:textId="77777777" w:rsidR="003734EC" w:rsidRDefault="003734EC">
            <w:pPr>
              <w:rPr>
                <w:rFonts w:ascii="宋体"/>
              </w:rPr>
            </w:pPr>
          </w:p>
        </w:tc>
        <w:tc>
          <w:tcPr>
            <w:tcW w:w="0" w:type="auto"/>
            <w:shd w:val="clear" w:color="auto" w:fill="auto"/>
            <w:vAlign w:val="center"/>
          </w:tcPr>
          <w:p w14:paraId="3693EFAB" w14:textId="77777777" w:rsidR="003734EC" w:rsidRDefault="003734EC">
            <w:pPr>
              <w:rPr>
                <w:rFonts w:ascii="宋体"/>
              </w:rPr>
            </w:pPr>
          </w:p>
        </w:tc>
        <w:tc>
          <w:tcPr>
            <w:tcW w:w="0" w:type="auto"/>
            <w:shd w:val="clear" w:color="auto" w:fill="auto"/>
            <w:vAlign w:val="center"/>
          </w:tcPr>
          <w:p w14:paraId="3693EFAC" w14:textId="77777777" w:rsidR="003734EC" w:rsidRDefault="003734EC">
            <w:pPr>
              <w:rPr>
                <w:rFonts w:ascii="宋体"/>
              </w:rPr>
            </w:pPr>
          </w:p>
        </w:tc>
        <w:tc>
          <w:tcPr>
            <w:tcW w:w="0" w:type="auto"/>
            <w:shd w:val="clear" w:color="auto" w:fill="auto"/>
            <w:vAlign w:val="center"/>
          </w:tcPr>
          <w:p w14:paraId="3693EFAD" w14:textId="77777777" w:rsidR="003734EC" w:rsidRDefault="003734EC">
            <w:pPr>
              <w:rPr>
                <w:rFonts w:ascii="宋体"/>
              </w:rPr>
            </w:pPr>
          </w:p>
        </w:tc>
        <w:tc>
          <w:tcPr>
            <w:tcW w:w="0" w:type="auto"/>
            <w:shd w:val="clear" w:color="auto" w:fill="auto"/>
            <w:vAlign w:val="center"/>
          </w:tcPr>
          <w:p w14:paraId="3693EFAE" w14:textId="77777777" w:rsidR="003734EC" w:rsidRDefault="003734EC">
            <w:pPr>
              <w:rPr>
                <w:rFonts w:ascii="宋体"/>
              </w:rPr>
            </w:pPr>
          </w:p>
        </w:tc>
        <w:tc>
          <w:tcPr>
            <w:tcW w:w="0" w:type="auto"/>
            <w:shd w:val="clear" w:color="auto" w:fill="auto"/>
            <w:vAlign w:val="center"/>
          </w:tcPr>
          <w:p w14:paraId="3693EFAF" w14:textId="77777777" w:rsidR="003734EC" w:rsidRDefault="003734EC">
            <w:pPr>
              <w:rPr>
                <w:rFonts w:ascii="宋体"/>
              </w:rPr>
            </w:pPr>
          </w:p>
        </w:tc>
        <w:tc>
          <w:tcPr>
            <w:tcW w:w="0" w:type="auto"/>
            <w:shd w:val="clear" w:color="auto" w:fill="auto"/>
            <w:vAlign w:val="center"/>
          </w:tcPr>
          <w:p w14:paraId="3693EFB0" w14:textId="77777777" w:rsidR="003734EC" w:rsidRDefault="003734EC">
            <w:pPr>
              <w:rPr>
                <w:rFonts w:ascii="宋体"/>
              </w:rPr>
            </w:pPr>
          </w:p>
        </w:tc>
        <w:tc>
          <w:tcPr>
            <w:tcW w:w="0" w:type="auto"/>
            <w:shd w:val="clear" w:color="auto" w:fill="auto"/>
            <w:vAlign w:val="center"/>
          </w:tcPr>
          <w:p w14:paraId="3693EFB1" w14:textId="77777777" w:rsidR="003734EC" w:rsidRDefault="003734EC">
            <w:pPr>
              <w:rPr>
                <w:rFonts w:ascii="宋体"/>
              </w:rPr>
            </w:pPr>
          </w:p>
        </w:tc>
        <w:tc>
          <w:tcPr>
            <w:tcW w:w="0" w:type="auto"/>
            <w:shd w:val="clear" w:color="auto" w:fill="auto"/>
            <w:vAlign w:val="center"/>
          </w:tcPr>
          <w:p w14:paraId="3693EFB2" w14:textId="77777777" w:rsidR="003734EC" w:rsidRDefault="003734EC">
            <w:pPr>
              <w:rPr>
                <w:rFonts w:ascii="宋体"/>
              </w:rPr>
            </w:pPr>
          </w:p>
        </w:tc>
        <w:tc>
          <w:tcPr>
            <w:tcW w:w="0" w:type="auto"/>
            <w:shd w:val="clear" w:color="auto" w:fill="auto"/>
            <w:vAlign w:val="center"/>
          </w:tcPr>
          <w:p w14:paraId="3693EFB3" w14:textId="77777777" w:rsidR="003734EC" w:rsidRDefault="003734EC">
            <w:pPr>
              <w:rPr>
                <w:rFonts w:ascii="宋体"/>
              </w:rPr>
            </w:pPr>
          </w:p>
        </w:tc>
        <w:tc>
          <w:tcPr>
            <w:tcW w:w="0" w:type="auto"/>
            <w:shd w:val="clear" w:color="auto" w:fill="auto"/>
            <w:vAlign w:val="center"/>
          </w:tcPr>
          <w:p w14:paraId="3693EFB4" w14:textId="77777777" w:rsidR="003734EC" w:rsidRDefault="003734EC">
            <w:pPr>
              <w:rPr>
                <w:rFonts w:ascii="宋体"/>
              </w:rPr>
            </w:pPr>
          </w:p>
        </w:tc>
        <w:tc>
          <w:tcPr>
            <w:tcW w:w="0" w:type="auto"/>
            <w:shd w:val="clear" w:color="auto" w:fill="auto"/>
            <w:vAlign w:val="center"/>
          </w:tcPr>
          <w:p w14:paraId="3693EFB5" w14:textId="77777777" w:rsidR="003734EC" w:rsidRDefault="003734EC">
            <w:pPr>
              <w:rPr>
                <w:rFonts w:ascii="宋体"/>
              </w:rPr>
            </w:pPr>
          </w:p>
        </w:tc>
        <w:tc>
          <w:tcPr>
            <w:tcW w:w="0" w:type="auto"/>
            <w:shd w:val="clear" w:color="auto" w:fill="auto"/>
            <w:vAlign w:val="center"/>
          </w:tcPr>
          <w:p w14:paraId="3693EFB6" w14:textId="77777777" w:rsidR="003734EC" w:rsidRDefault="003734EC">
            <w:pPr>
              <w:rPr>
                <w:rFonts w:ascii="宋体"/>
              </w:rPr>
            </w:pPr>
          </w:p>
        </w:tc>
        <w:tc>
          <w:tcPr>
            <w:tcW w:w="0" w:type="auto"/>
            <w:shd w:val="clear" w:color="auto" w:fill="auto"/>
            <w:vAlign w:val="center"/>
          </w:tcPr>
          <w:p w14:paraId="3693EFB7" w14:textId="77777777" w:rsidR="003734EC" w:rsidRDefault="003734EC">
            <w:pPr>
              <w:rPr>
                <w:rFonts w:ascii="宋体"/>
              </w:rPr>
            </w:pPr>
          </w:p>
        </w:tc>
        <w:tc>
          <w:tcPr>
            <w:tcW w:w="0" w:type="auto"/>
            <w:shd w:val="clear" w:color="auto" w:fill="auto"/>
            <w:vAlign w:val="center"/>
          </w:tcPr>
          <w:p w14:paraId="3693EFB8" w14:textId="77777777" w:rsidR="003734EC" w:rsidRDefault="003734EC">
            <w:pPr>
              <w:rPr>
                <w:rFonts w:ascii="宋体"/>
              </w:rPr>
            </w:pPr>
          </w:p>
        </w:tc>
        <w:tc>
          <w:tcPr>
            <w:tcW w:w="0" w:type="auto"/>
            <w:shd w:val="clear" w:color="auto" w:fill="auto"/>
            <w:vAlign w:val="center"/>
          </w:tcPr>
          <w:p w14:paraId="3693EFB9" w14:textId="77777777" w:rsidR="003734EC" w:rsidRDefault="003734EC">
            <w:pPr>
              <w:rPr>
                <w:rFonts w:ascii="宋体"/>
              </w:rPr>
            </w:pPr>
          </w:p>
        </w:tc>
        <w:tc>
          <w:tcPr>
            <w:tcW w:w="0" w:type="auto"/>
            <w:shd w:val="clear" w:color="auto" w:fill="auto"/>
            <w:vAlign w:val="center"/>
          </w:tcPr>
          <w:p w14:paraId="3693EFBA" w14:textId="77777777" w:rsidR="003734EC" w:rsidRDefault="003734EC">
            <w:pPr>
              <w:rPr>
                <w:rFonts w:ascii="宋体"/>
              </w:rPr>
            </w:pPr>
          </w:p>
        </w:tc>
        <w:tc>
          <w:tcPr>
            <w:tcW w:w="0" w:type="auto"/>
            <w:shd w:val="clear" w:color="auto" w:fill="auto"/>
            <w:vAlign w:val="center"/>
          </w:tcPr>
          <w:p w14:paraId="3693EFBB" w14:textId="77777777" w:rsidR="003734EC" w:rsidRDefault="003734EC">
            <w:pPr>
              <w:rPr>
                <w:rFonts w:ascii="宋体"/>
              </w:rPr>
            </w:pPr>
          </w:p>
        </w:tc>
        <w:tc>
          <w:tcPr>
            <w:tcW w:w="0" w:type="auto"/>
            <w:shd w:val="clear" w:color="auto" w:fill="auto"/>
            <w:vAlign w:val="center"/>
          </w:tcPr>
          <w:p w14:paraId="3693EFBC" w14:textId="77777777" w:rsidR="003734EC" w:rsidRDefault="003734EC">
            <w:pPr>
              <w:rPr>
                <w:rFonts w:ascii="宋体"/>
              </w:rPr>
            </w:pPr>
          </w:p>
        </w:tc>
        <w:tc>
          <w:tcPr>
            <w:tcW w:w="0" w:type="auto"/>
            <w:shd w:val="clear" w:color="auto" w:fill="auto"/>
            <w:vAlign w:val="center"/>
          </w:tcPr>
          <w:p w14:paraId="3693EFBD" w14:textId="77777777" w:rsidR="003734EC" w:rsidRDefault="003734EC">
            <w:pPr>
              <w:rPr>
                <w:rFonts w:ascii="宋体"/>
              </w:rPr>
            </w:pPr>
          </w:p>
        </w:tc>
        <w:tc>
          <w:tcPr>
            <w:tcW w:w="0" w:type="auto"/>
            <w:shd w:val="clear" w:color="auto" w:fill="auto"/>
            <w:vAlign w:val="center"/>
          </w:tcPr>
          <w:p w14:paraId="3693EFBE" w14:textId="77777777" w:rsidR="003734EC" w:rsidRDefault="003734EC">
            <w:pPr>
              <w:rPr>
                <w:rFonts w:ascii="宋体"/>
              </w:rPr>
            </w:pPr>
          </w:p>
        </w:tc>
        <w:tc>
          <w:tcPr>
            <w:tcW w:w="0" w:type="auto"/>
            <w:shd w:val="clear" w:color="auto" w:fill="auto"/>
            <w:vAlign w:val="center"/>
          </w:tcPr>
          <w:p w14:paraId="3693EFBF" w14:textId="77777777" w:rsidR="003734EC" w:rsidRDefault="003734EC">
            <w:pPr>
              <w:rPr>
                <w:rFonts w:ascii="宋体"/>
              </w:rPr>
            </w:pPr>
          </w:p>
        </w:tc>
        <w:tc>
          <w:tcPr>
            <w:tcW w:w="0" w:type="auto"/>
            <w:shd w:val="clear" w:color="auto" w:fill="auto"/>
            <w:vAlign w:val="center"/>
          </w:tcPr>
          <w:p w14:paraId="3693EFC0" w14:textId="77777777" w:rsidR="003734EC" w:rsidRDefault="003734EC">
            <w:pPr>
              <w:rPr>
                <w:rFonts w:ascii="宋体"/>
              </w:rPr>
            </w:pPr>
          </w:p>
        </w:tc>
      </w:tr>
    </w:tbl>
    <w:p w14:paraId="3693EFC2" w14:textId="77777777" w:rsidR="003734EC" w:rsidRDefault="000E364E">
      <w:pPr>
        <w:spacing w:after="180"/>
        <w:jc w:val="both"/>
      </w:pPr>
      <w:r>
        <w:rPr>
          <w:rFonts w:ascii="sans-serif" w:eastAsia="sans-serif" w:hAnsi="sans-serif" w:cs="sans-serif"/>
          <w:color w:val="000000"/>
          <w:sz w:val="20"/>
          <w:szCs w:val="20"/>
        </w:rPr>
        <w:t>Amortization expense associated with intangible assets was $7 million for both the first quarters of fiscal years 2021 and 2020. Fut</w:t>
      </w:r>
      <w:r>
        <w:rPr>
          <w:rFonts w:ascii="sans-serif" w:eastAsia="sans-serif" w:hAnsi="sans-serif" w:cs="sans-serif"/>
          <w:color w:val="000000"/>
          <w:sz w:val="20"/>
          <w:szCs w:val="20"/>
        </w:rPr>
        <w:t>ure amortization expense related to the net carrying amount of intangible assets as of April 26, 2020 is estimated to be $20 million for the remainder of fiscal year 2021, $21 million in fiscal year 2022, $18 million in fiscal year 2023, $12 million in fis</w:t>
      </w:r>
      <w:r>
        <w:rPr>
          <w:rFonts w:ascii="sans-serif" w:eastAsia="sans-serif" w:hAnsi="sans-serif" w:cs="sans-serif"/>
          <w:color w:val="000000"/>
          <w:sz w:val="20"/>
          <w:szCs w:val="20"/>
        </w:rPr>
        <w:t xml:space="preserve">cal year 2024, $7 million in fiscal year 2025, and $2 million in fiscal year 2026 and thereafter. </w:t>
      </w:r>
    </w:p>
    <w:p w14:paraId="3693EFC3" w14:textId="77777777" w:rsidR="003734EC" w:rsidRDefault="003734EC">
      <w:pPr>
        <w:spacing w:before="180" w:after="120"/>
        <w:jc w:val="both"/>
      </w:pPr>
    </w:p>
    <w:p w14:paraId="3693EFC4" w14:textId="77777777" w:rsidR="003734EC" w:rsidRDefault="000E364E">
      <w:pPr>
        <w:spacing w:after="180"/>
        <w:jc w:val="center"/>
      </w:pPr>
      <w:r>
        <w:rPr>
          <w:rFonts w:ascii="sans-serif" w:eastAsia="sans-serif" w:hAnsi="sans-serif" w:cs="sans-serif"/>
          <w:color w:val="000000"/>
          <w:sz w:val="20"/>
          <w:szCs w:val="20"/>
        </w:rPr>
        <w:t>13</w:t>
      </w:r>
    </w:p>
    <w:p w14:paraId="3693EFC5" w14:textId="77777777" w:rsidR="003734EC" w:rsidRDefault="000E364E">
      <w:r>
        <w:pict w14:anchorId="3693FF56">
          <v:rect id="_x0000_i1036" style="width:415.3pt;height:1.5pt" o:hralign="center" o:hrstd="t" o:hr="t" fillcolor="#a0a0a0" stroked="f"/>
        </w:pict>
      </w:r>
    </w:p>
    <w:p w14:paraId="3693EFC6" w14:textId="77777777" w:rsidR="003734EC" w:rsidRDefault="000E364E">
      <w:pPr>
        <w:jc w:val="center"/>
      </w:pPr>
      <w:r>
        <w:rPr>
          <w:rFonts w:ascii="sans-serif" w:eastAsia="sans-serif" w:hAnsi="sans-serif" w:cs="sans-serif"/>
          <w:b/>
          <w:bCs/>
          <w:color w:val="000000"/>
          <w:sz w:val="20"/>
          <w:szCs w:val="20"/>
        </w:rPr>
        <w:t>NVIDIA CORPORATION AND SUBSIDIARIES</w:t>
      </w:r>
    </w:p>
    <w:p w14:paraId="3693EFC7"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EFC8" w14:textId="77777777" w:rsidR="003734EC" w:rsidRDefault="000E364E">
      <w:pPr>
        <w:jc w:val="center"/>
      </w:pPr>
      <w:r>
        <w:rPr>
          <w:rFonts w:ascii="sans-serif" w:eastAsia="sans-serif" w:hAnsi="sans-serif" w:cs="sans-serif"/>
          <w:b/>
          <w:bCs/>
          <w:color w:val="000000"/>
          <w:sz w:val="20"/>
          <w:szCs w:val="20"/>
        </w:rPr>
        <w:t>(Unaudited)</w:t>
      </w:r>
    </w:p>
    <w:p w14:paraId="3693EFC9" w14:textId="77777777" w:rsidR="003734EC" w:rsidRDefault="003734EC">
      <w:pPr>
        <w:spacing w:after="180"/>
        <w:jc w:val="both"/>
      </w:pPr>
    </w:p>
    <w:p w14:paraId="3693EFCA" w14:textId="77777777" w:rsidR="003734EC" w:rsidRDefault="003734EC">
      <w:pPr>
        <w:spacing w:after="180"/>
        <w:jc w:val="both"/>
      </w:pPr>
    </w:p>
    <w:p w14:paraId="3693EFCB" w14:textId="77777777" w:rsidR="003734EC" w:rsidRDefault="000E364E">
      <w:pPr>
        <w:spacing w:before="180" w:after="120"/>
        <w:jc w:val="both"/>
      </w:pPr>
      <w:r>
        <w:rPr>
          <w:rFonts w:ascii="sans-serif" w:eastAsia="sans-serif" w:hAnsi="sans-serif" w:cs="sans-serif"/>
          <w:b/>
          <w:bCs/>
          <w:color w:val="76B900"/>
          <w:sz w:val="22"/>
          <w:szCs w:val="22"/>
        </w:rPr>
        <w:t>Note 10 - Balance Sheet Components </w:t>
      </w:r>
    </w:p>
    <w:p w14:paraId="3693EFCC" w14:textId="77777777" w:rsidR="003734EC" w:rsidRDefault="000E364E">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56"/>
        <w:gridCol w:w="5701"/>
        <w:gridCol w:w="57"/>
        <w:gridCol w:w="137"/>
        <w:gridCol w:w="892"/>
        <w:gridCol w:w="81"/>
        <w:gridCol w:w="36"/>
        <w:gridCol w:w="36"/>
        <w:gridCol w:w="36"/>
        <w:gridCol w:w="138"/>
        <w:gridCol w:w="857"/>
        <w:gridCol w:w="81"/>
        <w:gridCol w:w="36"/>
        <w:gridCol w:w="36"/>
        <w:gridCol w:w="36"/>
        <w:gridCol w:w="36"/>
        <w:gridCol w:w="36"/>
        <w:gridCol w:w="36"/>
      </w:tblGrid>
      <w:tr w:rsidR="003734EC" w14:paraId="3693EFD9" w14:textId="77777777">
        <w:trPr>
          <w:gridAfter w:val="6"/>
        </w:trPr>
        <w:tc>
          <w:tcPr>
            <w:tcW w:w="50" w:type="pct"/>
            <w:shd w:val="clear" w:color="auto" w:fill="auto"/>
            <w:vAlign w:val="center"/>
          </w:tcPr>
          <w:p w14:paraId="3693EFCD" w14:textId="77777777" w:rsidR="003734EC" w:rsidRDefault="003734EC">
            <w:pPr>
              <w:rPr>
                <w:rFonts w:ascii="宋体"/>
              </w:rPr>
            </w:pPr>
          </w:p>
        </w:tc>
        <w:tc>
          <w:tcPr>
            <w:tcW w:w="3531" w:type="pct"/>
            <w:shd w:val="clear" w:color="auto" w:fill="auto"/>
            <w:vAlign w:val="center"/>
          </w:tcPr>
          <w:p w14:paraId="3693EFCE" w14:textId="77777777" w:rsidR="003734EC" w:rsidRDefault="003734EC">
            <w:pPr>
              <w:rPr>
                <w:rFonts w:ascii="宋体"/>
              </w:rPr>
            </w:pPr>
          </w:p>
        </w:tc>
        <w:tc>
          <w:tcPr>
            <w:tcW w:w="50" w:type="pct"/>
            <w:shd w:val="clear" w:color="auto" w:fill="auto"/>
            <w:vAlign w:val="center"/>
          </w:tcPr>
          <w:p w14:paraId="3693EFCF" w14:textId="77777777" w:rsidR="003734EC" w:rsidRDefault="003734EC">
            <w:pPr>
              <w:rPr>
                <w:rFonts w:ascii="宋体"/>
              </w:rPr>
            </w:pPr>
          </w:p>
        </w:tc>
        <w:tc>
          <w:tcPr>
            <w:tcW w:w="50" w:type="pct"/>
            <w:shd w:val="clear" w:color="auto" w:fill="auto"/>
            <w:vAlign w:val="center"/>
          </w:tcPr>
          <w:p w14:paraId="3693EFD0" w14:textId="77777777" w:rsidR="003734EC" w:rsidRDefault="003734EC">
            <w:pPr>
              <w:rPr>
                <w:rFonts w:ascii="宋体"/>
              </w:rPr>
            </w:pPr>
          </w:p>
        </w:tc>
        <w:tc>
          <w:tcPr>
            <w:tcW w:w="566" w:type="pct"/>
            <w:shd w:val="clear" w:color="auto" w:fill="auto"/>
            <w:vAlign w:val="center"/>
          </w:tcPr>
          <w:p w14:paraId="3693EFD1" w14:textId="77777777" w:rsidR="003734EC" w:rsidRDefault="003734EC">
            <w:pPr>
              <w:rPr>
                <w:rFonts w:ascii="宋体"/>
              </w:rPr>
            </w:pPr>
          </w:p>
        </w:tc>
        <w:tc>
          <w:tcPr>
            <w:tcW w:w="50" w:type="pct"/>
            <w:shd w:val="clear" w:color="auto" w:fill="auto"/>
            <w:vAlign w:val="center"/>
          </w:tcPr>
          <w:p w14:paraId="3693EFD2" w14:textId="77777777" w:rsidR="003734EC" w:rsidRDefault="003734EC">
            <w:pPr>
              <w:rPr>
                <w:rFonts w:ascii="宋体"/>
              </w:rPr>
            </w:pPr>
          </w:p>
        </w:tc>
        <w:tc>
          <w:tcPr>
            <w:tcW w:w="5" w:type="pct"/>
            <w:shd w:val="clear" w:color="auto" w:fill="auto"/>
            <w:vAlign w:val="center"/>
          </w:tcPr>
          <w:p w14:paraId="3693EFD3" w14:textId="77777777" w:rsidR="003734EC" w:rsidRDefault="003734EC">
            <w:pPr>
              <w:rPr>
                <w:rFonts w:ascii="宋体"/>
              </w:rPr>
            </w:pPr>
          </w:p>
        </w:tc>
        <w:tc>
          <w:tcPr>
            <w:tcW w:w="26" w:type="pct"/>
            <w:shd w:val="clear" w:color="auto" w:fill="auto"/>
            <w:vAlign w:val="center"/>
          </w:tcPr>
          <w:p w14:paraId="3693EFD4" w14:textId="77777777" w:rsidR="003734EC" w:rsidRDefault="003734EC">
            <w:pPr>
              <w:rPr>
                <w:rFonts w:ascii="宋体"/>
              </w:rPr>
            </w:pPr>
          </w:p>
        </w:tc>
        <w:tc>
          <w:tcPr>
            <w:tcW w:w="5" w:type="pct"/>
            <w:shd w:val="clear" w:color="auto" w:fill="auto"/>
            <w:vAlign w:val="center"/>
          </w:tcPr>
          <w:p w14:paraId="3693EFD5" w14:textId="77777777" w:rsidR="003734EC" w:rsidRDefault="003734EC">
            <w:pPr>
              <w:rPr>
                <w:rFonts w:ascii="宋体"/>
              </w:rPr>
            </w:pPr>
          </w:p>
        </w:tc>
        <w:tc>
          <w:tcPr>
            <w:tcW w:w="50" w:type="pct"/>
            <w:shd w:val="clear" w:color="auto" w:fill="auto"/>
            <w:vAlign w:val="center"/>
          </w:tcPr>
          <w:p w14:paraId="3693EFD6" w14:textId="77777777" w:rsidR="003734EC" w:rsidRDefault="003734EC">
            <w:pPr>
              <w:rPr>
                <w:rFonts w:ascii="宋体"/>
              </w:rPr>
            </w:pPr>
          </w:p>
        </w:tc>
        <w:tc>
          <w:tcPr>
            <w:tcW w:w="566" w:type="pct"/>
            <w:shd w:val="clear" w:color="auto" w:fill="auto"/>
            <w:vAlign w:val="center"/>
          </w:tcPr>
          <w:p w14:paraId="3693EFD7" w14:textId="77777777" w:rsidR="003734EC" w:rsidRDefault="003734EC">
            <w:pPr>
              <w:rPr>
                <w:rFonts w:ascii="宋体"/>
              </w:rPr>
            </w:pPr>
          </w:p>
        </w:tc>
        <w:tc>
          <w:tcPr>
            <w:tcW w:w="50" w:type="pct"/>
            <w:shd w:val="clear" w:color="auto" w:fill="auto"/>
            <w:vAlign w:val="center"/>
          </w:tcPr>
          <w:p w14:paraId="3693EFD8" w14:textId="77777777" w:rsidR="003734EC" w:rsidRDefault="003734EC">
            <w:pPr>
              <w:rPr>
                <w:rFonts w:ascii="宋体"/>
              </w:rPr>
            </w:pPr>
          </w:p>
        </w:tc>
      </w:tr>
      <w:tr w:rsidR="003734EC" w14:paraId="3693EFDE" w14:textId="77777777">
        <w:trPr>
          <w:gridAfter w:val="6"/>
        </w:trPr>
        <w:tc>
          <w:tcPr>
            <w:tcW w:w="0" w:type="auto"/>
            <w:gridSpan w:val="3"/>
            <w:shd w:val="clear" w:color="auto" w:fill="auto"/>
            <w:tcMar>
              <w:left w:w="20" w:type="dxa"/>
              <w:right w:w="20" w:type="dxa"/>
            </w:tcMar>
            <w:vAlign w:val="bottom"/>
          </w:tcPr>
          <w:p w14:paraId="3693EFD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FDB"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left w:w="20" w:type="dxa"/>
              <w:right w:w="20" w:type="dxa"/>
            </w:tcMar>
            <w:vAlign w:val="bottom"/>
          </w:tcPr>
          <w:p w14:paraId="3693EFD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EFDD" w14:textId="77777777" w:rsidR="003734EC" w:rsidRDefault="000E364E">
            <w:pPr>
              <w:jc w:val="center"/>
              <w:textAlignment w:val="bottom"/>
            </w:pPr>
            <w:r>
              <w:rPr>
                <w:rFonts w:ascii="sans-serif" w:eastAsia="sans-serif" w:hAnsi="sans-serif" w:cs="sans-serif"/>
                <w:b/>
                <w:bCs/>
                <w:color w:val="000000"/>
                <w:sz w:val="20"/>
                <w:szCs w:val="20"/>
              </w:rPr>
              <w:t>January 26,</w:t>
            </w:r>
          </w:p>
        </w:tc>
      </w:tr>
      <w:tr w:rsidR="003734EC" w14:paraId="3693EFE3" w14:textId="77777777">
        <w:trPr>
          <w:gridAfter w:val="6"/>
        </w:trPr>
        <w:tc>
          <w:tcPr>
            <w:tcW w:w="0" w:type="auto"/>
            <w:gridSpan w:val="3"/>
            <w:shd w:val="clear" w:color="auto" w:fill="auto"/>
            <w:tcMar>
              <w:top w:w="40" w:type="dxa"/>
              <w:left w:w="20" w:type="dxa"/>
              <w:bottom w:w="40" w:type="dxa"/>
              <w:right w:w="20" w:type="dxa"/>
            </w:tcMar>
            <w:vAlign w:val="bottom"/>
          </w:tcPr>
          <w:p w14:paraId="3693EFDF"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EFE0"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EFE1"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EFE2" w14:textId="77777777" w:rsidR="003734EC" w:rsidRDefault="000E364E">
            <w:pPr>
              <w:jc w:val="center"/>
              <w:textAlignment w:val="bottom"/>
            </w:pPr>
            <w:r>
              <w:rPr>
                <w:rFonts w:ascii="sans-serif" w:eastAsia="sans-serif" w:hAnsi="sans-serif" w:cs="sans-serif"/>
                <w:b/>
                <w:bCs/>
                <w:color w:val="000000"/>
                <w:sz w:val="20"/>
                <w:szCs w:val="20"/>
              </w:rPr>
              <w:t>2020</w:t>
            </w:r>
          </w:p>
        </w:tc>
      </w:tr>
      <w:tr w:rsidR="003734EC" w14:paraId="3693EFE8" w14:textId="77777777">
        <w:tc>
          <w:tcPr>
            <w:tcW w:w="0" w:type="auto"/>
            <w:gridSpan w:val="3"/>
            <w:shd w:val="clear" w:color="auto" w:fill="auto"/>
            <w:tcMar>
              <w:top w:w="40" w:type="dxa"/>
              <w:left w:w="20" w:type="dxa"/>
              <w:bottom w:w="40" w:type="dxa"/>
              <w:right w:w="20" w:type="dxa"/>
            </w:tcMar>
            <w:vAlign w:val="bottom"/>
          </w:tcPr>
          <w:p w14:paraId="3693EFE4" w14:textId="77777777" w:rsidR="003734EC" w:rsidRDefault="000E364E">
            <w:pPr>
              <w:textAlignment w:val="bottom"/>
            </w:pPr>
            <w:r>
              <w:rPr>
                <w:rFonts w:ascii="sans-serif" w:eastAsia="sans-serif" w:hAnsi="sans-serif" w:cs="sans-serif"/>
                <w:b/>
                <w:bCs/>
                <w:color w:val="000000"/>
                <w:sz w:val="20"/>
                <w:szCs w:val="20"/>
              </w:rPr>
              <w:t>Inventories: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EFE5"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EFE6" w14:textId="77777777" w:rsidR="003734EC" w:rsidRDefault="003734EC">
            <w:pPr>
              <w:rPr>
                <w:rFonts w:ascii="宋体"/>
                <w:vanish/>
              </w:rPr>
            </w:pPr>
          </w:p>
        </w:tc>
        <w:tc>
          <w:tcPr>
            <w:tcW w:w="0" w:type="auto"/>
            <w:gridSpan w:val="3"/>
            <w:shd w:val="clear" w:color="auto" w:fill="auto"/>
            <w:vAlign w:val="center"/>
          </w:tcPr>
          <w:p w14:paraId="3693EFE7" w14:textId="77777777" w:rsidR="003734EC" w:rsidRDefault="003734EC">
            <w:pPr>
              <w:rPr>
                <w:rFonts w:ascii="宋体"/>
                <w:vanish/>
              </w:rPr>
            </w:pPr>
          </w:p>
        </w:tc>
      </w:tr>
      <w:tr w:rsidR="003734EC" w14:paraId="3693EFF7" w14:textId="77777777">
        <w:tc>
          <w:tcPr>
            <w:tcW w:w="0" w:type="auto"/>
            <w:gridSpan w:val="3"/>
            <w:shd w:val="clear" w:color="auto" w:fill="E2EFD9"/>
            <w:tcMar>
              <w:top w:w="40" w:type="dxa"/>
              <w:left w:w="20" w:type="dxa"/>
              <w:bottom w:w="40" w:type="dxa"/>
              <w:right w:w="20" w:type="dxa"/>
            </w:tcMar>
            <w:vAlign w:val="bottom"/>
          </w:tcPr>
          <w:p w14:paraId="3693EFE9" w14:textId="77777777" w:rsidR="003734EC" w:rsidRDefault="000E364E">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tcMar>
            <w:vAlign w:val="bottom"/>
          </w:tcPr>
          <w:p w14:paraId="3693EFE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EB" w14:textId="77777777" w:rsidR="003734EC" w:rsidRDefault="000E364E">
            <w:pPr>
              <w:jc w:val="right"/>
              <w:textAlignment w:val="bottom"/>
            </w:pPr>
            <w:r>
              <w:rPr>
                <w:rFonts w:ascii="sans-serif" w:eastAsia="sans-serif" w:hAnsi="sans-serif" w:cs="sans-serif"/>
                <w:color w:val="000000"/>
                <w:sz w:val="20"/>
                <w:szCs w:val="20"/>
              </w:rPr>
              <w:t>341 </w:t>
            </w:r>
          </w:p>
        </w:tc>
        <w:tc>
          <w:tcPr>
            <w:tcW w:w="0" w:type="auto"/>
            <w:shd w:val="clear" w:color="auto" w:fill="E2EFD9"/>
            <w:tcMar>
              <w:top w:w="40" w:type="dxa"/>
              <w:bottom w:w="40" w:type="dxa"/>
              <w:right w:w="20" w:type="dxa"/>
            </w:tcMar>
            <w:vAlign w:val="bottom"/>
          </w:tcPr>
          <w:p w14:paraId="3693EFE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EFE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EFE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EFEF" w14:textId="77777777" w:rsidR="003734EC" w:rsidRDefault="000E364E">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bottom w:w="40" w:type="dxa"/>
              <w:right w:w="20" w:type="dxa"/>
            </w:tcMar>
            <w:vAlign w:val="bottom"/>
          </w:tcPr>
          <w:p w14:paraId="3693EFF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FF1" w14:textId="77777777" w:rsidR="003734EC" w:rsidRDefault="003734EC">
            <w:pPr>
              <w:rPr>
                <w:rFonts w:ascii="宋体"/>
              </w:rPr>
            </w:pPr>
          </w:p>
        </w:tc>
        <w:tc>
          <w:tcPr>
            <w:tcW w:w="0" w:type="auto"/>
            <w:shd w:val="clear" w:color="auto" w:fill="auto"/>
            <w:vAlign w:val="center"/>
          </w:tcPr>
          <w:p w14:paraId="3693EFF2" w14:textId="77777777" w:rsidR="003734EC" w:rsidRDefault="003734EC">
            <w:pPr>
              <w:rPr>
                <w:rFonts w:ascii="宋体"/>
              </w:rPr>
            </w:pPr>
          </w:p>
        </w:tc>
        <w:tc>
          <w:tcPr>
            <w:tcW w:w="0" w:type="auto"/>
            <w:shd w:val="clear" w:color="auto" w:fill="auto"/>
            <w:vAlign w:val="center"/>
          </w:tcPr>
          <w:p w14:paraId="3693EFF3" w14:textId="77777777" w:rsidR="003734EC" w:rsidRDefault="003734EC">
            <w:pPr>
              <w:rPr>
                <w:rFonts w:ascii="宋体"/>
              </w:rPr>
            </w:pPr>
          </w:p>
        </w:tc>
        <w:tc>
          <w:tcPr>
            <w:tcW w:w="0" w:type="auto"/>
            <w:shd w:val="clear" w:color="auto" w:fill="auto"/>
            <w:vAlign w:val="center"/>
          </w:tcPr>
          <w:p w14:paraId="3693EFF4" w14:textId="77777777" w:rsidR="003734EC" w:rsidRDefault="003734EC">
            <w:pPr>
              <w:rPr>
                <w:rFonts w:ascii="宋体"/>
              </w:rPr>
            </w:pPr>
          </w:p>
        </w:tc>
        <w:tc>
          <w:tcPr>
            <w:tcW w:w="0" w:type="auto"/>
            <w:shd w:val="clear" w:color="auto" w:fill="auto"/>
            <w:vAlign w:val="center"/>
          </w:tcPr>
          <w:p w14:paraId="3693EFF5" w14:textId="77777777" w:rsidR="003734EC" w:rsidRDefault="003734EC">
            <w:pPr>
              <w:rPr>
                <w:rFonts w:ascii="宋体"/>
              </w:rPr>
            </w:pPr>
          </w:p>
        </w:tc>
        <w:tc>
          <w:tcPr>
            <w:tcW w:w="0" w:type="auto"/>
            <w:shd w:val="clear" w:color="auto" w:fill="auto"/>
            <w:vAlign w:val="center"/>
          </w:tcPr>
          <w:p w14:paraId="3693EFF6" w14:textId="77777777" w:rsidR="003734EC" w:rsidRDefault="003734EC">
            <w:pPr>
              <w:rPr>
                <w:rFonts w:ascii="宋体"/>
              </w:rPr>
            </w:pPr>
          </w:p>
        </w:tc>
      </w:tr>
      <w:tr w:rsidR="003734EC" w14:paraId="3693F004" w14:textId="77777777">
        <w:tc>
          <w:tcPr>
            <w:tcW w:w="0" w:type="auto"/>
            <w:gridSpan w:val="3"/>
            <w:shd w:val="clear" w:color="auto" w:fill="FFFFFF"/>
            <w:tcMar>
              <w:top w:w="40" w:type="dxa"/>
              <w:left w:w="20" w:type="dxa"/>
              <w:bottom w:w="40" w:type="dxa"/>
              <w:right w:w="20" w:type="dxa"/>
            </w:tcMar>
            <w:vAlign w:val="bottom"/>
          </w:tcPr>
          <w:p w14:paraId="3693EFF8" w14:textId="77777777" w:rsidR="003734EC" w:rsidRDefault="000E364E">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3693EFF9" w14:textId="77777777" w:rsidR="003734EC" w:rsidRDefault="000E364E">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bottom w:w="40" w:type="dxa"/>
              <w:right w:w="20" w:type="dxa"/>
            </w:tcMar>
            <w:vAlign w:val="bottom"/>
          </w:tcPr>
          <w:p w14:paraId="3693EFF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EFF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EFFC" w14:textId="77777777" w:rsidR="003734EC" w:rsidRDefault="000E364E">
            <w:pPr>
              <w:jc w:val="right"/>
              <w:textAlignment w:val="bottom"/>
            </w:pPr>
            <w:r>
              <w:rPr>
                <w:rFonts w:ascii="sans-serif" w:eastAsia="sans-serif" w:hAnsi="sans-serif" w:cs="sans-serif"/>
                <w:color w:val="000000"/>
                <w:sz w:val="20"/>
                <w:szCs w:val="20"/>
              </w:rPr>
              <w:t>265 </w:t>
            </w:r>
          </w:p>
        </w:tc>
        <w:tc>
          <w:tcPr>
            <w:tcW w:w="0" w:type="auto"/>
            <w:shd w:val="clear" w:color="auto" w:fill="FFFFFF"/>
            <w:tcMar>
              <w:top w:w="40" w:type="dxa"/>
              <w:bottom w:w="40" w:type="dxa"/>
              <w:right w:w="20" w:type="dxa"/>
            </w:tcMar>
            <w:vAlign w:val="bottom"/>
          </w:tcPr>
          <w:p w14:paraId="3693EFF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EFFE" w14:textId="77777777" w:rsidR="003734EC" w:rsidRDefault="003734EC">
            <w:pPr>
              <w:rPr>
                <w:rFonts w:ascii="宋体"/>
              </w:rPr>
            </w:pPr>
          </w:p>
        </w:tc>
        <w:tc>
          <w:tcPr>
            <w:tcW w:w="0" w:type="auto"/>
            <w:shd w:val="clear" w:color="auto" w:fill="auto"/>
            <w:vAlign w:val="center"/>
          </w:tcPr>
          <w:p w14:paraId="3693EFFF" w14:textId="77777777" w:rsidR="003734EC" w:rsidRDefault="003734EC">
            <w:pPr>
              <w:rPr>
                <w:rFonts w:ascii="宋体"/>
              </w:rPr>
            </w:pPr>
          </w:p>
        </w:tc>
        <w:tc>
          <w:tcPr>
            <w:tcW w:w="0" w:type="auto"/>
            <w:shd w:val="clear" w:color="auto" w:fill="auto"/>
            <w:vAlign w:val="center"/>
          </w:tcPr>
          <w:p w14:paraId="3693F000" w14:textId="77777777" w:rsidR="003734EC" w:rsidRDefault="003734EC">
            <w:pPr>
              <w:rPr>
                <w:rFonts w:ascii="宋体"/>
              </w:rPr>
            </w:pPr>
          </w:p>
        </w:tc>
        <w:tc>
          <w:tcPr>
            <w:tcW w:w="0" w:type="auto"/>
            <w:shd w:val="clear" w:color="auto" w:fill="auto"/>
            <w:vAlign w:val="center"/>
          </w:tcPr>
          <w:p w14:paraId="3693F001" w14:textId="77777777" w:rsidR="003734EC" w:rsidRDefault="003734EC">
            <w:pPr>
              <w:rPr>
                <w:rFonts w:ascii="宋体"/>
              </w:rPr>
            </w:pPr>
          </w:p>
        </w:tc>
        <w:tc>
          <w:tcPr>
            <w:tcW w:w="0" w:type="auto"/>
            <w:shd w:val="clear" w:color="auto" w:fill="auto"/>
            <w:vAlign w:val="center"/>
          </w:tcPr>
          <w:p w14:paraId="3693F002" w14:textId="77777777" w:rsidR="003734EC" w:rsidRDefault="003734EC">
            <w:pPr>
              <w:rPr>
                <w:rFonts w:ascii="宋体"/>
              </w:rPr>
            </w:pPr>
          </w:p>
        </w:tc>
        <w:tc>
          <w:tcPr>
            <w:tcW w:w="0" w:type="auto"/>
            <w:shd w:val="clear" w:color="auto" w:fill="auto"/>
            <w:vAlign w:val="center"/>
          </w:tcPr>
          <w:p w14:paraId="3693F003" w14:textId="77777777" w:rsidR="003734EC" w:rsidRDefault="003734EC">
            <w:pPr>
              <w:rPr>
                <w:rFonts w:ascii="宋体"/>
              </w:rPr>
            </w:pPr>
          </w:p>
        </w:tc>
      </w:tr>
      <w:tr w:rsidR="003734EC" w14:paraId="3693F011" w14:textId="77777777">
        <w:tc>
          <w:tcPr>
            <w:tcW w:w="0" w:type="auto"/>
            <w:gridSpan w:val="3"/>
            <w:shd w:val="clear" w:color="auto" w:fill="E2EFD9"/>
            <w:tcMar>
              <w:top w:w="40" w:type="dxa"/>
              <w:left w:w="20" w:type="dxa"/>
              <w:bottom w:w="40" w:type="dxa"/>
              <w:right w:w="20" w:type="dxa"/>
            </w:tcMar>
            <w:vAlign w:val="bottom"/>
          </w:tcPr>
          <w:p w14:paraId="3693F005" w14:textId="77777777" w:rsidR="003734EC" w:rsidRDefault="000E364E">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3693F006" w14:textId="77777777" w:rsidR="003734EC" w:rsidRDefault="000E364E">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bottom w:w="40" w:type="dxa"/>
              <w:right w:w="20" w:type="dxa"/>
            </w:tcMar>
            <w:vAlign w:val="bottom"/>
          </w:tcPr>
          <w:p w14:paraId="3693F00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008"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009" w14:textId="77777777" w:rsidR="003734EC" w:rsidRDefault="000E364E">
            <w:pPr>
              <w:jc w:val="right"/>
              <w:textAlignment w:val="bottom"/>
            </w:pPr>
            <w:r>
              <w:rPr>
                <w:rFonts w:ascii="sans-serif" w:eastAsia="sans-serif" w:hAnsi="sans-serif" w:cs="sans-serif"/>
                <w:color w:val="000000"/>
                <w:sz w:val="20"/>
                <w:szCs w:val="20"/>
              </w:rPr>
              <w:t>465 </w:t>
            </w:r>
          </w:p>
        </w:tc>
        <w:tc>
          <w:tcPr>
            <w:tcW w:w="0" w:type="auto"/>
            <w:shd w:val="clear" w:color="auto" w:fill="E2EFD9"/>
            <w:tcMar>
              <w:top w:w="40" w:type="dxa"/>
              <w:bottom w:w="40" w:type="dxa"/>
              <w:right w:w="20" w:type="dxa"/>
            </w:tcMar>
            <w:vAlign w:val="bottom"/>
          </w:tcPr>
          <w:p w14:paraId="3693F00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0B" w14:textId="77777777" w:rsidR="003734EC" w:rsidRDefault="003734EC">
            <w:pPr>
              <w:rPr>
                <w:rFonts w:ascii="宋体"/>
              </w:rPr>
            </w:pPr>
          </w:p>
        </w:tc>
        <w:tc>
          <w:tcPr>
            <w:tcW w:w="0" w:type="auto"/>
            <w:shd w:val="clear" w:color="auto" w:fill="auto"/>
            <w:vAlign w:val="center"/>
          </w:tcPr>
          <w:p w14:paraId="3693F00C" w14:textId="77777777" w:rsidR="003734EC" w:rsidRDefault="003734EC">
            <w:pPr>
              <w:rPr>
                <w:rFonts w:ascii="宋体"/>
              </w:rPr>
            </w:pPr>
          </w:p>
        </w:tc>
        <w:tc>
          <w:tcPr>
            <w:tcW w:w="0" w:type="auto"/>
            <w:shd w:val="clear" w:color="auto" w:fill="auto"/>
            <w:vAlign w:val="center"/>
          </w:tcPr>
          <w:p w14:paraId="3693F00D" w14:textId="77777777" w:rsidR="003734EC" w:rsidRDefault="003734EC">
            <w:pPr>
              <w:rPr>
                <w:rFonts w:ascii="宋体"/>
              </w:rPr>
            </w:pPr>
          </w:p>
        </w:tc>
        <w:tc>
          <w:tcPr>
            <w:tcW w:w="0" w:type="auto"/>
            <w:shd w:val="clear" w:color="auto" w:fill="auto"/>
            <w:vAlign w:val="center"/>
          </w:tcPr>
          <w:p w14:paraId="3693F00E" w14:textId="77777777" w:rsidR="003734EC" w:rsidRDefault="003734EC">
            <w:pPr>
              <w:rPr>
                <w:rFonts w:ascii="宋体"/>
              </w:rPr>
            </w:pPr>
          </w:p>
        </w:tc>
        <w:tc>
          <w:tcPr>
            <w:tcW w:w="0" w:type="auto"/>
            <w:shd w:val="clear" w:color="auto" w:fill="auto"/>
            <w:vAlign w:val="center"/>
          </w:tcPr>
          <w:p w14:paraId="3693F00F" w14:textId="77777777" w:rsidR="003734EC" w:rsidRDefault="003734EC">
            <w:pPr>
              <w:rPr>
                <w:rFonts w:ascii="宋体"/>
              </w:rPr>
            </w:pPr>
          </w:p>
        </w:tc>
        <w:tc>
          <w:tcPr>
            <w:tcW w:w="0" w:type="auto"/>
            <w:shd w:val="clear" w:color="auto" w:fill="auto"/>
            <w:vAlign w:val="center"/>
          </w:tcPr>
          <w:p w14:paraId="3693F010" w14:textId="77777777" w:rsidR="003734EC" w:rsidRDefault="003734EC">
            <w:pPr>
              <w:rPr>
                <w:rFonts w:ascii="宋体"/>
              </w:rPr>
            </w:pPr>
          </w:p>
        </w:tc>
      </w:tr>
      <w:tr w:rsidR="003734EC" w14:paraId="3693F020" w14:textId="77777777">
        <w:tc>
          <w:tcPr>
            <w:tcW w:w="0" w:type="auto"/>
            <w:gridSpan w:val="3"/>
            <w:shd w:val="clear" w:color="auto" w:fill="FFFFFF"/>
            <w:tcMar>
              <w:top w:w="40" w:type="dxa"/>
              <w:left w:w="360" w:type="dxa"/>
              <w:bottom w:w="40" w:type="dxa"/>
              <w:right w:w="20" w:type="dxa"/>
            </w:tcMar>
            <w:vAlign w:val="bottom"/>
          </w:tcPr>
          <w:p w14:paraId="3693F012" w14:textId="77777777" w:rsidR="003734EC" w:rsidRDefault="000E364E">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inventories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013"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014" w14:textId="77777777" w:rsidR="003734EC" w:rsidRDefault="000E364E">
            <w:pPr>
              <w:jc w:val="right"/>
              <w:textAlignment w:val="bottom"/>
            </w:pPr>
            <w:r>
              <w:rPr>
                <w:rFonts w:ascii="sans-serif" w:eastAsia="sans-serif" w:hAnsi="sans-serif" w:cs="sans-serif"/>
                <w:color w:val="000000"/>
                <w:sz w:val="20"/>
                <w:szCs w:val="20"/>
              </w:rPr>
              <w:t>1,128 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01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016"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017"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018" w14:textId="77777777" w:rsidR="003734EC" w:rsidRDefault="000E364E">
            <w:pPr>
              <w:jc w:val="right"/>
              <w:textAlignment w:val="bottom"/>
            </w:pPr>
            <w:r>
              <w:rPr>
                <w:rFonts w:ascii="sans-serif" w:eastAsia="sans-serif" w:hAnsi="sans-serif" w:cs="sans-serif"/>
                <w:color w:val="000000"/>
                <w:sz w:val="20"/>
                <w:szCs w:val="20"/>
              </w:rPr>
              <w:t>979 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01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1A" w14:textId="77777777" w:rsidR="003734EC" w:rsidRDefault="003734EC">
            <w:pPr>
              <w:rPr>
                <w:rFonts w:ascii="宋体"/>
              </w:rPr>
            </w:pPr>
          </w:p>
        </w:tc>
        <w:tc>
          <w:tcPr>
            <w:tcW w:w="0" w:type="auto"/>
            <w:shd w:val="clear" w:color="auto" w:fill="auto"/>
            <w:vAlign w:val="center"/>
          </w:tcPr>
          <w:p w14:paraId="3693F01B" w14:textId="77777777" w:rsidR="003734EC" w:rsidRDefault="003734EC">
            <w:pPr>
              <w:rPr>
                <w:rFonts w:ascii="宋体"/>
              </w:rPr>
            </w:pPr>
          </w:p>
        </w:tc>
        <w:tc>
          <w:tcPr>
            <w:tcW w:w="0" w:type="auto"/>
            <w:shd w:val="clear" w:color="auto" w:fill="auto"/>
            <w:vAlign w:val="center"/>
          </w:tcPr>
          <w:p w14:paraId="3693F01C" w14:textId="77777777" w:rsidR="003734EC" w:rsidRDefault="003734EC">
            <w:pPr>
              <w:rPr>
                <w:rFonts w:ascii="宋体"/>
              </w:rPr>
            </w:pPr>
          </w:p>
        </w:tc>
        <w:tc>
          <w:tcPr>
            <w:tcW w:w="0" w:type="auto"/>
            <w:shd w:val="clear" w:color="auto" w:fill="auto"/>
            <w:vAlign w:val="center"/>
          </w:tcPr>
          <w:p w14:paraId="3693F01D" w14:textId="77777777" w:rsidR="003734EC" w:rsidRDefault="003734EC">
            <w:pPr>
              <w:rPr>
                <w:rFonts w:ascii="宋体"/>
              </w:rPr>
            </w:pPr>
          </w:p>
        </w:tc>
        <w:tc>
          <w:tcPr>
            <w:tcW w:w="0" w:type="auto"/>
            <w:shd w:val="clear" w:color="auto" w:fill="auto"/>
            <w:vAlign w:val="center"/>
          </w:tcPr>
          <w:p w14:paraId="3693F01E" w14:textId="77777777" w:rsidR="003734EC" w:rsidRDefault="003734EC">
            <w:pPr>
              <w:rPr>
                <w:rFonts w:ascii="宋体"/>
              </w:rPr>
            </w:pPr>
          </w:p>
        </w:tc>
        <w:tc>
          <w:tcPr>
            <w:tcW w:w="0" w:type="auto"/>
            <w:shd w:val="clear" w:color="auto" w:fill="auto"/>
            <w:vAlign w:val="center"/>
          </w:tcPr>
          <w:p w14:paraId="3693F01F" w14:textId="77777777" w:rsidR="003734EC" w:rsidRDefault="003734EC">
            <w:pPr>
              <w:rPr>
                <w:rFonts w:ascii="宋体"/>
              </w:rPr>
            </w:pPr>
          </w:p>
        </w:tc>
      </w:tr>
    </w:tbl>
    <w:p w14:paraId="3693F021" w14:textId="77777777" w:rsidR="003734EC" w:rsidRDefault="003734EC"/>
    <w:tbl>
      <w:tblPr>
        <w:tblW w:w="4993" w:type="pct"/>
        <w:tblCellMar>
          <w:top w:w="15" w:type="dxa"/>
          <w:left w:w="15" w:type="dxa"/>
          <w:bottom w:w="15" w:type="dxa"/>
          <w:right w:w="15" w:type="dxa"/>
        </w:tblCellMar>
        <w:tblLook w:val="04A0" w:firstRow="1" w:lastRow="0" w:firstColumn="1" w:lastColumn="0" w:noHBand="0" w:noVBand="1"/>
      </w:tblPr>
      <w:tblGrid>
        <w:gridCol w:w="56"/>
        <w:gridCol w:w="5702"/>
        <w:gridCol w:w="57"/>
        <w:gridCol w:w="137"/>
        <w:gridCol w:w="892"/>
        <w:gridCol w:w="81"/>
        <w:gridCol w:w="36"/>
        <w:gridCol w:w="36"/>
        <w:gridCol w:w="36"/>
        <w:gridCol w:w="137"/>
        <w:gridCol w:w="857"/>
        <w:gridCol w:w="81"/>
        <w:gridCol w:w="36"/>
        <w:gridCol w:w="36"/>
        <w:gridCol w:w="36"/>
        <w:gridCol w:w="36"/>
        <w:gridCol w:w="36"/>
        <w:gridCol w:w="36"/>
      </w:tblGrid>
      <w:tr w:rsidR="003734EC" w14:paraId="3693F02E" w14:textId="77777777">
        <w:trPr>
          <w:gridAfter w:val="6"/>
        </w:trPr>
        <w:tc>
          <w:tcPr>
            <w:tcW w:w="50" w:type="pct"/>
            <w:shd w:val="clear" w:color="auto" w:fill="auto"/>
            <w:vAlign w:val="center"/>
          </w:tcPr>
          <w:p w14:paraId="3693F022" w14:textId="77777777" w:rsidR="003734EC" w:rsidRDefault="003734EC">
            <w:pPr>
              <w:rPr>
                <w:rFonts w:ascii="宋体"/>
              </w:rPr>
            </w:pPr>
          </w:p>
        </w:tc>
        <w:tc>
          <w:tcPr>
            <w:tcW w:w="3531" w:type="pct"/>
            <w:shd w:val="clear" w:color="auto" w:fill="auto"/>
            <w:vAlign w:val="center"/>
          </w:tcPr>
          <w:p w14:paraId="3693F023" w14:textId="77777777" w:rsidR="003734EC" w:rsidRDefault="003734EC">
            <w:pPr>
              <w:rPr>
                <w:rFonts w:ascii="宋体"/>
              </w:rPr>
            </w:pPr>
          </w:p>
        </w:tc>
        <w:tc>
          <w:tcPr>
            <w:tcW w:w="50" w:type="pct"/>
            <w:shd w:val="clear" w:color="auto" w:fill="auto"/>
            <w:vAlign w:val="center"/>
          </w:tcPr>
          <w:p w14:paraId="3693F024" w14:textId="77777777" w:rsidR="003734EC" w:rsidRDefault="003734EC">
            <w:pPr>
              <w:rPr>
                <w:rFonts w:ascii="宋体"/>
              </w:rPr>
            </w:pPr>
          </w:p>
        </w:tc>
        <w:tc>
          <w:tcPr>
            <w:tcW w:w="50" w:type="pct"/>
            <w:shd w:val="clear" w:color="auto" w:fill="auto"/>
            <w:vAlign w:val="center"/>
          </w:tcPr>
          <w:p w14:paraId="3693F025" w14:textId="77777777" w:rsidR="003734EC" w:rsidRDefault="003734EC">
            <w:pPr>
              <w:rPr>
                <w:rFonts w:ascii="宋体"/>
              </w:rPr>
            </w:pPr>
          </w:p>
        </w:tc>
        <w:tc>
          <w:tcPr>
            <w:tcW w:w="566" w:type="pct"/>
            <w:shd w:val="clear" w:color="auto" w:fill="auto"/>
            <w:vAlign w:val="center"/>
          </w:tcPr>
          <w:p w14:paraId="3693F026" w14:textId="77777777" w:rsidR="003734EC" w:rsidRDefault="003734EC">
            <w:pPr>
              <w:rPr>
                <w:rFonts w:ascii="宋体"/>
              </w:rPr>
            </w:pPr>
          </w:p>
        </w:tc>
        <w:tc>
          <w:tcPr>
            <w:tcW w:w="50" w:type="pct"/>
            <w:shd w:val="clear" w:color="auto" w:fill="auto"/>
            <w:vAlign w:val="center"/>
          </w:tcPr>
          <w:p w14:paraId="3693F027" w14:textId="77777777" w:rsidR="003734EC" w:rsidRDefault="003734EC">
            <w:pPr>
              <w:rPr>
                <w:rFonts w:ascii="宋体"/>
              </w:rPr>
            </w:pPr>
          </w:p>
        </w:tc>
        <w:tc>
          <w:tcPr>
            <w:tcW w:w="5" w:type="pct"/>
            <w:shd w:val="clear" w:color="auto" w:fill="auto"/>
            <w:vAlign w:val="center"/>
          </w:tcPr>
          <w:p w14:paraId="3693F028" w14:textId="77777777" w:rsidR="003734EC" w:rsidRDefault="003734EC">
            <w:pPr>
              <w:rPr>
                <w:rFonts w:ascii="宋体"/>
              </w:rPr>
            </w:pPr>
          </w:p>
        </w:tc>
        <w:tc>
          <w:tcPr>
            <w:tcW w:w="26" w:type="pct"/>
            <w:shd w:val="clear" w:color="auto" w:fill="auto"/>
            <w:vAlign w:val="center"/>
          </w:tcPr>
          <w:p w14:paraId="3693F029" w14:textId="77777777" w:rsidR="003734EC" w:rsidRDefault="003734EC">
            <w:pPr>
              <w:rPr>
                <w:rFonts w:ascii="宋体"/>
              </w:rPr>
            </w:pPr>
          </w:p>
        </w:tc>
        <w:tc>
          <w:tcPr>
            <w:tcW w:w="5" w:type="pct"/>
            <w:shd w:val="clear" w:color="auto" w:fill="auto"/>
            <w:vAlign w:val="center"/>
          </w:tcPr>
          <w:p w14:paraId="3693F02A" w14:textId="77777777" w:rsidR="003734EC" w:rsidRDefault="003734EC">
            <w:pPr>
              <w:rPr>
                <w:rFonts w:ascii="宋体"/>
              </w:rPr>
            </w:pPr>
          </w:p>
        </w:tc>
        <w:tc>
          <w:tcPr>
            <w:tcW w:w="50" w:type="pct"/>
            <w:shd w:val="clear" w:color="auto" w:fill="auto"/>
            <w:vAlign w:val="center"/>
          </w:tcPr>
          <w:p w14:paraId="3693F02B" w14:textId="77777777" w:rsidR="003734EC" w:rsidRDefault="003734EC">
            <w:pPr>
              <w:rPr>
                <w:rFonts w:ascii="宋体"/>
              </w:rPr>
            </w:pPr>
          </w:p>
        </w:tc>
        <w:tc>
          <w:tcPr>
            <w:tcW w:w="566" w:type="pct"/>
            <w:shd w:val="clear" w:color="auto" w:fill="auto"/>
            <w:vAlign w:val="center"/>
          </w:tcPr>
          <w:p w14:paraId="3693F02C" w14:textId="77777777" w:rsidR="003734EC" w:rsidRDefault="003734EC">
            <w:pPr>
              <w:rPr>
                <w:rFonts w:ascii="宋体"/>
              </w:rPr>
            </w:pPr>
          </w:p>
        </w:tc>
        <w:tc>
          <w:tcPr>
            <w:tcW w:w="50" w:type="pct"/>
            <w:shd w:val="clear" w:color="auto" w:fill="auto"/>
            <w:vAlign w:val="center"/>
          </w:tcPr>
          <w:p w14:paraId="3693F02D" w14:textId="77777777" w:rsidR="003734EC" w:rsidRDefault="003734EC">
            <w:pPr>
              <w:rPr>
                <w:rFonts w:ascii="宋体"/>
              </w:rPr>
            </w:pPr>
          </w:p>
        </w:tc>
      </w:tr>
      <w:tr w:rsidR="003734EC" w14:paraId="3693F033" w14:textId="77777777">
        <w:trPr>
          <w:gridAfter w:val="6"/>
        </w:trPr>
        <w:tc>
          <w:tcPr>
            <w:tcW w:w="0" w:type="auto"/>
            <w:gridSpan w:val="3"/>
            <w:shd w:val="clear" w:color="auto" w:fill="auto"/>
            <w:tcMar>
              <w:left w:w="20" w:type="dxa"/>
              <w:right w:w="20" w:type="dxa"/>
            </w:tcMar>
            <w:vAlign w:val="bottom"/>
          </w:tcPr>
          <w:p w14:paraId="3693F02F"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030"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left w:w="20" w:type="dxa"/>
              <w:right w:w="20" w:type="dxa"/>
            </w:tcMar>
            <w:vAlign w:val="bottom"/>
          </w:tcPr>
          <w:p w14:paraId="3693F031"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032" w14:textId="77777777" w:rsidR="003734EC" w:rsidRDefault="000E364E">
            <w:pPr>
              <w:jc w:val="center"/>
              <w:textAlignment w:val="bottom"/>
            </w:pPr>
            <w:r>
              <w:rPr>
                <w:rFonts w:ascii="sans-serif" w:eastAsia="sans-serif" w:hAnsi="sans-serif" w:cs="sans-serif"/>
                <w:b/>
                <w:bCs/>
                <w:color w:val="000000"/>
                <w:sz w:val="20"/>
                <w:szCs w:val="20"/>
              </w:rPr>
              <w:t>January 26,</w:t>
            </w:r>
          </w:p>
        </w:tc>
      </w:tr>
      <w:tr w:rsidR="003734EC" w14:paraId="3693F038" w14:textId="77777777">
        <w:trPr>
          <w:gridAfter w:val="6"/>
        </w:trPr>
        <w:tc>
          <w:tcPr>
            <w:tcW w:w="0" w:type="auto"/>
            <w:gridSpan w:val="3"/>
            <w:shd w:val="clear" w:color="auto" w:fill="auto"/>
            <w:tcMar>
              <w:top w:w="40" w:type="dxa"/>
              <w:left w:w="20" w:type="dxa"/>
              <w:bottom w:w="40" w:type="dxa"/>
              <w:right w:w="20" w:type="dxa"/>
            </w:tcMar>
            <w:vAlign w:val="bottom"/>
          </w:tcPr>
          <w:p w14:paraId="3693F034"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035"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F036"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037" w14:textId="77777777" w:rsidR="003734EC" w:rsidRDefault="000E364E">
            <w:pPr>
              <w:jc w:val="center"/>
              <w:textAlignment w:val="bottom"/>
            </w:pPr>
            <w:r>
              <w:rPr>
                <w:rFonts w:ascii="sans-serif" w:eastAsia="sans-serif" w:hAnsi="sans-serif" w:cs="sans-serif"/>
                <w:b/>
                <w:bCs/>
                <w:color w:val="000000"/>
                <w:sz w:val="20"/>
                <w:szCs w:val="20"/>
              </w:rPr>
              <w:t>2020</w:t>
            </w:r>
          </w:p>
        </w:tc>
      </w:tr>
      <w:tr w:rsidR="003734EC" w14:paraId="3693F03D" w14:textId="77777777">
        <w:tc>
          <w:tcPr>
            <w:tcW w:w="0" w:type="auto"/>
            <w:gridSpan w:val="3"/>
            <w:shd w:val="clear" w:color="auto" w:fill="auto"/>
            <w:tcMar>
              <w:top w:w="40" w:type="dxa"/>
              <w:left w:w="20" w:type="dxa"/>
              <w:bottom w:w="40" w:type="dxa"/>
              <w:right w:w="20" w:type="dxa"/>
            </w:tcMar>
            <w:vAlign w:val="bottom"/>
          </w:tcPr>
          <w:p w14:paraId="3693F039" w14:textId="77777777" w:rsidR="003734EC" w:rsidRDefault="000E364E">
            <w:pPr>
              <w:textAlignment w:val="bottom"/>
            </w:pPr>
            <w:r>
              <w:rPr>
                <w:rFonts w:ascii="sans-serif" w:eastAsia="sans-serif" w:hAnsi="sans-serif" w:cs="sans-serif"/>
                <w:b/>
                <w:bCs/>
                <w:color w:val="000000"/>
                <w:sz w:val="20"/>
                <w:szCs w:val="20"/>
              </w:rPr>
              <w:t>Accrued and Other Current Liabilities: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03A"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03B" w14:textId="77777777" w:rsidR="003734EC" w:rsidRDefault="003734EC">
            <w:pPr>
              <w:rPr>
                <w:rFonts w:ascii="宋体"/>
                <w:vanish/>
              </w:rPr>
            </w:pPr>
          </w:p>
        </w:tc>
        <w:tc>
          <w:tcPr>
            <w:tcW w:w="0" w:type="auto"/>
            <w:gridSpan w:val="3"/>
            <w:shd w:val="clear" w:color="auto" w:fill="auto"/>
            <w:vAlign w:val="center"/>
          </w:tcPr>
          <w:p w14:paraId="3693F03C" w14:textId="77777777" w:rsidR="003734EC" w:rsidRDefault="003734EC">
            <w:pPr>
              <w:rPr>
                <w:rFonts w:ascii="宋体"/>
                <w:vanish/>
              </w:rPr>
            </w:pPr>
          </w:p>
        </w:tc>
      </w:tr>
      <w:tr w:rsidR="003734EC" w14:paraId="3693F04C" w14:textId="77777777">
        <w:tc>
          <w:tcPr>
            <w:tcW w:w="0" w:type="auto"/>
            <w:gridSpan w:val="3"/>
            <w:shd w:val="clear" w:color="auto" w:fill="E2EFD9"/>
            <w:tcMar>
              <w:top w:w="40" w:type="dxa"/>
              <w:left w:w="20" w:type="dxa"/>
              <w:bottom w:w="40" w:type="dxa"/>
              <w:right w:w="20" w:type="dxa"/>
            </w:tcMar>
            <w:vAlign w:val="bottom"/>
          </w:tcPr>
          <w:p w14:paraId="3693F03E" w14:textId="77777777" w:rsidR="003734EC" w:rsidRDefault="000E364E">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tcMar>
            <w:vAlign w:val="bottom"/>
          </w:tcPr>
          <w:p w14:paraId="3693F03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040" w14:textId="77777777" w:rsidR="003734EC" w:rsidRDefault="000E364E">
            <w:pPr>
              <w:jc w:val="right"/>
              <w:textAlignment w:val="bottom"/>
            </w:pPr>
            <w:r>
              <w:rPr>
                <w:rFonts w:ascii="sans-serif" w:eastAsia="sans-serif" w:hAnsi="sans-serif" w:cs="sans-serif"/>
                <w:color w:val="000000"/>
                <w:sz w:val="20"/>
                <w:szCs w:val="20"/>
              </w:rPr>
              <w:t>444 </w:t>
            </w:r>
          </w:p>
        </w:tc>
        <w:tc>
          <w:tcPr>
            <w:tcW w:w="0" w:type="auto"/>
            <w:shd w:val="clear" w:color="auto" w:fill="E2EFD9"/>
            <w:tcMar>
              <w:top w:w="40" w:type="dxa"/>
              <w:bottom w:w="40" w:type="dxa"/>
              <w:right w:w="20" w:type="dxa"/>
            </w:tcMar>
            <w:vAlign w:val="bottom"/>
          </w:tcPr>
          <w:p w14:paraId="3693F04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042"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043"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044" w14:textId="77777777" w:rsidR="003734EC" w:rsidRDefault="000E364E">
            <w:pPr>
              <w:jc w:val="right"/>
              <w:textAlignment w:val="bottom"/>
            </w:pPr>
            <w:r>
              <w:rPr>
                <w:rFonts w:ascii="sans-serif" w:eastAsia="sans-serif" w:hAnsi="sans-serif" w:cs="sans-serif"/>
                <w:color w:val="000000"/>
                <w:sz w:val="20"/>
                <w:szCs w:val="20"/>
              </w:rPr>
              <w:t>462 </w:t>
            </w:r>
          </w:p>
        </w:tc>
        <w:tc>
          <w:tcPr>
            <w:tcW w:w="0" w:type="auto"/>
            <w:shd w:val="clear" w:color="auto" w:fill="E2EFD9"/>
            <w:tcMar>
              <w:top w:w="40" w:type="dxa"/>
              <w:bottom w:w="40" w:type="dxa"/>
              <w:right w:w="20" w:type="dxa"/>
            </w:tcMar>
            <w:vAlign w:val="bottom"/>
          </w:tcPr>
          <w:p w14:paraId="3693F04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46" w14:textId="77777777" w:rsidR="003734EC" w:rsidRDefault="003734EC">
            <w:pPr>
              <w:rPr>
                <w:rFonts w:ascii="宋体"/>
              </w:rPr>
            </w:pPr>
          </w:p>
        </w:tc>
        <w:tc>
          <w:tcPr>
            <w:tcW w:w="0" w:type="auto"/>
            <w:shd w:val="clear" w:color="auto" w:fill="auto"/>
            <w:vAlign w:val="center"/>
          </w:tcPr>
          <w:p w14:paraId="3693F047" w14:textId="77777777" w:rsidR="003734EC" w:rsidRDefault="003734EC">
            <w:pPr>
              <w:rPr>
                <w:rFonts w:ascii="宋体"/>
              </w:rPr>
            </w:pPr>
          </w:p>
        </w:tc>
        <w:tc>
          <w:tcPr>
            <w:tcW w:w="0" w:type="auto"/>
            <w:shd w:val="clear" w:color="auto" w:fill="auto"/>
            <w:vAlign w:val="center"/>
          </w:tcPr>
          <w:p w14:paraId="3693F048" w14:textId="77777777" w:rsidR="003734EC" w:rsidRDefault="003734EC">
            <w:pPr>
              <w:rPr>
                <w:rFonts w:ascii="宋体"/>
              </w:rPr>
            </w:pPr>
          </w:p>
        </w:tc>
        <w:tc>
          <w:tcPr>
            <w:tcW w:w="0" w:type="auto"/>
            <w:shd w:val="clear" w:color="auto" w:fill="auto"/>
            <w:vAlign w:val="center"/>
          </w:tcPr>
          <w:p w14:paraId="3693F049" w14:textId="77777777" w:rsidR="003734EC" w:rsidRDefault="003734EC">
            <w:pPr>
              <w:rPr>
                <w:rFonts w:ascii="宋体"/>
              </w:rPr>
            </w:pPr>
          </w:p>
        </w:tc>
        <w:tc>
          <w:tcPr>
            <w:tcW w:w="0" w:type="auto"/>
            <w:shd w:val="clear" w:color="auto" w:fill="auto"/>
            <w:vAlign w:val="center"/>
          </w:tcPr>
          <w:p w14:paraId="3693F04A" w14:textId="77777777" w:rsidR="003734EC" w:rsidRDefault="003734EC">
            <w:pPr>
              <w:rPr>
                <w:rFonts w:ascii="宋体"/>
              </w:rPr>
            </w:pPr>
          </w:p>
        </w:tc>
        <w:tc>
          <w:tcPr>
            <w:tcW w:w="0" w:type="auto"/>
            <w:shd w:val="clear" w:color="auto" w:fill="auto"/>
            <w:vAlign w:val="center"/>
          </w:tcPr>
          <w:p w14:paraId="3693F04B" w14:textId="77777777" w:rsidR="003734EC" w:rsidRDefault="003734EC">
            <w:pPr>
              <w:rPr>
                <w:rFonts w:ascii="宋体"/>
              </w:rPr>
            </w:pPr>
          </w:p>
        </w:tc>
      </w:tr>
      <w:tr w:rsidR="003734EC" w14:paraId="3693F059" w14:textId="77777777">
        <w:tc>
          <w:tcPr>
            <w:tcW w:w="0" w:type="auto"/>
            <w:gridSpan w:val="3"/>
            <w:shd w:val="clear" w:color="auto" w:fill="FFFFFF"/>
            <w:tcMar>
              <w:top w:w="40" w:type="dxa"/>
              <w:left w:w="20" w:type="dxa"/>
              <w:bottom w:w="40" w:type="dxa"/>
              <w:right w:w="20" w:type="dxa"/>
            </w:tcMar>
            <w:vAlign w:val="bottom"/>
          </w:tcPr>
          <w:p w14:paraId="3693F04D" w14:textId="77777777" w:rsidR="003734EC" w:rsidRDefault="000E364E">
            <w:pPr>
              <w:textAlignment w:val="bottom"/>
            </w:pPr>
            <w:r>
              <w:rPr>
                <w:rFonts w:ascii="sans-serif" w:eastAsia="sans-serif" w:hAnsi="sans-serif" w:cs="sans-serif"/>
                <w:color w:val="000000"/>
                <w:sz w:val="20"/>
                <w:szCs w:val="20"/>
              </w:rPr>
              <w:t>Deferred revenue (1)</w:t>
            </w:r>
          </w:p>
        </w:tc>
        <w:tc>
          <w:tcPr>
            <w:tcW w:w="0" w:type="auto"/>
            <w:gridSpan w:val="2"/>
            <w:shd w:val="clear" w:color="auto" w:fill="FFFFFF"/>
            <w:tcMar>
              <w:top w:w="40" w:type="dxa"/>
              <w:left w:w="20" w:type="dxa"/>
              <w:bottom w:w="40" w:type="dxa"/>
              <w:right w:w="0" w:type="dxa"/>
            </w:tcMar>
            <w:vAlign w:val="bottom"/>
          </w:tcPr>
          <w:p w14:paraId="3693F04E" w14:textId="77777777" w:rsidR="003734EC" w:rsidRDefault="000E364E">
            <w:pPr>
              <w:jc w:val="right"/>
              <w:textAlignment w:val="bottom"/>
            </w:pPr>
            <w:r>
              <w:rPr>
                <w:rFonts w:ascii="sans-serif" w:eastAsia="sans-serif" w:hAnsi="sans-serif" w:cs="sans-serif"/>
                <w:color w:val="000000"/>
                <w:sz w:val="20"/>
                <w:szCs w:val="20"/>
              </w:rPr>
              <w:t>174 </w:t>
            </w:r>
          </w:p>
        </w:tc>
        <w:tc>
          <w:tcPr>
            <w:tcW w:w="0" w:type="auto"/>
            <w:shd w:val="clear" w:color="auto" w:fill="FFFFFF"/>
            <w:tcMar>
              <w:top w:w="40" w:type="dxa"/>
              <w:bottom w:w="40" w:type="dxa"/>
              <w:right w:w="20" w:type="dxa"/>
            </w:tcMar>
            <w:vAlign w:val="bottom"/>
          </w:tcPr>
          <w:p w14:paraId="3693F04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05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051" w14:textId="77777777" w:rsidR="003734EC" w:rsidRDefault="000E364E">
            <w:pPr>
              <w:jc w:val="right"/>
              <w:textAlignment w:val="bottom"/>
            </w:pPr>
            <w:r>
              <w:rPr>
                <w:rFonts w:ascii="sans-serif" w:eastAsia="sans-serif" w:hAnsi="sans-serif" w:cs="sans-serif"/>
                <w:color w:val="000000"/>
                <w:sz w:val="20"/>
                <w:szCs w:val="20"/>
              </w:rPr>
              <w:t>141 </w:t>
            </w:r>
          </w:p>
        </w:tc>
        <w:tc>
          <w:tcPr>
            <w:tcW w:w="0" w:type="auto"/>
            <w:shd w:val="clear" w:color="auto" w:fill="FFFFFF"/>
            <w:tcMar>
              <w:top w:w="40" w:type="dxa"/>
              <w:bottom w:w="40" w:type="dxa"/>
              <w:right w:w="20" w:type="dxa"/>
            </w:tcMar>
            <w:vAlign w:val="bottom"/>
          </w:tcPr>
          <w:p w14:paraId="3693F05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53" w14:textId="77777777" w:rsidR="003734EC" w:rsidRDefault="003734EC">
            <w:pPr>
              <w:rPr>
                <w:rFonts w:ascii="宋体"/>
              </w:rPr>
            </w:pPr>
          </w:p>
        </w:tc>
        <w:tc>
          <w:tcPr>
            <w:tcW w:w="0" w:type="auto"/>
            <w:shd w:val="clear" w:color="auto" w:fill="auto"/>
            <w:vAlign w:val="center"/>
          </w:tcPr>
          <w:p w14:paraId="3693F054" w14:textId="77777777" w:rsidR="003734EC" w:rsidRDefault="003734EC">
            <w:pPr>
              <w:rPr>
                <w:rFonts w:ascii="宋体"/>
              </w:rPr>
            </w:pPr>
          </w:p>
        </w:tc>
        <w:tc>
          <w:tcPr>
            <w:tcW w:w="0" w:type="auto"/>
            <w:shd w:val="clear" w:color="auto" w:fill="auto"/>
            <w:vAlign w:val="center"/>
          </w:tcPr>
          <w:p w14:paraId="3693F055" w14:textId="77777777" w:rsidR="003734EC" w:rsidRDefault="003734EC">
            <w:pPr>
              <w:rPr>
                <w:rFonts w:ascii="宋体"/>
              </w:rPr>
            </w:pPr>
          </w:p>
        </w:tc>
        <w:tc>
          <w:tcPr>
            <w:tcW w:w="0" w:type="auto"/>
            <w:shd w:val="clear" w:color="auto" w:fill="auto"/>
            <w:vAlign w:val="center"/>
          </w:tcPr>
          <w:p w14:paraId="3693F056" w14:textId="77777777" w:rsidR="003734EC" w:rsidRDefault="003734EC">
            <w:pPr>
              <w:rPr>
                <w:rFonts w:ascii="宋体"/>
              </w:rPr>
            </w:pPr>
          </w:p>
        </w:tc>
        <w:tc>
          <w:tcPr>
            <w:tcW w:w="0" w:type="auto"/>
            <w:shd w:val="clear" w:color="auto" w:fill="auto"/>
            <w:vAlign w:val="center"/>
          </w:tcPr>
          <w:p w14:paraId="3693F057" w14:textId="77777777" w:rsidR="003734EC" w:rsidRDefault="003734EC">
            <w:pPr>
              <w:rPr>
                <w:rFonts w:ascii="宋体"/>
              </w:rPr>
            </w:pPr>
          </w:p>
        </w:tc>
        <w:tc>
          <w:tcPr>
            <w:tcW w:w="0" w:type="auto"/>
            <w:shd w:val="clear" w:color="auto" w:fill="auto"/>
            <w:vAlign w:val="center"/>
          </w:tcPr>
          <w:p w14:paraId="3693F058" w14:textId="77777777" w:rsidR="003734EC" w:rsidRDefault="003734EC">
            <w:pPr>
              <w:rPr>
                <w:rFonts w:ascii="宋体"/>
              </w:rPr>
            </w:pPr>
          </w:p>
        </w:tc>
      </w:tr>
      <w:tr w:rsidR="003734EC" w14:paraId="3693F066" w14:textId="77777777">
        <w:tc>
          <w:tcPr>
            <w:tcW w:w="0" w:type="auto"/>
            <w:gridSpan w:val="3"/>
            <w:shd w:val="clear" w:color="auto" w:fill="E2EFD9"/>
            <w:tcMar>
              <w:top w:w="40" w:type="dxa"/>
              <w:left w:w="20" w:type="dxa"/>
              <w:bottom w:w="40" w:type="dxa"/>
              <w:right w:w="20" w:type="dxa"/>
            </w:tcMar>
            <w:vAlign w:val="bottom"/>
          </w:tcPr>
          <w:p w14:paraId="3693F05A" w14:textId="77777777" w:rsidR="003734EC" w:rsidRDefault="000E364E">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E2EFD9"/>
            <w:tcMar>
              <w:top w:w="40" w:type="dxa"/>
              <w:left w:w="20" w:type="dxa"/>
              <w:bottom w:w="40" w:type="dxa"/>
              <w:right w:w="0" w:type="dxa"/>
            </w:tcMar>
            <w:vAlign w:val="bottom"/>
          </w:tcPr>
          <w:p w14:paraId="3693F05B" w14:textId="77777777" w:rsidR="003734EC" w:rsidRDefault="000E364E">
            <w:pPr>
              <w:jc w:val="right"/>
              <w:textAlignment w:val="bottom"/>
            </w:pPr>
            <w:r>
              <w:rPr>
                <w:rFonts w:ascii="sans-serif" w:eastAsia="sans-serif" w:hAnsi="sans-serif" w:cs="sans-serif"/>
                <w:color w:val="000000"/>
                <w:sz w:val="20"/>
                <w:szCs w:val="20"/>
              </w:rPr>
              <w:t>164 </w:t>
            </w:r>
          </w:p>
        </w:tc>
        <w:tc>
          <w:tcPr>
            <w:tcW w:w="0" w:type="auto"/>
            <w:shd w:val="clear" w:color="auto" w:fill="E2EFD9"/>
            <w:tcMar>
              <w:top w:w="40" w:type="dxa"/>
              <w:bottom w:w="40" w:type="dxa"/>
              <w:right w:w="20" w:type="dxa"/>
            </w:tcMar>
            <w:vAlign w:val="bottom"/>
          </w:tcPr>
          <w:p w14:paraId="3693F05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05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05E" w14:textId="77777777" w:rsidR="003734EC" w:rsidRDefault="000E364E">
            <w:pPr>
              <w:jc w:val="right"/>
              <w:textAlignment w:val="bottom"/>
            </w:pPr>
            <w:r>
              <w:rPr>
                <w:rFonts w:ascii="sans-serif" w:eastAsia="sans-serif" w:hAnsi="sans-serif" w:cs="sans-serif"/>
                <w:color w:val="000000"/>
                <w:sz w:val="20"/>
                <w:szCs w:val="20"/>
              </w:rPr>
              <w:t>185 </w:t>
            </w:r>
          </w:p>
        </w:tc>
        <w:tc>
          <w:tcPr>
            <w:tcW w:w="0" w:type="auto"/>
            <w:shd w:val="clear" w:color="auto" w:fill="E2EFD9"/>
            <w:tcMar>
              <w:top w:w="40" w:type="dxa"/>
              <w:bottom w:w="40" w:type="dxa"/>
              <w:right w:w="20" w:type="dxa"/>
            </w:tcMar>
            <w:vAlign w:val="bottom"/>
          </w:tcPr>
          <w:p w14:paraId="3693F05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60" w14:textId="77777777" w:rsidR="003734EC" w:rsidRDefault="003734EC">
            <w:pPr>
              <w:rPr>
                <w:rFonts w:ascii="宋体"/>
              </w:rPr>
            </w:pPr>
          </w:p>
        </w:tc>
        <w:tc>
          <w:tcPr>
            <w:tcW w:w="0" w:type="auto"/>
            <w:shd w:val="clear" w:color="auto" w:fill="auto"/>
            <w:vAlign w:val="center"/>
          </w:tcPr>
          <w:p w14:paraId="3693F061" w14:textId="77777777" w:rsidR="003734EC" w:rsidRDefault="003734EC">
            <w:pPr>
              <w:rPr>
                <w:rFonts w:ascii="宋体"/>
              </w:rPr>
            </w:pPr>
          </w:p>
        </w:tc>
        <w:tc>
          <w:tcPr>
            <w:tcW w:w="0" w:type="auto"/>
            <w:shd w:val="clear" w:color="auto" w:fill="auto"/>
            <w:vAlign w:val="center"/>
          </w:tcPr>
          <w:p w14:paraId="3693F062" w14:textId="77777777" w:rsidR="003734EC" w:rsidRDefault="003734EC">
            <w:pPr>
              <w:rPr>
                <w:rFonts w:ascii="宋体"/>
              </w:rPr>
            </w:pPr>
          </w:p>
        </w:tc>
        <w:tc>
          <w:tcPr>
            <w:tcW w:w="0" w:type="auto"/>
            <w:shd w:val="clear" w:color="auto" w:fill="auto"/>
            <w:vAlign w:val="center"/>
          </w:tcPr>
          <w:p w14:paraId="3693F063" w14:textId="77777777" w:rsidR="003734EC" w:rsidRDefault="003734EC">
            <w:pPr>
              <w:rPr>
                <w:rFonts w:ascii="宋体"/>
              </w:rPr>
            </w:pPr>
          </w:p>
        </w:tc>
        <w:tc>
          <w:tcPr>
            <w:tcW w:w="0" w:type="auto"/>
            <w:shd w:val="clear" w:color="auto" w:fill="auto"/>
            <w:vAlign w:val="center"/>
          </w:tcPr>
          <w:p w14:paraId="3693F064" w14:textId="77777777" w:rsidR="003734EC" w:rsidRDefault="003734EC">
            <w:pPr>
              <w:rPr>
                <w:rFonts w:ascii="宋体"/>
              </w:rPr>
            </w:pPr>
          </w:p>
        </w:tc>
        <w:tc>
          <w:tcPr>
            <w:tcW w:w="0" w:type="auto"/>
            <w:shd w:val="clear" w:color="auto" w:fill="auto"/>
            <w:vAlign w:val="center"/>
          </w:tcPr>
          <w:p w14:paraId="3693F065" w14:textId="77777777" w:rsidR="003734EC" w:rsidRDefault="003734EC">
            <w:pPr>
              <w:rPr>
                <w:rFonts w:ascii="宋体"/>
              </w:rPr>
            </w:pPr>
          </w:p>
        </w:tc>
      </w:tr>
      <w:tr w:rsidR="003734EC" w14:paraId="3693F073" w14:textId="77777777">
        <w:tc>
          <w:tcPr>
            <w:tcW w:w="0" w:type="auto"/>
            <w:gridSpan w:val="3"/>
            <w:shd w:val="clear" w:color="auto" w:fill="FFFFFF"/>
            <w:tcMar>
              <w:top w:w="40" w:type="dxa"/>
              <w:left w:w="20" w:type="dxa"/>
              <w:bottom w:w="40" w:type="dxa"/>
              <w:right w:w="20" w:type="dxa"/>
            </w:tcMar>
            <w:vAlign w:val="bottom"/>
          </w:tcPr>
          <w:p w14:paraId="3693F067" w14:textId="77777777" w:rsidR="003734EC" w:rsidRDefault="000E364E">
            <w:pPr>
              <w:textAlignment w:val="bottom"/>
            </w:pPr>
            <w:r>
              <w:rPr>
                <w:rFonts w:ascii="sans-serif" w:eastAsia="sans-serif" w:hAnsi="sans-serif" w:cs="sans-serif"/>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14:paraId="3693F068" w14:textId="77777777" w:rsidR="003734EC" w:rsidRDefault="000E364E">
            <w:pPr>
              <w:jc w:val="right"/>
              <w:textAlignment w:val="bottom"/>
            </w:pPr>
            <w:r>
              <w:rPr>
                <w:rFonts w:ascii="sans-serif" w:eastAsia="sans-serif" w:hAnsi="sans-serif" w:cs="sans-serif"/>
                <w:color w:val="000000"/>
                <w:sz w:val="20"/>
                <w:szCs w:val="20"/>
              </w:rPr>
              <w:t>100 </w:t>
            </w:r>
          </w:p>
        </w:tc>
        <w:tc>
          <w:tcPr>
            <w:tcW w:w="0" w:type="auto"/>
            <w:shd w:val="clear" w:color="auto" w:fill="FFFFFF"/>
            <w:tcMar>
              <w:top w:w="40" w:type="dxa"/>
              <w:bottom w:w="40" w:type="dxa"/>
              <w:right w:w="20" w:type="dxa"/>
            </w:tcMar>
            <w:vAlign w:val="bottom"/>
          </w:tcPr>
          <w:p w14:paraId="3693F06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06A"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06B" w14:textId="77777777" w:rsidR="003734EC" w:rsidRDefault="000E364E">
            <w:pPr>
              <w:jc w:val="right"/>
              <w:textAlignment w:val="bottom"/>
            </w:pPr>
            <w:r>
              <w:rPr>
                <w:rFonts w:ascii="sans-serif" w:eastAsia="sans-serif" w:hAnsi="sans-serif" w:cs="sans-serif"/>
                <w:color w:val="000000"/>
                <w:sz w:val="20"/>
                <w:szCs w:val="20"/>
              </w:rPr>
              <w:t>91 </w:t>
            </w:r>
          </w:p>
        </w:tc>
        <w:tc>
          <w:tcPr>
            <w:tcW w:w="0" w:type="auto"/>
            <w:shd w:val="clear" w:color="auto" w:fill="FFFFFF"/>
            <w:tcMar>
              <w:top w:w="40" w:type="dxa"/>
              <w:bottom w:w="40" w:type="dxa"/>
              <w:right w:w="20" w:type="dxa"/>
            </w:tcMar>
            <w:vAlign w:val="bottom"/>
          </w:tcPr>
          <w:p w14:paraId="3693F06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6D" w14:textId="77777777" w:rsidR="003734EC" w:rsidRDefault="003734EC">
            <w:pPr>
              <w:rPr>
                <w:rFonts w:ascii="宋体"/>
              </w:rPr>
            </w:pPr>
          </w:p>
        </w:tc>
        <w:tc>
          <w:tcPr>
            <w:tcW w:w="0" w:type="auto"/>
            <w:shd w:val="clear" w:color="auto" w:fill="auto"/>
            <w:vAlign w:val="center"/>
          </w:tcPr>
          <w:p w14:paraId="3693F06E" w14:textId="77777777" w:rsidR="003734EC" w:rsidRDefault="003734EC">
            <w:pPr>
              <w:rPr>
                <w:rFonts w:ascii="宋体"/>
              </w:rPr>
            </w:pPr>
          </w:p>
        </w:tc>
        <w:tc>
          <w:tcPr>
            <w:tcW w:w="0" w:type="auto"/>
            <w:shd w:val="clear" w:color="auto" w:fill="auto"/>
            <w:vAlign w:val="center"/>
          </w:tcPr>
          <w:p w14:paraId="3693F06F" w14:textId="77777777" w:rsidR="003734EC" w:rsidRDefault="003734EC">
            <w:pPr>
              <w:rPr>
                <w:rFonts w:ascii="宋体"/>
              </w:rPr>
            </w:pPr>
          </w:p>
        </w:tc>
        <w:tc>
          <w:tcPr>
            <w:tcW w:w="0" w:type="auto"/>
            <w:shd w:val="clear" w:color="auto" w:fill="auto"/>
            <w:vAlign w:val="center"/>
          </w:tcPr>
          <w:p w14:paraId="3693F070" w14:textId="77777777" w:rsidR="003734EC" w:rsidRDefault="003734EC">
            <w:pPr>
              <w:rPr>
                <w:rFonts w:ascii="宋体"/>
              </w:rPr>
            </w:pPr>
          </w:p>
        </w:tc>
        <w:tc>
          <w:tcPr>
            <w:tcW w:w="0" w:type="auto"/>
            <w:shd w:val="clear" w:color="auto" w:fill="auto"/>
            <w:vAlign w:val="center"/>
          </w:tcPr>
          <w:p w14:paraId="3693F071" w14:textId="77777777" w:rsidR="003734EC" w:rsidRDefault="003734EC">
            <w:pPr>
              <w:rPr>
                <w:rFonts w:ascii="宋体"/>
              </w:rPr>
            </w:pPr>
          </w:p>
        </w:tc>
        <w:tc>
          <w:tcPr>
            <w:tcW w:w="0" w:type="auto"/>
            <w:shd w:val="clear" w:color="auto" w:fill="auto"/>
            <w:vAlign w:val="center"/>
          </w:tcPr>
          <w:p w14:paraId="3693F072" w14:textId="77777777" w:rsidR="003734EC" w:rsidRDefault="003734EC">
            <w:pPr>
              <w:rPr>
                <w:rFonts w:ascii="宋体"/>
              </w:rPr>
            </w:pPr>
          </w:p>
        </w:tc>
      </w:tr>
      <w:tr w:rsidR="003734EC" w14:paraId="3693F080" w14:textId="77777777">
        <w:tc>
          <w:tcPr>
            <w:tcW w:w="0" w:type="auto"/>
            <w:gridSpan w:val="3"/>
            <w:shd w:val="clear" w:color="auto" w:fill="E2EFD9"/>
            <w:tcMar>
              <w:top w:w="40" w:type="dxa"/>
              <w:left w:w="20" w:type="dxa"/>
              <w:bottom w:w="40" w:type="dxa"/>
              <w:right w:w="20" w:type="dxa"/>
            </w:tcMar>
            <w:vAlign w:val="bottom"/>
          </w:tcPr>
          <w:p w14:paraId="3693F074" w14:textId="77777777" w:rsidR="003734EC" w:rsidRDefault="000E364E">
            <w:pPr>
              <w:textAlignment w:val="bottom"/>
            </w:pPr>
            <w:r>
              <w:rPr>
                <w:rFonts w:ascii="sans-serif" w:eastAsia="sans-serif" w:hAnsi="sans-serif" w:cs="sans-serif"/>
                <w:color w:val="000000"/>
                <w:sz w:val="20"/>
                <w:szCs w:val="20"/>
              </w:rPr>
              <w:t>Licenses and royalties</w:t>
            </w:r>
          </w:p>
        </w:tc>
        <w:tc>
          <w:tcPr>
            <w:tcW w:w="0" w:type="auto"/>
            <w:gridSpan w:val="2"/>
            <w:shd w:val="clear" w:color="auto" w:fill="E2EFD9"/>
            <w:tcMar>
              <w:top w:w="40" w:type="dxa"/>
              <w:left w:w="20" w:type="dxa"/>
              <w:bottom w:w="40" w:type="dxa"/>
              <w:right w:w="0" w:type="dxa"/>
            </w:tcMar>
            <w:vAlign w:val="bottom"/>
          </w:tcPr>
          <w:p w14:paraId="3693F075" w14:textId="77777777" w:rsidR="003734EC" w:rsidRDefault="000E364E">
            <w:pPr>
              <w:jc w:val="right"/>
              <w:textAlignment w:val="bottom"/>
            </w:pPr>
            <w:r>
              <w:rPr>
                <w:rFonts w:ascii="sans-serif" w:eastAsia="sans-serif" w:hAnsi="sans-serif" w:cs="sans-serif"/>
                <w:color w:val="000000"/>
                <w:sz w:val="20"/>
                <w:szCs w:val="20"/>
              </w:rPr>
              <w:t>78 </w:t>
            </w:r>
          </w:p>
        </w:tc>
        <w:tc>
          <w:tcPr>
            <w:tcW w:w="0" w:type="auto"/>
            <w:shd w:val="clear" w:color="auto" w:fill="E2EFD9"/>
            <w:tcMar>
              <w:top w:w="40" w:type="dxa"/>
              <w:bottom w:w="40" w:type="dxa"/>
              <w:right w:w="20" w:type="dxa"/>
            </w:tcMar>
            <w:vAlign w:val="bottom"/>
          </w:tcPr>
          <w:p w14:paraId="3693F07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077"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078" w14:textId="77777777" w:rsidR="003734EC" w:rsidRDefault="000E364E">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bottom w:w="40" w:type="dxa"/>
              <w:right w:w="20" w:type="dxa"/>
            </w:tcMar>
            <w:vAlign w:val="bottom"/>
          </w:tcPr>
          <w:p w14:paraId="3693F07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7A" w14:textId="77777777" w:rsidR="003734EC" w:rsidRDefault="003734EC">
            <w:pPr>
              <w:rPr>
                <w:rFonts w:ascii="宋体"/>
              </w:rPr>
            </w:pPr>
          </w:p>
        </w:tc>
        <w:tc>
          <w:tcPr>
            <w:tcW w:w="0" w:type="auto"/>
            <w:shd w:val="clear" w:color="auto" w:fill="auto"/>
            <w:vAlign w:val="center"/>
          </w:tcPr>
          <w:p w14:paraId="3693F07B" w14:textId="77777777" w:rsidR="003734EC" w:rsidRDefault="003734EC">
            <w:pPr>
              <w:rPr>
                <w:rFonts w:ascii="宋体"/>
              </w:rPr>
            </w:pPr>
          </w:p>
        </w:tc>
        <w:tc>
          <w:tcPr>
            <w:tcW w:w="0" w:type="auto"/>
            <w:shd w:val="clear" w:color="auto" w:fill="auto"/>
            <w:vAlign w:val="center"/>
          </w:tcPr>
          <w:p w14:paraId="3693F07C" w14:textId="77777777" w:rsidR="003734EC" w:rsidRDefault="003734EC">
            <w:pPr>
              <w:rPr>
                <w:rFonts w:ascii="宋体"/>
              </w:rPr>
            </w:pPr>
          </w:p>
        </w:tc>
        <w:tc>
          <w:tcPr>
            <w:tcW w:w="0" w:type="auto"/>
            <w:shd w:val="clear" w:color="auto" w:fill="auto"/>
            <w:vAlign w:val="center"/>
          </w:tcPr>
          <w:p w14:paraId="3693F07D" w14:textId="77777777" w:rsidR="003734EC" w:rsidRDefault="003734EC">
            <w:pPr>
              <w:rPr>
                <w:rFonts w:ascii="宋体"/>
              </w:rPr>
            </w:pPr>
          </w:p>
        </w:tc>
        <w:tc>
          <w:tcPr>
            <w:tcW w:w="0" w:type="auto"/>
            <w:shd w:val="clear" w:color="auto" w:fill="auto"/>
            <w:vAlign w:val="center"/>
          </w:tcPr>
          <w:p w14:paraId="3693F07E" w14:textId="77777777" w:rsidR="003734EC" w:rsidRDefault="003734EC">
            <w:pPr>
              <w:rPr>
                <w:rFonts w:ascii="宋体"/>
              </w:rPr>
            </w:pPr>
          </w:p>
        </w:tc>
        <w:tc>
          <w:tcPr>
            <w:tcW w:w="0" w:type="auto"/>
            <w:shd w:val="clear" w:color="auto" w:fill="auto"/>
            <w:vAlign w:val="center"/>
          </w:tcPr>
          <w:p w14:paraId="3693F07F" w14:textId="77777777" w:rsidR="003734EC" w:rsidRDefault="003734EC">
            <w:pPr>
              <w:rPr>
                <w:rFonts w:ascii="宋体"/>
              </w:rPr>
            </w:pPr>
          </w:p>
        </w:tc>
      </w:tr>
      <w:tr w:rsidR="003734EC" w14:paraId="3693F08D" w14:textId="77777777">
        <w:tc>
          <w:tcPr>
            <w:tcW w:w="0" w:type="auto"/>
            <w:gridSpan w:val="3"/>
            <w:shd w:val="clear" w:color="auto" w:fill="FFFFFF"/>
            <w:tcMar>
              <w:top w:w="40" w:type="dxa"/>
              <w:left w:w="20" w:type="dxa"/>
              <w:bottom w:w="40" w:type="dxa"/>
              <w:right w:w="20" w:type="dxa"/>
            </w:tcMar>
            <w:vAlign w:val="bottom"/>
          </w:tcPr>
          <w:p w14:paraId="3693F081" w14:textId="77777777" w:rsidR="003734EC" w:rsidRDefault="000E364E">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3693F082" w14:textId="77777777" w:rsidR="003734EC" w:rsidRDefault="000E364E">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bottom w:w="40" w:type="dxa"/>
              <w:right w:w="20" w:type="dxa"/>
            </w:tcMar>
            <w:vAlign w:val="bottom"/>
          </w:tcPr>
          <w:p w14:paraId="3693F08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084"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085" w14:textId="77777777" w:rsidR="003734EC" w:rsidRDefault="000E364E">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bottom w:w="40" w:type="dxa"/>
              <w:right w:w="20" w:type="dxa"/>
            </w:tcMar>
            <w:vAlign w:val="bottom"/>
          </w:tcPr>
          <w:p w14:paraId="3693F08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87" w14:textId="77777777" w:rsidR="003734EC" w:rsidRDefault="003734EC">
            <w:pPr>
              <w:rPr>
                <w:rFonts w:ascii="宋体"/>
              </w:rPr>
            </w:pPr>
          </w:p>
        </w:tc>
        <w:tc>
          <w:tcPr>
            <w:tcW w:w="0" w:type="auto"/>
            <w:shd w:val="clear" w:color="auto" w:fill="auto"/>
            <w:vAlign w:val="center"/>
          </w:tcPr>
          <w:p w14:paraId="3693F088" w14:textId="77777777" w:rsidR="003734EC" w:rsidRDefault="003734EC">
            <w:pPr>
              <w:rPr>
                <w:rFonts w:ascii="宋体"/>
              </w:rPr>
            </w:pPr>
          </w:p>
        </w:tc>
        <w:tc>
          <w:tcPr>
            <w:tcW w:w="0" w:type="auto"/>
            <w:shd w:val="clear" w:color="auto" w:fill="auto"/>
            <w:vAlign w:val="center"/>
          </w:tcPr>
          <w:p w14:paraId="3693F089" w14:textId="77777777" w:rsidR="003734EC" w:rsidRDefault="003734EC">
            <w:pPr>
              <w:rPr>
                <w:rFonts w:ascii="宋体"/>
              </w:rPr>
            </w:pPr>
          </w:p>
        </w:tc>
        <w:tc>
          <w:tcPr>
            <w:tcW w:w="0" w:type="auto"/>
            <w:shd w:val="clear" w:color="auto" w:fill="auto"/>
            <w:vAlign w:val="center"/>
          </w:tcPr>
          <w:p w14:paraId="3693F08A" w14:textId="77777777" w:rsidR="003734EC" w:rsidRDefault="003734EC">
            <w:pPr>
              <w:rPr>
                <w:rFonts w:ascii="宋体"/>
              </w:rPr>
            </w:pPr>
          </w:p>
        </w:tc>
        <w:tc>
          <w:tcPr>
            <w:tcW w:w="0" w:type="auto"/>
            <w:shd w:val="clear" w:color="auto" w:fill="auto"/>
            <w:vAlign w:val="center"/>
          </w:tcPr>
          <w:p w14:paraId="3693F08B" w14:textId="77777777" w:rsidR="003734EC" w:rsidRDefault="003734EC">
            <w:pPr>
              <w:rPr>
                <w:rFonts w:ascii="宋体"/>
              </w:rPr>
            </w:pPr>
          </w:p>
        </w:tc>
        <w:tc>
          <w:tcPr>
            <w:tcW w:w="0" w:type="auto"/>
            <w:shd w:val="clear" w:color="auto" w:fill="auto"/>
            <w:vAlign w:val="center"/>
          </w:tcPr>
          <w:p w14:paraId="3693F08C" w14:textId="77777777" w:rsidR="003734EC" w:rsidRDefault="003734EC">
            <w:pPr>
              <w:rPr>
                <w:rFonts w:ascii="宋体"/>
              </w:rPr>
            </w:pPr>
          </w:p>
        </w:tc>
      </w:tr>
      <w:tr w:rsidR="003734EC" w14:paraId="3693F098" w14:textId="77777777">
        <w:trPr>
          <w:hidden/>
        </w:trPr>
        <w:tc>
          <w:tcPr>
            <w:tcW w:w="0" w:type="auto"/>
            <w:gridSpan w:val="3"/>
            <w:shd w:val="clear" w:color="auto" w:fill="auto"/>
            <w:vAlign w:val="center"/>
          </w:tcPr>
          <w:p w14:paraId="3693F08E" w14:textId="77777777" w:rsidR="003734EC" w:rsidRDefault="003734EC">
            <w:pPr>
              <w:rPr>
                <w:rFonts w:ascii="宋体"/>
                <w:vanish/>
              </w:rPr>
            </w:pPr>
          </w:p>
        </w:tc>
        <w:tc>
          <w:tcPr>
            <w:tcW w:w="0" w:type="auto"/>
            <w:gridSpan w:val="3"/>
            <w:shd w:val="clear" w:color="auto" w:fill="auto"/>
            <w:vAlign w:val="center"/>
          </w:tcPr>
          <w:p w14:paraId="3693F08F" w14:textId="77777777" w:rsidR="003734EC" w:rsidRDefault="003734EC">
            <w:pPr>
              <w:rPr>
                <w:rFonts w:ascii="宋体"/>
                <w:vanish/>
              </w:rPr>
            </w:pPr>
          </w:p>
        </w:tc>
        <w:tc>
          <w:tcPr>
            <w:tcW w:w="0" w:type="auto"/>
            <w:gridSpan w:val="3"/>
            <w:shd w:val="clear" w:color="auto" w:fill="auto"/>
            <w:vAlign w:val="center"/>
          </w:tcPr>
          <w:p w14:paraId="3693F090" w14:textId="77777777" w:rsidR="003734EC" w:rsidRDefault="003734EC">
            <w:pPr>
              <w:rPr>
                <w:rFonts w:ascii="宋体"/>
                <w:vanish/>
              </w:rPr>
            </w:pPr>
          </w:p>
        </w:tc>
        <w:tc>
          <w:tcPr>
            <w:tcW w:w="0" w:type="auto"/>
            <w:gridSpan w:val="3"/>
            <w:shd w:val="clear" w:color="auto" w:fill="auto"/>
            <w:vAlign w:val="center"/>
          </w:tcPr>
          <w:p w14:paraId="3693F091" w14:textId="77777777" w:rsidR="003734EC" w:rsidRDefault="003734EC">
            <w:pPr>
              <w:rPr>
                <w:rFonts w:ascii="宋体"/>
                <w:vanish/>
              </w:rPr>
            </w:pPr>
          </w:p>
        </w:tc>
        <w:tc>
          <w:tcPr>
            <w:tcW w:w="0" w:type="auto"/>
            <w:shd w:val="clear" w:color="auto" w:fill="auto"/>
            <w:vAlign w:val="center"/>
          </w:tcPr>
          <w:p w14:paraId="3693F092" w14:textId="77777777" w:rsidR="003734EC" w:rsidRDefault="003734EC">
            <w:pPr>
              <w:rPr>
                <w:rFonts w:ascii="宋体"/>
              </w:rPr>
            </w:pPr>
          </w:p>
        </w:tc>
        <w:tc>
          <w:tcPr>
            <w:tcW w:w="0" w:type="auto"/>
            <w:shd w:val="clear" w:color="auto" w:fill="auto"/>
            <w:vAlign w:val="center"/>
          </w:tcPr>
          <w:p w14:paraId="3693F093" w14:textId="77777777" w:rsidR="003734EC" w:rsidRDefault="003734EC">
            <w:pPr>
              <w:rPr>
                <w:rFonts w:ascii="宋体"/>
              </w:rPr>
            </w:pPr>
          </w:p>
        </w:tc>
        <w:tc>
          <w:tcPr>
            <w:tcW w:w="0" w:type="auto"/>
            <w:shd w:val="clear" w:color="auto" w:fill="auto"/>
            <w:vAlign w:val="center"/>
          </w:tcPr>
          <w:p w14:paraId="3693F094" w14:textId="77777777" w:rsidR="003734EC" w:rsidRDefault="003734EC">
            <w:pPr>
              <w:rPr>
                <w:rFonts w:ascii="宋体"/>
              </w:rPr>
            </w:pPr>
          </w:p>
        </w:tc>
        <w:tc>
          <w:tcPr>
            <w:tcW w:w="0" w:type="auto"/>
            <w:shd w:val="clear" w:color="auto" w:fill="auto"/>
            <w:vAlign w:val="center"/>
          </w:tcPr>
          <w:p w14:paraId="3693F095" w14:textId="77777777" w:rsidR="003734EC" w:rsidRDefault="003734EC">
            <w:pPr>
              <w:rPr>
                <w:rFonts w:ascii="宋体"/>
              </w:rPr>
            </w:pPr>
          </w:p>
        </w:tc>
        <w:tc>
          <w:tcPr>
            <w:tcW w:w="0" w:type="auto"/>
            <w:shd w:val="clear" w:color="auto" w:fill="auto"/>
            <w:vAlign w:val="center"/>
          </w:tcPr>
          <w:p w14:paraId="3693F096" w14:textId="77777777" w:rsidR="003734EC" w:rsidRDefault="003734EC">
            <w:pPr>
              <w:rPr>
                <w:rFonts w:ascii="宋体"/>
              </w:rPr>
            </w:pPr>
          </w:p>
        </w:tc>
        <w:tc>
          <w:tcPr>
            <w:tcW w:w="0" w:type="auto"/>
            <w:shd w:val="clear" w:color="auto" w:fill="auto"/>
            <w:vAlign w:val="center"/>
          </w:tcPr>
          <w:p w14:paraId="3693F097" w14:textId="77777777" w:rsidR="003734EC" w:rsidRDefault="003734EC">
            <w:pPr>
              <w:rPr>
                <w:rFonts w:ascii="宋体"/>
              </w:rPr>
            </w:pPr>
          </w:p>
        </w:tc>
      </w:tr>
      <w:tr w:rsidR="003734EC" w14:paraId="3693F0A5" w14:textId="77777777">
        <w:tc>
          <w:tcPr>
            <w:tcW w:w="0" w:type="auto"/>
            <w:gridSpan w:val="3"/>
            <w:shd w:val="clear" w:color="auto" w:fill="E2EFD9"/>
            <w:tcMar>
              <w:top w:w="40" w:type="dxa"/>
              <w:left w:w="20" w:type="dxa"/>
              <w:bottom w:w="40" w:type="dxa"/>
              <w:right w:w="20" w:type="dxa"/>
            </w:tcMar>
            <w:vAlign w:val="bottom"/>
          </w:tcPr>
          <w:p w14:paraId="3693F099" w14:textId="77777777" w:rsidR="003734EC" w:rsidRDefault="000E364E">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E2EFD9"/>
            <w:tcMar>
              <w:top w:w="40" w:type="dxa"/>
              <w:left w:w="20" w:type="dxa"/>
              <w:bottom w:w="40" w:type="dxa"/>
              <w:right w:w="0" w:type="dxa"/>
            </w:tcMar>
            <w:vAlign w:val="bottom"/>
          </w:tcPr>
          <w:p w14:paraId="3693F09A" w14:textId="77777777" w:rsidR="003734EC" w:rsidRDefault="000E364E">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bottom w:w="40" w:type="dxa"/>
              <w:right w:w="20" w:type="dxa"/>
            </w:tcMar>
            <w:vAlign w:val="bottom"/>
          </w:tcPr>
          <w:p w14:paraId="3693F09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09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09D" w14:textId="77777777" w:rsidR="003734EC" w:rsidRDefault="000E364E">
            <w:pPr>
              <w:jc w:val="right"/>
              <w:textAlignment w:val="bottom"/>
            </w:pPr>
            <w:r>
              <w:rPr>
                <w:rFonts w:ascii="sans-serif" w:eastAsia="sans-serif" w:hAnsi="sans-serif" w:cs="sans-serif"/>
                <w:color w:val="000000"/>
                <w:sz w:val="20"/>
                <w:szCs w:val="20"/>
              </w:rPr>
              <w:t>24 </w:t>
            </w:r>
          </w:p>
        </w:tc>
        <w:tc>
          <w:tcPr>
            <w:tcW w:w="0" w:type="auto"/>
            <w:shd w:val="clear" w:color="auto" w:fill="E2EFD9"/>
            <w:tcMar>
              <w:top w:w="40" w:type="dxa"/>
              <w:bottom w:w="40" w:type="dxa"/>
              <w:right w:w="20" w:type="dxa"/>
            </w:tcMar>
            <w:vAlign w:val="bottom"/>
          </w:tcPr>
          <w:p w14:paraId="3693F09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9F" w14:textId="77777777" w:rsidR="003734EC" w:rsidRDefault="003734EC">
            <w:pPr>
              <w:rPr>
                <w:rFonts w:ascii="宋体"/>
              </w:rPr>
            </w:pPr>
          </w:p>
        </w:tc>
        <w:tc>
          <w:tcPr>
            <w:tcW w:w="0" w:type="auto"/>
            <w:shd w:val="clear" w:color="auto" w:fill="auto"/>
            <w:vAlign w:val="center"/>
          </w:tcPr>
          <w:p w14:paraId="3693F0A0" w14:textId="77777777" w:rsidR="003734EC" w:rsidRDefault="003734EC">
            <w:pPr>
              <w:rPr>
                <w:rFonts w:ascii="宋体"/>
              </w:rPr>
            </w:pPr>
          </w:p>
        </w:tc>
        <w:tc>
          <w:tcPr>
            <w:tcW w:w="0" w:type="auto"/>
            <w:shd w:val="clear" w:color="auto" w:fill="auto"/>
            <w:vAlign w:val="center"/>
          </w:tcPr>
          <w:p w14:paraId="3693F0A1" w14:textId="77777777" w:rsidR="003734EC" w:rsidRDefault="003734EC">
            <w:pPr>
              <w:rPr>
                <w:rFonts w:ascii="宋体"/>
              </w:rPr>
            </w:pPr>
          </w:p>
        </w:tc>
        <w:tc>
          <w:tcPr>
            <w:tcW w:w="0" w:type="auto"/>
            <w:shd w:val="clear" w:color="auto" w:fill="auto"/>
            <w:vAlign w:val="center"/>
          </w:tcPr>
          <w:p w14:paraId="3693F0A2" w14:textId="77777777" w:rsidR="003734EC" w:rsidRDefault="003734EC">
            <w:pPr>
              <w:rPr>
                <w:rFonts w:ascii="宋体"/>
              </w:rPr>
            </w:pPr>
          </w:p>
        </w:tc>
        <w:tc>
          <w:tcPr>
            <w:tcW w:w="0" w:type="auto"/>
            <w:shd w:val="clear" w:color="auto" w:fill="auto"/>
            <w:vAlign w:val="center"/>
          </w:tcPr>
          <w:p w14:paraId="3693F0A3" w14:textId="77777777" w:rsidR="003734EC" w:rsidRDefault="003734EC">
            <w:pPr>
              <w:rPr>
                <w:rFonts w:ascii="宋体"/>
              </w:rPr>
            </w:pPr>
          </w:p>
        </w:tc>
        <w:tc>
          <w:tcPr>
            <w:tcW w:w="0" w:type="auto"/>
            <w:shd w:val="clear" w:color="auto" w:fill="auto"/>
            <w:vAlign w:val="center"/>
          </w:tcPr>
          <w:p w14:paraId="3693F0A4" w14:textId="77777777" w:rsidR="003734EC" w:rsidRDefault="003734EC">
            <w:pPr>
              <w:rPr>
                <w:rFonts w:ascii="宋体"/>
              </w:rPr>
            </w:pPr>
          </w:p>
        </w:tc>
      </w:tr>
      <w:tr w:rsidR="003734EC" w14:paraId="3693F0B2" w14:textId="77777777">
        <w:tc>
          <w:tcPr>
            <w:tcW w:w="0" w:type="auto"/>
            <w:gridSpan w:val="3"/>
            <w:shd w:val="clear" w:color="auto" w:fill="FFFFFF"/>
            <w:tcMar>
              <w:top w:w="40" w:type="dxa"/>
              <w:left w:w="20" w:type="dxa"/>
              <w:bottom w:w="40" w:type="dxa"/>
              <w:right w:w="20" w:type="dxa"/>
            </w:tcMar>
            <w:vAlign w:val="bottom"/>
          </w:tcPr>
          <w:p w14:paraId="3693F0A6" w14:textId="77777777" w:rsidR="003734EC" w:rsidRDefault="000E364E">
            <w:pPr>
              <w:textAlignment w:val="bottom"/>
            </w:pPr>
            <w:r>
              <w:rPr>
                <w:rFonts w:ascii="sans-serif" w:eastAsia="sans-serif" w:hAnsi="sans-serif" w:cs="sans-serif"/>
                <w:color w:val="000000"/>
                <w:sz w:val="20"/>
                <w:szCs w:val="20"/>
              </w:rPr>
              <w:t>Professional service fee</w:t>
            </w:r>
          </w:p>
        </w:tc>
        <w:tc>
          <w:tcPr>
            <w:tcW w:w="0" w:type="auto"/>
            <w:gridSpan w:val="2"/>
            <w:shd w:val="clear" w:color="auto" w:fill="FFFFFF"/>
            <w:tcMar>
              <w:top w:w="40" w:type="dxa"/>
              <w:left w:w="20" w:type="dxa"/>
              <w:bottom w:w="40" w:type="dxa"/>
              <w:right w:w="0" w:type="dxa"/>
            </w:tcMar>
            <w:vAlign w:val="bottom"/>
          </w:tcPr>
          <w:p w14:paraId="3693F0A7" w14:textId="77777777" w:rsidR="003734EC" w:rsidRDefault="000E364E">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bottom w:w="40" w:type="dxa"/>
              <w:right w:w="20" w:type="dxa"/>
            </w:tcMar>
            <w:vAlign w:val="bottom"/>
          </w:tcPr>
          <w:p w14:paraId="3693F0A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0A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0AA" w14:textId="77777777" w:rsidR="003734EC" w:rsidRDefault="000E364E">
            <w:pPr>
              <w:jc w:val="right"/>
              <w:textAlignment w:val="bottom"/>
            </w:pPr>
            <w:r>
              <w:rPr>
                <w:rFonts w:ascii="sans-serif" w:eastAsia="sans-serif" w:hAnsi="sans-serif" w:cs="sans-serif"/>
                <w:color w:val="000000"/>
                <w:sz w:val="20"/>
                <w:szCs w:val="20"/>
              </w:rPr>
              <w:t>18 </w:t>
            </w:r>
          </w:p>
        </w:tc>
        <w:tc>
          <w:tcPr>
            <w:tcW w:w="0" w:type="auto"/>
            <w:shd w:val="clear" w:color="auto" w:fill="FFFFFF"/>
            <w:tcMar>
              <w:top w:w="40" w:type="dxa"/>
              <w:bottom w:w="40" w:type="dxa"/>
              <w:right w:w="20" w:type="dxa"/>
            </w:tcMar>
            <w:vAlign w:val="bottom"/>
          </w:tcPr>
          <w:p w14:paraId="3693F0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0AC" w14:textId="77777777" w:rsidR="003734EC" w:rsidRDefault="003734EC">
            <w:pPr>
              <w:rPr>
                <w:rFonts w:ascii="宋体"/>
              </w:rPr>
            </w:pPr>
          </w:p>
        </w:tc>
        <w:tc>
          <w:tcPr>
            <w:tcW w:w="0" w:type="auto"/>
            <w:shd w:val="clear" w:color="auto" w:fill="auto"/>
            <w:vAlign w:val="center"/>
          </w:tcPr>
          <w:p w14:paraId="3693F0AD" w14:textId="77777777" w:rsidR="003734EC" w:rsidRDefault="003734EC">
            <w:pPr>
              <w:rPr>
                <w:rFonts w:ascii="宋体"/>
              </w:rPr>
            </w:pPr>
          </w:p>
        </w:tc>
        <w:tc>
          <w:tcPr>
            <w:tcW w:w="0" w:type="auto"/>
            <w:shd w:val="clear" w:color="auto" w:fill="auto"/>
            <w:vAlign w:val="center"/>
          </w:tcPr>
          <w:p w14:paraId="3693F0AE" w14:textId="77777777" w:rsidR="003734EC" w:rsidRDefault="003734EC">
            <w:pPr>
              <w:rPr>
                <w:rFonts w:ascii="宋体"/>
              </w:rPr>
            </w:pPr>
          </w:p>
        </w:tc>
        <w:tc>
          <w:tcPr>
            <w:tcW w:w="0" w:type="auto"/>
            <w:shd w:val="clear" w:color="auto" w:fill="auto"/>
            <w:vAlign w:val="center"/>
          </w:tcPr>
          <w:p w14:paraId="3693F0AF" w14:textId="77777777" w:rsidR="003734EC" w:rsidRDefault="003734EC">
            <w:pPr>
              <w:rPr>
                <w:rFonts w:ascii="宋体"/>
              </w:rPr>
            </w:pPr>
          </w:p>
        </w:tc>
        <w:tc>
          <w:tcPr>
            <w:tcW w:w="0" w:type="auto"/>
            <w:shd w:val="clear" w:color="auto" w:fill="auto"/>
            <w:vAlign w:val="center"/>
          </w:tcPr>
          <w:p w14:paraId="3693F0B0" w14:textId="77777777" w:rsidR="003734EC" w:rsidRDefault="003734EC">
            <w:pPr>
              <w:rPr>
                <w:rFonts w:ascii="宋体"/>
              </w:rPr>
            </w:pPr>
          </w:p>
        </w:tc>
        <w:tc>
          <w:tcPr>
            <w:tcW w:w="0" w:type="auto"/>
            <w:shd w:val="clear" w:color="auto" w:fill="auto"/>
            <w:vAlign w:val="center"/>
          </w:tcPr>
          <w:p w14:paraId="3693F0B1" w14:textId="77777777" w:rsidR="003734EC" w:rsidRDefault="003734EC">
            <w:pPr>
              <w:rPr>
                <w:rFonts w:ascii="宋体"/>
              </w:rPr>
            </w:pPr>
          </w:p>
        </w:tc>
      </w:tr>
      <w:tr w:rsidR="003734EC" w14:paraId="3693F0BD" w14:textId="77777777">
        <w:trPr>
          <w:hidden/>
        </w:trPr>
        <w:tc>
          <w:tcPr>
            <w:tcW w:w="0" w:type="auto"/>
            <w:gridSpan w:val="3"/>
            <w:shd w:val="clear" w:color="auto" w:fill="auto"/>
            <w:vAlign w:val="center"/>
          </w:tcPr>
          <w:p w14:paraId="3693F0B3" w14:textId="77777777" w:rsidR="003734EC" w:rsidRDefault="003734EC">
            <w:pPr>
              <w:rPr>
                <w:rFonts w:ascii="宋体"/>
                <w:vanish/>
              </w:rPr>
            </w:pPr>
          </w:p>
        </w:tc>
        <w:tc>
          <w:tcPr>
            <w:tcW w:w="0" w:type="auto"/>
            <w:gridSpan w:val="3"/>
            <w:shd w:val="clear" w:color="auto" w:fill="auto"/>
            <w:vAlign w:val="center"/>
          </w:tcPr>
          <w:p w14:paraId="3693F0B4" w14:textId="77777777" w:rsidR="003734EC" w:rsidRDefault="003734EC">
            <w:pPr>
              <w:rPr>
                <w:rFonts w:ascii="宋体"/>
                <w:vanish/>
              </w:rPr>
            </w:pPr>
          </w:p>
        </w:tc>
        <w:tc>
          <w:tcPr>
            <w:tcW w:w="0" w:type="auto"/>
            <w:gridSpan w:val="3"/>
            <w:shd w:val="clear" w:color="auto" w:fill="auto"/>
            <w:vAlign w:val="center"/>
          </w:tcPr>
          <w:p w14:paraId="3693F0B5" w14:textId="77777777" w:rsidR="003734EC" w:rsidRDefault="003734EC">
            <w:pPr>
              <w:rPr>
                <w:rFonts w:ascii="宋体"/>
                <w:vanish/>
              </w:rPr>
            </w:pPr>
          </w:p>
        </w:tc>
        <w:tc>
          <w:tcPr>
            <w:tcW w:w="0" w:type="auto"/>
            <w:gridSpan w:val="3"/>
            <w:shd w:val="clear" w:color="auto" w:fill="auto"/>
            <w:vAlign w:val="center"/>
          </w:tcPr>
          <w:p w14:paraId="3693F0B6" w14:textId="77777777" w:rsidR="003734EC" w:rsidRDefault="003734EC">
            <w:pPr>
              <w:rPr>
                <w:rFonts w:ascii="宋体"/>
                <w:vanish/>
              </w:rPr>
            </w:pPr>
          </w:p>
        </w:tc>
        <w:tc>
          <w:tcPr>
            <w:tcW w:w="0" w:type="auto"/>
            <w:shd w:val="clear" w:color="auto" w:fill="auto"/>
            <w:vAlign w:val="center"/>
          </w:tcPr>
          <w:p w14:paraId="3693F0B7" w14:textId="77777777" w:rsidR="003734EC" w:rsidRDefault="003734EC">
            <w:pPr>
              <w:rPr>
                <w:rFonts w:ascii="宋体"/>
              </w:rPr>
            </w:pPr>
          </w:p>
        </w:tc>
        <w:tc>
          <w:tcPr>
            <w:tcW w:w="0" w:type="auto"/>
            <w:shd w:val="clear" w:color="auto" w:fill="auto"/>
            <w:vAlign w:val="center"/>
          </w:tcPr>
          <w:p w14:paraId="3693F0B8" w14:textId="77777777" w:rsidR="003734EC" w:rsidRDefault="003734EC">
            <w:pPr>
              <w:rPr>
                <w:rFonts w:ascii="宋体"/>
              </w:rPr>
            </w:pPr>
          </w:p>
        </w:tc>
        <w:tc>
          <w:tcPr>
            <w:tcW w:w="0" w:type="auto"/>
            <w:shd w:val="clear" w:color="auto" w:fill="auto"/>
            <w:vAlign w:val="center"/>
          </w:tcPr>
          <w:p w14:paraId="3693F0B9" w14:textId="77777777" w:rsidR="003734EC" w:rsidRDefault="003734EC">
            <w:pPr>
              <w:rPr>
                <w:rFonts w:ascii="宋体"/>
              </w:rPr>
            </w:pPr>
          </w:p>
        </w:tc>
        <w:tc>
          <w:tcPr>
            <w:tcW w:w="0" w:type="auto"/>
            <w:shd w:val="clear" w:color="auto" w:fill="auto"/>
            <w:vAlign w:val="center"/>
          </w:tcPr>
          <w:p w14:paraId="3693F0BA" w14:textId="77777777" w:rsidR="003734EC" w:rsidRDefault="003734EC">
            <w:pPr>
              <w:rPr>
                <w:rFonts w:ascii="宋体"/>
              </w:rPr>
            </w:pPr>
          </w:p>
        </w:tc>
        <w:tc>
          <w:tcPr>
            <w:tcW w:w="0" w:type="auto"/>
            <w:shd w:val="clear" w:color="auto" w:fill="auto"/>
            <w:vAlign w:val="center"/>
          </w:tcPr>
          <w:p w14:paraId="3693F0BB" w14:textId="77777777" w:rsidR="003734EC" w:rsidRDefault="003734EC">
            <w:pPr>
              <w:rPr>
                <w:rFonts w:ascii="宋体"/>
              </w:rPr>
            </w:pPr>
          </w:p>
        </w:tc>
        <w:tc>
          <w:tcPr>
            <w:tcW w:w="0" w:type="auto"/>
            <w:shd w:val="clear" w:color="auto" w:fill="auto"/>
            <w:vAlign w:val="center"/>
          </w:tcPr>
          <w:p w14:paraId="3693F0BC" w14:textId="77777777" w:rsidR="003734EC" w:rsidRDefault="003734EC">
            <w:pPr>
              <w:rPr>
                <w:rFonts w:ascii="宋体"/>
              </w:rPr>
            </w:pPr>
          </w:p>
        </w:tc>
      </w:tr>
      <w:tr w:rsidR="003734EC" w14:paraId="3693F0C8" w14:textId="77777777">
        <w:trPr>
          <w:hidden/>
        </w:trPr>
        <w:tc>
          <w:tcPr>
            <w:tcW w:w="0" w:type="auto"/>
            <w:gridSpan w:val="3"/>
            <w:shd w:val="clear" w:color="auto" w:fill="auto"/>
            <w:vAlign w:val="center"/>
          </w:tcPr>
          <w:p w14:paraId="3693F0BE" w14:textId="77777777" w:rsidR="003734EC" w:rsidRDefault="003734EC">
            <w:pPr>
              <w:rPr>
                <w:rFonts w:ascii="宋体"/>
                <w:vanish/>
              </w:rPr>
            </w:pPr>
          </w:p>
        </w:tc>
        <w:tc>
          <w:tcPr>
            <w:tcW w:w="0" w:type="auto"/>
            <w:gridSpan w:val="3"/>
            <w:shd w:val="clear" w:color="auto" w:fill="auto"/>
            <w:vAlign w:val="center"/>
          </w:tcPr>
          <w:p w14:paraId="3693F0BF" w14:textId="77777777" w:rsidR="003734EC" w:rsidRDefault="003734EC">
            <w:pPr>
              <w:rPr>
                <w:rFonts w:ascii="宋体"/>
                <w:vanish/>
              </w:rPr>
            </w:pPr>
          </w:p>
        </w:tc>
        <w:tc>
          <w:tcPr>
            <w:tcW w:w="0" w:type="auto"/>
            <w:gridSpan w:val="3"/>
            <w:shd w:val="clear" w:color="auto" w:fill="auto"/>
            <w:vAlign w:val="center"/>
          </w:tcPr>
          <w:p w14:paraId="3693F0C0" w14:textId="77777777" w:rsidR="003734EC" w:rsidRDefault="003734EC">
            <w:pPr>
              <w:rPr>
                <w:rFonts w:ascii="宋体"/>
                <w:vanish/>
              </w:rPr>
            </w:pPr>
          </w:p>
        </w:tc>
        <w:tc>
          <w:tcPr>
            <w:tcW w:w="0" w:type="auto"/>
            <w:gridSpan w:val="3"/>
            <w:shd w:val="clear" w:color="auto" w:fill="auto"/>
            <w:vAlign w:val="center"/>
          </w:tcPr>
          <w:p w14:paraId="3693F0C1" w14:textId="77777777" w:rsidR="003734EC" w:rsidRDefault="003734EC">
            <w:pPr>
              <w:rPr>
                <w:rFonts w:ascii="宋体"/>
                <w:vanish/>
              </w:rPr>
            </w:pPr>
          </w:p>
        </w:tc>
        <w:tc>
          <w:tcPr>
            <w:tcW w:w="0" w:type="auto"/>
            <w:shd w:val="clear" w:color="auto" w:fill="auto"/>
            <w:vAlign w:val="center"/>
          </w:tcPr>
          <w:p w14:paraId="3693F0C2" w14:textId="77777777" w:rsidR="003734EC" w:rsidRDefault="003734EC">
            <w:pPr>
              <w:rPr>
                <w:rFonts w:ascii="宋体"/>
              </w:rPr>
            </w:pPr>
          </w:p>
        </w:tc>
        <w:tc>
          <w:tcPr>
            <w:tcW w:w="0" w:type="auto"/>
            <w:shd w:val="clear" w:color="auto" w:fill="auto"/>
            <w:vAlign w:val="center"/>
          </w:tcPr>
          <w:p w14:paraId="3693F0C3" w14:textId="77777777" w:rsidR="003734EC" w:rsidRDefault="003734EC">
            <w:pPr>
              <w:rPr>
                <w:rFonts w:ascii="宋体"/>
              </w:rPr>
            </w:pPr>
          </w:p>
        </w:tc>
        <w:tc>
          <w:tcPr>
            <w:tcW w:w="0" w:type="auto"/>
            <w:shd w:val="clear" w:color="auto" w:fill="auto"/>
            <w:vAlign w:val="center"/>
          </w:tcPr>
          <w:p w14:paraId="3693F0C4" w14:textId="77777777" w:rsidR="003734EC" w:rsidRDefault="003734EC">
            <w:pPr>
              <w:rPr>
                <w:rFonts w:ascii="宋体"/>
              </w:rPr>
            </w:pPr>
          </w:p>
        </w:tc>
        <w:tc>
          <w:tcPr>
            <w:tcW w:w="0" w:type="auto"/>
            <w:shd w:val="clear" w:color="auto" w:fill="auto"/>
            <w:vAlign w:val="center"/>
          </w:tcPr>
          <w:p w14:paraId="3693F0C5" w14:textId="77777777" w:rsidR="003734EC" w:rsidRDefault="003734EC">
            <w:pPr>
              <w:rPr>
                <w:rFonts w:ascii="宋体"/>
              </w:rPr>
            </w:pPr>
          </w:p>
        </w:tc>
        <w:tc>
          <w:tcPr>
            <w:tcW w:w="0" w:type="auto"/>
            <w:shd w:val="clear" w:color="auto" w:fill="auto"/>
            <w:vAlign w:val="center"/>
          </w:tcPr>
          <w:p w14:paraId="3693F0C6" w14:textId="77777777" w:rsidR="003734EC" w:rsidRDefault="003734EC">
            <w:pPr>
              <w:rPr>
                <w:rFonts w:ascii="宋体"/>
              </w:rPr>
            </w:pPr>
          </w:p>
        </w:tc>
        <w:tc>
          <w:tcPr>
            <w:tcW w:w="0" w:type="auto"/>
            <w:shd w:val="clear" w:color="auto" w:fill="auto"/>
            <w:vAlign w:val="center"/>
          </w:tcPr>
          <w:p w14:paraId="3693F0C7" w14:textId="77777777" w:rsidR="003734EC" w:rsidRDefault="003734EC">
            <w:pPr>
              <w:rPr>
                <w:rFonts w:ascii="宋体"/>
              </w:rPr>
            </w:pPr>
          </w:p>
        </w:tc>
      </w:tr>
      <w:tr w:rsidR="003734EC" w14:paraId="3693F0D3" w14:textId="77777777">
        <w:trPr>
          <w:hidden/>
        </w:trPr>
        <w:tc>
          <w:tcPr>
            <w:tcW w:w="0" w:type="auto"/>
            <w:gridSpan w:val="3"/>
            <w:shd w:val="clear" w:color="auto" w:fill="auto"/>
            <w:vAlign w:val="center"/>
          </w:tcPr>
          <w:p w14:paraId="3693F0C9" w14:textId="77777777" w:rsidR="003734EC" w:rsidRDefault="003734EC">
            <w:pPr>
              <w:rPr>
                <w:rFonts w:ascii="宋体"/>
                <w:vanish/>
              </w:rPr>
            </w:pPr>
          </w:p>
        </w:tc>
        <w:tc>
          <w:tcPr>
            <w:tcW w:w="0" w:type="auto"/>
            <w:gridSpan w:val="3"/>
            <w:shd w:val="clear" w:color="auto" w:fill="auto"/>
            <w:vAlign w:val="center"/>
          </w:tcPr>
          <w:p w14:paraId="3693F0CA" w14:textId="77777777" w:rsidR="003734EC" w:rsidRDefault="003734EC">
            <w:pPr>
              <w:rPr>
                <w:rFonts w:ascii="宋体"/>
                <w:vanish/>
              </w:rPr>
            </w:pPr>
          </w:p>
        </w:tc>
        <w:tc>
          <w:tcPr>
            <w:tcW w:w="0" w:type="auto"/>
            <w:gridSpan w:val="3"/>
            <w:shd w:val="clear" w:color="auto" w:fill="auto"/>
            <w:vAlign w:val="center"/>
          </w:tcPr>
          <w:p w14:paraId="3693F0CB" w14:textId="77777777" w:rsidR="003734EC" w:rsidRDefault="003734EC">
            <w:pPr>
              <w:rPr>
                <w:rFonts w:ascii="宋体"/>
                <w:vanish/>
              </w:rPr>
            </w:pPr>
          </w:p>
        </w:tc>
        <w:tc>
          <w:tcPr>
            <w:tcW w:w="0" w:type="auto"/>
            <w:gridSpan w:val="3"/>
            <w:shd w:val="clear" w:color="auto" w:fill="auto"/>
            <w:vAlign w:val="center"/>
          </w:tcPr>
          <w:p w14:paraId="3693F0CC" w14:textId="77777777" w:rsidR="003734EC" w:rsidRDefault="003734EC">
            <w:pPr>
              <w:rPr>
                <w:rFonts w:ascii="宋体"/>
                <w:vanish/>
              </w:rPr>
            </w:pPr>
          </w:p>
        </w:tc>
        <w:tc>
          <w:tcPr>
            <w:tcW w:w="0" w:type="auto"/>
            <w:shd w:val="clear" w:color="auto" w:fill="auto"/>
            <w:vAlign w:val="center"/>
          </w:tcPr>
          <w:p w14:paraId="3693F0CD" w14:textId="77777777" w:rsidR="003734EC" w:rsidRDefault="003734EC">
            <w:pPr>
              <w:rPr>
                <w:rFonts w:ascii="宋体"/>
              </w:rPr>
            </w:pPr>
          </w:p>
        </w:tc>
        <w:tc>
          <w:tcPr>
            <w:tcW w:w="0" w:type="auto"/>
            <w:shd w:val="clear" w:color="auto" w:fill="auto"/>
            <w:vAlign w:val="center"/>
          </w:tcPr>
          <w:p w14:paraId="3693F0CE" w14:textId="77777777" w:rsidR="003734EC" w:rsidRDefault="003734EC">
            <w:pPr>
              <w:rPr>
                <w:rFonts w:ascii="宋体"/>
              </w:rPr>
            </w:pPr>
          </w:p>
        </w:tc>
        <w:tc>
          <w:tcPr>
            <w:tcW w:w="0" w:type="auto"/>
            <w:shd w:val="clear" w:color="auto" w:fill="auto"/>
            <w:vAlign w:val="center"/>
          </w:tcPr>
          <w:p w14:paraId="3693F0CF" w14:textId="77777777" w:rsidR="003734EC" w:rsidRDefault="003734EC">
            <w:pPr>
              <w:rPr>
                <w:rFonts w:ascii="宋体"/>
              </w:rPr>
            </w:pPr>
          </w:p>
        </w:tc>
        <w:tc>
          <w:tcPr>
            <w:tcW w:w="0" w:type="auto"/>
            <w:shd w:val="clear" w:color="auto" w:fill="auto"/>
            <w:vAlign w:val="center"/>
          </w:tcPr>
          <w:p w14:paraId="3693F0D0" w14:textId="77777777" w:rsidR="003734EC" w:rsidRDefault="003734EC">
            <w:pPr>
              <w:rPr>
                <w:rFonts w:ascii="宋体"/>
              </w:rPr>
            </w:pPr>
          </w:p>
        </w:tc>
        <w:tc>
          <w:tcPr>
            <w:tcW w:w="0" w:type="auto"/>
            <w:shd w:val="clear" w:color="auto" w:fill="auto"/>
            <w:vAlign w:val="center"/>
          </w:tcPr>
          <w:p w14:paraId="3693F0D1" w14:textId="77777777" w:rsidR="003734EC" w:rsidRDefault="003734EC">
            <w:pPr>
              <w:rPr>
                <w:rFonts w:ascii="宋体"/>
              </w:rPr>
            </w:pPr>
          </w:p>
        </w:tc>
        <w:tc>
          <w:tcPr>
            <w:tcW w:w="0" w:type="auto"/>
            <w:shd w:val="clear" w:color="auto" w:fill="auto"/>
            <w:vAlign w:val="center"/>
          </w:tcPr>
          <w:p w14:paraId="3693F0D2" w14:textId="77777777" w:rsidR="003734EC" w:rsidRDefault="003734EC">
            <w:pPr>
              <w:rPr>
                <w:rFonts w:ascii="宋体"/>
              </w:rPr>
            </w:pPr>
          </w:p>
        </w:tc>
      </w:tr>
      <w:tr w:rsidR="003734EC" w14:paraId="3693F0DE" w14:textId="77777777">
        <w:trPr>
          <w:hidden/>
        </w:trPr>
        <w:tc>
          <w:tcPr>
            <w:tcW w:w="0" w:type="auto"/>
            <w:gridSpan w:val="3"/>
            <w:shd w:val="clear" w:color="auto" w:fill="auto"/>
            <w:vAlign w:val="center"/>
          </w:tcPr>
          <w:p w14:paraId="3693F0D4" w14:textId="77777777" w:rsidR="003734EC" w:rsidRDefault="003734EC">
            <w:pPr>
              <w:rPr>
                <w:rFonts w:ascii="宋体"/>
                <w:vanish/>
              </w:rPr>
            </w:pPr>
          </w:p>
        </w:tc>
        <w:tc>
          <w:tcPr>
            <w:tcW w:w="0" w:type="auto"/>
            <w:gridSpan w:val="3"/>
            <w:shd w:val="clear" w:color="auto" w:fill="auto"/>
            <w:vAlign w:val="center"/>
          </w:tcPr>
          <w:p w14:paraId="3693F0D5" w14:textId="77777777" w:rsidR="003734EC" w:rsidRDefault="003734EC">
            <w:pPr>
              <w:rPr>
                <w:rFonts w:ascii="宋体"/>
                <w:vanish/>
              </w:rPr>
            </w:pPr>
          </w:p>
        </w:tc>
        <w:tc>
          <w:tcPr>
            <w:tcW w:w="0" w:type="auto"/>
            <w:gridSpan w:val="3"/>
            <w:shd w:val="clear" w:color="auto" w:fill="auto"/>
            <w:vAlign w:val="center"/>
          </w:tcPr>
          <w:p w14:paraId="3693F0D6" w14:textId="77777777" w:rsidR="003734EC" w:rsidRDefault="003734EC">
            <w:pPr>
              <w:rPr>
                <w:rFonts w:ascii="宋体"/>
                <w:vanish/>
              </w:rPr>
            </w:pPr>
          </w:p>
        </w:tc>
        <w:tc>
          <w:tcPr>
            <w:tcW w:w="0" w:type="auto"/>
            <w:gridSpan w:val="3"/>
            <w:shd w:val="clear" w:color="auto" w:fill="auto"/>
            <w:vAlign w:val="center"/>
          </w:tcPr>
          <w:p w14:paraId="3693F0D7" w14:textId="77777777" w:rsidR="003734EC" w:rsidRDefault="003734EC">
            <w:pPr>
              <w:rPr>
                <w:rFonts w:ascii="宋体"/>
                <w:vanish/>
              </w:rPr>
            </w:pPr>
          </w:p>
        </w:tc>
        <w:tc>
          <w:tcPr>
            <w:tcW w:w="0" w:type="auto"/>
            <w:shd w:val="clear" w:color="auto" w:fill="auto"/>
            <w:vAlign w:val="center"/>
          </w:tcPr>
          <w:p w14:paraId="3693F0D8" w14:textId="77777777" w:rsidR="003734EC" w:rsidRDefault="003734EC">
            <w:pPr>
              <w:rPr>
                <w:rFonts w:ascii="宋体"/>
              </w:rPr>
            </w:pPr>
          </w:p>
        </w:tc>
        <w:tc>
          <w:tcPr>
            <w:tcW w:w="0" w:type="auto"/>
            <w:shd w:val="clear" w:color="auto" w:fill="auto"/>
            <w:vAlign w:val="center"/>
          </w:tcPr>
          <w:p w14:paraId="3693F0D9" w14:textId="77777777" w:rsidR="003734EC" w:rsidRDefault="003734EC">
            <w:pPr>
              <w:rPr>
                <w:rFonts w:ascii="宋体"/>
              </w:rPr>
            </w:pPr>
          </w:p>
        </w:tc>
        <w:tc>
          <w:tcPr>
            <w:tcW w:w="0" w:type="auto"/>
            <w:shd w:val="clear" w:color="auto" w:fill="auto"/>
            <w:vAlign w:val="center"/>
          </w:tcPr>
          <w:p w14:paraId="3693F0DA" w14:textId="77777777" w:rsidR="003734EC" w:rsidRDefault="003734EC">
            <w:pPr>
              <w:rPr>
                <w:rFonts w:ascii="宋体"/>
              </w:rPr>
            </w:pPr>
          </w:p>
        </w:tc>
        <w:tc>
          <w:tcPr>
            <w:tcW w:w="0" w:type="auto"/>
            <w:shd w:val="clear" w:color="auto" w:fill="auto"/>
            <w:vAlign w:val="center"/>
          </w:tcPr>
          <w:p w14:paraId="3693F0DB" w14:textId="77777777" w:rsidR="003734EC" w:rsidRDefault="003734EC">
            <w:pPr>
              <w:rPr>
                <w:rFonts w:ascii="宋体"/>
              </w:rPr>
            </w:pPr>
          </w:p>
        </w:tc>
        <w:tc>
          <w:tcPr>
            <w:tcW w:w="0" w:type="auto"/>
            <w:shd w:val="clear" w:color="auto" w:fill="auto"/>
            <w:vAlign w:val="center"/>
          </w:tcPr>
          <w:p w14:paraId="3693F0DC" w14:textId="77777777" w:rsidR="003734EC" w:rsidRDefault="003734EC">
            <w:pPr>
              <w:rPr>
                <w:rFonts w:ascii="宋体"/>
              </w:rPr>
            </w:pPr>
          </w:p>
        </w:tc>
        <w:tc>
          <w:tcPr>
            <w:tcW w:w="0" w:type="auto"/>
            <w:shd w:val="clear" w:color="auto" w:fill="auto"/>
            <w:vAlign w:val="center"/>
          </w:tcPr>
          <w:p w14:paraId="3693F0DD" w14:textId="77777777" w:rsidR="003734EC" w:rsidRDefault="003734EC">
            <w:pPr>
              <w:rPr>
                <w:rFonts w:ascii="宋体"/>
              </w:rPr>
            </w:pPr>
          </w:p>
        </w:tc>
      </w:tr>
      <w:tr w:rsidR="003734EC" w14:paraId="3693F0E9" w14:textId="77777777">
        <w:trPr>
          <w:hidden/>
        </w:trPr>
        <w:tc>
          <w:tcPr>
            <w:tcW w:w="0" w:type="auto"/>
            <w:gridSpan w:val="3"/>
            <w:shd w:val="clear" w:color="auto" w:fill="auto"/>
            <w:vAlign w:val="center"/>
          </w:tcPr>
          <w:p w14:paraId="3693F0DF" w14:textId="77777777" w:rsidR="003734EC" w:rsidRDefault="003734EC">
            <w:pPr>
              <w:rPr>
                <w:rFonts w:ascii="宋体"/>
                <w:vanish/>
              </w:rPr>
            </w:pPr>
          </w:p>
        </w:tc>
        <w:tc>
          <w:tcPr>
            <w:tcW w:w="0" w:type="auto"/>
            <w:gridSpan w:val="3"/>
            <w:shd w:val="clear" w:color="auto" w:fill="auto"/>
            <w:vAlign w:val="center"/>
          </w:tcPr>
          <w:p w14:paraId="3693F0E0" w14:textId="77777777" w:rsidR="003734EC" w:rsidRDefault="003734EC">
            <w:pPr>
              <w:rPr>
                <w:rFonts w:ascii="宋体"/>
                <w:vanish/>
              </w:rPr>
            </w:pPr>
          </w:p>
        </w:tc>
        <w:tc>
          <w:tcPr>
            <w:tcW w:w="0" w:type="auto"/>
            <w:gridSpan w:val="3"/>
            <w:shd w:val="clear" w:color="auto" w:fill="auto"/>
            <w:vAlign w:val="center"/>
          </w:tcPr>
          <w:p w14:paraId="3693F0E1" w14:textId="77777777" w:rsidR="003734EC" w:rsidRDefault="003734EC">
            <w:pPr>
              <w:rPr>
                <w:rFonts w:ascii="宋体"/>
                <w:vanish/>
              </w:rPr>
            </w:pPr>
          </w:p>
        </w:tc>
        <w:tc>
          <w:tcPr>
            <w:tcW w:w="0" w:type="auto"/>
            <w:gridSpan w:val="3"/>
            <w:shd w:val="clear" w:color="auto" w:fill="auto"/>
            <w:vAlign w:val="center"/>
          </w:tcPr>
          <w:p w14:paraId="3693F0E2" w14:textId="77777777" w:rsidR="003734EC" w:rsidRDefault="003734EC">
            <w:pPr>
              <w:rPr>
                <w:rFonts w:ascii="宋体"/>
                <w:vanish/>
              </w:rPr>
            </w:pPr>
          </w:p>
        </w:tc>
        <w:tc>
          <w:tcPr>
            <w:tcW w:w="0" w:type="auto"/>
            <w:shd w:val="clear" w:color="auto" w:fill="auto"/>
            <w:vAlign w:val="center"/>
          </w:tcPr>
          <w:p w14:paraId="3693F0E3" w14:textId="77777777" w:rsidR="003734EC" w:rsidRDefault="003734EC">
            <w:pPr>
              <w:rPr>
                <w:rFonts w:ascii="宋体"/>
              </w:rPr>
            </w:pPr>
          </w:p>
        </w:tc>
        <w:tc>
          <w:tcPr>
            <w:tcW w:w="0" w:type="auto"/>
            <w:shd w:val="clear" w:color="auto" w:fill="auto"/>
            <w:vAlign w:val="center"/>
          </w:tcPr>
          <w:p w14:paraId="3693F0E4" w14:textId="77777777" w:rsidR="003734EC" w:rsidRDefault="003734EC">
            <w:pPr>
              <w:rPr>
                <w:rFonts w:ascii="宋体"/>
              </w:rPr>
            </w:pPr>
          </w:p>
        </w:tc>
        <w:tc>
          <w:tcPr>
            <w:tcW w:w="0" w:type="auto"/>
            <w:shd w:val="clear" w:color="auto" w:fill="auto"/>
            <w:vAlign w:val="center"/>
          </w:tcPr>
          <w:p w14:paraId="3693F0E5" w14:textId="77777777" w:rsidR="003734EC" w:rsidRDefault="003734EC">
            <w:pPr>
              <w:rPr>
                <w:rFonts w:ascii="宋体"/>
              </w:rPr>
            </w:pPr>
          </w:p>
        </w:tc>
        <w:tc>
          <w:tcPr>
            <w:tcW w:w="0" w:type="auto"/>
            <w:shd w:val="clear" w:color="auto" w:fill="auto"/>
            <w:vAlign w:val="center"/>
          </w:tcPr>
          <w:p w14:paraId="3693F0E6" w14:textId="77777777" w:rsidR="003734EC" w:rsidRDefault="003734EC">
            <w:pPr>
              <w:rPr>
                <w:rFonts w:ascii="宋体"/>
              </w:rPr>
            </w:pPr>
          </w:p>
        </w:tc>
        <w:tc>
          <w:tcPr>
            <w:tcW w:w="0" w:type="auto"/>
            <w:shd w:val="clear" w:color="auto" w:fill="auto"/>
            <w:vAlign w:val="center"/>
          </w:tcPr>
          <w:p w14:paraId="3693F0E7" w14:textId="77777777" w:rsidR="003734EC" w:rsidRDefault="003734EC">
            <w:pPr>
              <w:rPr>
                <w:rFonts w:ascii="宋体"/>
              </w:rPr>
            </w:pPr>
          </w:p>
        </w:tc>
        <w:tc>
          <w:tcPr>
            <w:tcW w:w="0" w:type="auto"/>
            <w:shd w:val="clear" w:color="auto" w:fill="auto"/>
            <w:vAlign w:val="center"/>
          </w:tcPr>
          <w:p w14:paraId="3693F0E8" w14:textId="77777777" w:rsidR="003734EC" w:rsidRDefault="003734EC">
            <w:pPr>
              <w:rPr>
                <w:rFonts w:ascii="宋体"/>
              </w:rPr>
            </w:pPr>
          </w:p>
        </w:tc>
      </w:tr>
      <w:tr w:rsidR="003734EC" w14:paraId="3693F0F4" w14:textId="77777777">
        <w:trPr>
          <w:hidden/>
        </w:trPr>
        <w:tc>
          <w:tcPr>
            <w:tcW w:w="0" w:type="auto"/>
            <w:gridSpan w:val="3"/>
            <w:shd w:val="clear" w:color="auto" w:fill="auto"/>
            <w:vAlign w:val="center"/>
          </w:tcPr>
          <w:p w14:paraId="3693F0EA" w14:textId="77777777" w:rsidR="003734EC" w:rsidRDefault="003734EC">
            <w:pPr>
              <w:rPr>
                <w:rFonts w:ascii="宋体"/>
                <w:vanish/>
              </w:rPr>
            </w:pPr>
          </w:p>
        </w:tc>
        <w:tc>
          <w:tcPr>
            <w:tcW w:w="0" w:type="auto"/>
            <w:gridSpan w:val="3"/>
            <w:shd w:val="clear" w:color="auto" w:fill="auto"/>
            <w:vAlign w:val="center"/>
          </w:tcPr>
          <w:p w14:paraId="3693F0EB" w14:textId="77777777" w:rsidR="003734EC" w:rsidRDefault="003734EC">
            <w:pPr>
              <w:rPr>
                <w:rFonts w:ascii="宋体"/>
                <w:vanish/>
              </w:rPr>
            </w:pPr>
          </w:p>
        </w:tc>
        <w:tc>
          <w:tcPr>
            <w:tcW w:w="0" w:type="auto"/>
            <w:gridSpan w:val="3"/>
            <w:shd w:val="clear" w:color="auto" w:fill="auto"/>
            <w:vAlign w:val="center"/>
          </w:tcPr>
          <w:p w14:paraId="3693F0EC" w14:textId="77777777" w:rsidR="003734EC" w:rsidRDefault="003734EC">
            <w:pPr>
              <w:rPr>
                <w:rFonts w:ascii="宋体"/>
                <w:vanish/>
              </w:rPr>
            </w:pPr>
          </w:p>
        </w:tc>
        <w:tc>
          <w:tcPr>
            <w:tcW w:w="0" w:type="auto"/>
            <w:gridSpan w:val="3"/>
            <w:shd w:val="clear" w:color="auto" w:fill="auto"/>
            <w:vAlign w:val="center"/>
          </w:tcPr>
          <w:p w14:paraId="3693F0ED" w14:textId="77777777" w:rsidR="003734EC" w:rsidRDefault="003734EC">
            <w:pPr>
              <w:rPr>
                <w:rFonts w:ascii="宋体"/>
                <w:vanish/>
              </w:rPr>
            </w:pPr>
          </w:p>
        </w:tc>
        <w:tc>
          <w:tcPr>
            <w:tcW w:w="0" w:type="auto"/>
            <w:shd w:val="clear" w:color="auto" w:fill="auto"/>
            <w:vAlign w:val="center"/>
          </w:tcPr>
          <w:p w14:paraId="3693F0EE" w14:textId="77777777" w:rsidR="003734EC" w:rsidRDefault="003734EC">
            <w:pPr>
              <w:rPr>
                <w:rFonts w:ascii="宋体"/>
              </w:rPr>
            </w:pPr>
          </w:p>
        </w:tc>
        <w:tc>
          <w:tcPr>
            <w:tcW w:w="0" w:type="auto"/>
            <w:shd w:val="clear" w:color="auto" w:fill="auto"/>
            <w:vAlign w:val="center"/>
          </w:tcPr>
          <w:p w14:paraId="3693F0EF" w14:textId="77777777" w:rsidR="003734EC" w:rsidRDefault="003734EC">
            <w:pPr>
              <w:rPr>
                <w:rFonts w:ascii="宋体"/>
              </w:rPr>
            </w:pPr>
          </w:p>
        </w:tc>
        <w:tc>
          <w:tcPr>
            <w:tcW w:w="0" w:type="auto"/>
            <w:shd w:val="clear" w:color="auto" w:fill="auto"/>
            <w:vAlign w:val="center"/>
          </w:tcPr>
          <w:p w14:paraId="3693F0F0" w14:textId="77777777" w:rsidR="003734EC" w:rsidRDefault="003734EC">
            <w:pPr>
              <w:rPr>
                <w:rFonts w:ascii="宋体"/>
              </w:rPr>
            </w:pPr>
          </w:p>
        </w:tc>
        <w:tc>
          <w:tcPr>
            <w:tcW w:w="0" w:type="auto"/>
            <w:shd w:val="clear" w:color="auto" w:fill="auto"/>
            <w:vAlign w:val="center"/>
          </w:tcPr>
          <w:p w14:paraId="3693F0F1" w14:textId="77777777" w:rsidR="003734EC" w:rsidRDefault="003734EC">
            <w:pPr>
              <w:rPr>
                <w:rFonts w:ascii="宋体"/>
              </w:rPr>
            </w:pPr>
          </w:p>
        </w:tc>
        <w:tc>
          <w:tcPr>
            <w:tcW w:w="0" w:type="auto"/>
            <w:shd w:val="clear" w:color="auto" w:fill="auto"/>
            <w:vAlign w:val="center"/>
          </w:tcPr>
          <w:p w14:paraId="3693F0F2" w14:textId="77777777" w:rsidR="003734EC" w:rsidRDefault="003734EC">
            <w:pPr>
              <w:rPr>
                <w:rFonts w:ascii="宋体"/>
              </w:rPr>
            </w:pPr>
          </w:p>
        </w:tc>
        <w:tc>
          <w:tcPr>
            <w:tcW w:w="0" w:type="auto"/>
            <w:shd w:val="clear" w:color="auto" w:fill="auto"/>
            <w:vAlign w:val="center"/>
          </w:tcPr>
          <w:p w14:paraId="3693F0F3" w14:textId="77777777" w:rsidR="003734EC" w:rsidRDefault="003734EC">
            <w:pPr>
              <w:rPr>
                <w:rFonts w:ascii="宋体"/>
              </w:rPr>
            </w:pPr>
          </w:p>
        </w:tc>
      </w:tr>
      <w:tr w:rsidR="003734EC" w14:paraId="3693F0FF" w14:textId="77777777">
        <w:trPr>
          <w:hidden/>
        </w:trPr>
        <w:tc>
          <w:tcPr>
            <w:tcW w:w="0" w:type="auto"/>
            <w:gridSpan w:val="3"/>
            <w:shd w:val="clear" w:color="auto" w:fill="auto"/>
            <w:vAlign w:val="center"/>
          </w:tcPr>
          <w:p w14:paraId="3693F0F5" w14:textId="77777777" w:rsidR="003734EC" w:rsidRDefault="003734EC">
            <w:pPr>
              <w:rPr>
                <w:rFonts w:ascii="宋体"/>
                <w:vanish/>
              </w:rPr>
            </w:pPr>
          </w:p>
        </w:tc>
        <w:tc>
          <w:tcPr>
            <w:tcW w:w="0" w:type="auto"/>
            <w:gridSpan w:val="3"/>
            <w:shd w:val="clear" w:color="auto" w:fill="auto"/>
            <w:vAlign w:val="center"/>
          </w:tcPr>
          <w:p w14:paraId="3693F0F6" w14:textId="77777777" w:rsidR="003734EC" w:rsidRDefault="003734EC">
            <w:pPr>
              <w:rPr>
                <w:rFonts w:ascii="宋体"/>
                <w:vanish/>
              </w:rPr>
            </w:pPr>
          </w:p>
        </w:tc>
        <w:tc>
          <w:tcPr>
            <w:tcW w:w="0" w:type="auto"/>
            <w:gridSpan w:val="3"/>
            <w:shd w:val="clear" w:color="auto" w:fill="auto"/>
            <w:vAlign w:val="center"/>
          </w:tcPr>
          <w:p w14:paraId="3693F0F7" w14:textId="77777777" w:rsidR="003734EC" w:rsidRDefault="003734EC">
            <w:pPr>
              <w:rPr>
                <w:rFonts w:ascii="宋体"/>
                <w:vanish/>
              </w:rPr>
            </w:pPr>
          </w:p>
        </w:tc>
        <w:tc>
          <w:tcPr>
            <w:tcW w:w="0" w:type="auto"/>
            <w:gridSpan w:val="3"/>
            <w:shd w:val="clear" w:color="auto" w:fill="auto"/>
            <w:vAlign w:val="center"/>
          </w:tcPr>
          <w:p w14:paraId="3693F0F8" w14:textId="77777777" w:rsidR="003734EC" w:rsidRDefault="003734EC">
            <w:pPr>
              <w:rPr>
                <w:rFonts w:ascii="宋体"/>
                <w:vanish/>
              </w:rPr>
            </w:pPr>
          </w:p>
        </w:tc>
        <w:tc>
          <w:tcPr>
            <w:tcW w:w="0" w:type="auto"/>
            <w:shd w:val="clear" w:color="auto" w:fill="auto"/>
            <w:vAlign w:val="center"/>
          </w:tcPr>
          <w:p w14:paraId="3693F0F9" w14:textId="77777777" w:rsidR="003734EC" w:rsidRDefault="003734EC">
            <w:pPr>
              <w:rPr>
                <w:rFonts w:ascii="宋体"/>
              </w:rPr>
            </w:pPr>
          </w:p>
        </w:tc>
        <w:tc>
          <w:tcPr>
            <w:tcW w:w="0" w:type="auto"/>
            <w:shd w:val="clear" w:color="auto" w:fill="auto"/>
            <w:vAlign w:val="center"/>
          </w:tcPr>
          <w:p w14:paraId="3693F0FA" w14:textId="77777777" w:rsidR="003734EC" w:rsidRDefault="003734EC">
            <w:pPr>
              <w:rPr>
                <w:rFonts w:ascii="宋体"/>
              </w:rPr>
            </w:pPr>
          </w:p>
        </w:tc>
        <w:tc>
          <w:tcPr>
            <w:tcW w:w="0" w:type="auto"/>
            <w:shd w:val="clear" w:color="auto" w:fill="auto"/>
            <w:vAlign w:val="center"/>
          </w:tcPr>
          <w:p w14:paraId="3693F0FB" w14:textId="77777777" w:rsidR="003734EC" w:rsidRDefault="003734EC">
            <w:pPr>
              <w:rPr>
                <w:rFonts w:ascii="宋体"/>
              </w:rPr>
            </w:pPr>
          </w:p>
        </w:tc>
        <w:tc>
          <w:tcPr>
            <w:tcW w:w="0" w:type="auto"/>
            <w:shd w:val="clear" w:color="auto" w:fill="auto"/>
            <w:vAlign w:val="center"/>
          </w:tcPr>
          <w:p w14:paraId="3693F0FC" w14:textId="77777777" w:rsidR="003734EC" w:rsidRDefault="003734EC">
            <w:pPr>
              <w:rPr>
                <w:rFonts w:ascii="宋体"/>
              </w:rPr>
            </w:pPr>
          </w:p>
        </w:tc>
        <w:tc>
          <w:tcPr>
            <w:tcW w:w="0" w:type="auto"/>
            <w:shd w:val="clear" w:color="auto" w:fill="auto"/>
            <w:vAlign w:val="center"/>
          </w:tcPr>
          <w:p w14:paraId="3693F0FD" w14:textId="77777777" w:rsidR="003734EC" w:rsidRDefault="003734EC">
            <w:pPr>
              <w:rPr>
                <w:rFonts w:ascii="宋体"/>
              </w:rPr>
            </w:pPr>
          </w:p>
        </w:tc>
        <w:tc>
          <w:tcPr>
            <w:tcW w:w="0" w:type="auto"/>
            <w:shd w:val="clear" w:color="auto" w:fill="auto"/>
            <w:vAlign w:val="center"/>
          </w:tcPr>
          <w:p w14:paraId="3693F0FE" w14:textId="77777777" w:rsidR="003734EC" w:rsidRDefault="003734EC">
            <w:pPr>
              <w:rPr>
                <w:rFonts w:ascii="宋体"/>
              </w:rPr>
            </w:pPr>
          </w:p>
        </w:tc>
      </w:tr>
      <w:tr w:rsidR="003734EC" w14:paraId="3693F10A" w14:textId="77777777">
        <w:trPr>
          <w:hidden/>
        </w:trPr>
        <w:tc>
          <w:tcPr>
            <w:tcW w:w="0" w:type="auto"/>
            <w:gridSpan w:val="3"/>
            <w:shd w:val="clear" w:color="auto" w:fill="auto"/>
            <w:vAlign w:val="center"/>
          </w:tcPr>
          <w:p w14:paraId="3693F100" w14:textId="77777777" w:rsidR="003734EC" w:rsidRDefault="003734EC">
            <w:pPr>
              <w:rPr>
                <w:rFonts w:ascii="宋体"/>
                <w:vanish/>
              </w:rPr>
            </w:pPr>
          </w:p>
        </w:tc>
        <w:tc>
          <w:tcPr>
            <w:tcW w:w="0" w:type="auto"/>
            <w:gridSpan w:val="3"/>
            <w:shd w:val="clear" w:color="auto" w:fill="auto"/>
            <w:vAlign w:val="center"/>
          </w:tcPr>
          <w:p w14:paraId="3693F101" w14:textId="77777777" w:rsidR="003734EC" w:rsidRDefault="003734EC">
            <w:pPr>
              <w:rPr>
                <w:rFonts w:ascii="宋体"/>
                <w:vanish/>
              </w:rPr>
            </w:pPr>
          </w:p>
        </w:tc>
        <w:tc>
          <w:tcPr>
            <w:tcW w:w="0" w:type="auto"/>
            <w:gridSpan w:val="3"/>
            <w:shd w:val="clear" w:color="auto" w:fill="auto"/>
            <w:vAlign w:val="center"/>
          </w:tcPr>
          <w:p w14:paraId="3693F102" w14:textId="77777777" w:rsidR="003734EC" w:rsidRDefault="003734EC">
            <w:pPr>
              <w:rPr>
                <w:rFonts w:ascii="宋体"/>
                <w:vanish/>
              </w:rPr>
            </w:pPr>
          </w:p>
        </w:tc>
        <w:tc>
          <w:tcPr>
            <w:tcW w:w="0" w:type="auto"/>
            <w:gridSpan w:val="3"/>
            <w:shd w:val="clear" w:color="auto" w:fill="auto"/>
            <w:vAlign w:val="center"/>
          </w:tcPr>
          <w:p w14:paraId="3693F103" w14:textId="77777777" w:rsidR="003734EC" w:rsidRDefault="003734EC">
            <w:pPr>
              <w:rPr>
                <w:rFonts w:ascii="宋体"/>
                <w:vanish/>
              </w:rPr>
            </w:pPr>
          </w:p>
        </w:tc>
        <w:tc>
          <w:tcPr>
            <w:tcW w:w="0" w:type="auto"/>
            <w:shd w:val="clear" w:color="auto" w:fill="auto"/>
            <w:vAlign w:val="center"/>
          </w:tcPr>
          <w:p w14:paraId="3693F104" w14:textId="77777777" w:rsidR="003734EC" w:rsidRDefault="003734EC">
            <w:pPr>
              <w:rPr>
                <w:rFonts w:ascii="宋体"/>
              </w:rPr>
            </w:pPr>
          </w:p>
        </w:tc>
        <w:tc>
          <w:tcPr>
            <w:tcW w:w="0" w:type="auto"/>
            <w:shd w:val="clear" w:color="auto" w:fill="auto"/>
            <w:vAlign w:val="center"/>
          </w:tcPr>
          <w:p w14:paraId="3693F105" w14:textId="77777777" w:rsidR="003734EC" w:rsidRDefault="003734EC">
            <w:pPr>
              <w:rPr>
                <w:rFonts w:ascii="宋体"/>
              </w:rPr>
            </w:pPr>
          </w:p>
        </w:tc>
        <w:tc>
          <w:tcPr>
            <w:tcW w:w="0" w:type="auto"/>
            <w:shd w:val="clear" w:color="auto" w:fill="auto"/>
            <w:vAlign w:val="center"/>
          </w:tcPr>
          <w:p w14:paraId="3693F106" w14:textId="77777777" w:rsidR="003734EC" w:rsidRDefault="003734EC">
            <w:pPr>
              <w:rPr>
                <w:rFonts w:ascii="宋体"/>
              </w:rPr>
            </w:pPr>
          </w:p>
        </w:tc>
        <w:tc>
          <w:tcPr>
            <w:tcW w:w="0" w:type="auto"/>
            <w:shd w:val="clear" w:color="auto" w:fill="auto"/>
            <w:vAlign w:val="center"/>
          </w:tcPr>
          <w:p w14:paraId="3693F107" w14:textId="77777777" w:rsidR="003734EC" w:rsidRDefault="003734EC">
            <w:pPr>
              <w:rPr>
                <w:rFonts w:ascii="宋体"/>
              </w:rPr>
            </w:pPr>
          </w:p>
        </w:tc>
        <w:tc>
          <w:tcPr>
            <w:tcW w:w="0" w:type="auto"/>
            <w:shd w:val="clear" w:color="auto" w:fill="auto"/>
            <w:vAlign w:val="center"/>
          </w:tcPr>
          <w:p w14:paraId="3693F108" w14:textId="77777777" w:rsidR="003734EC" w:rsidRDefault="003734EC">
            <w:pPr>
              <w:rPr>
                <w:rFonts w:ascii="宋体"/>
              </w:rPr>
            </w:pPr>
          </w:p>
        </w:tc>
        <w:tc>
          <w:tcPr>
            <w:tcW w:w="0" w:type="auto"/>
            <w:shd w:val="clear" w:color="auto" w:fill="auto"/>
            <w:vAlign w:val="center"/>
          </w:tcPr>
          <w:p w14:paraId="3693F109" w14:textId="77777777" w:rsidR="003734EC" w:rsidRDefault="003734EC">
            <w:pPr>
              <w:rPr>
                <w:rFonts w:ascii="宋体"/>
              </w:rPr>
            </w:pPr>
          </w:p>
        </w:tc>
      </w:tr>
      <w:tr w:rsidR="003734EC" w14:paraId="3693F117" w14:textId="77777777">
        <w:tc>
          <w:tcPr>
            <w:tcW w:w="0" w:type="auto"/>
            <w:gridSpan w:val="3"/>
            <w:shd w:val="clear" w:color="auto" w:fill="E2EFD9"/>
            <w:tcMar>
              <w:top w:w="40" w:type="dxa"/>
              <w:left w:w="20" w:type="dxa"/>
              <w:bottom w:w="40" w:type="dxa"/>
              <w:right w:w="20" w:type="dxa"/>
            </w:tcMar>
            <w:vAlign w:val="bottom"/>
          </w:tcPr>
          <w:p w14:paraId="3693F10B" w14:textId="77777777" w:rsidR="003734EC" w:rsidRDefault="000E364E">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3693F10C" w14:textId="77777777" w:rsidR="003734EC" w:rsidRDefault="000E364E">
            <w:pPr>
              <w:jc w:val="right"/>
              <w:textAlignment w:val="bottom"/>
            </w:pPr>
            <w:r>
              <w:rPr>
                <w:rFonts w:ascii="sans-serif" w:eastAsia="sans-serif" w:hAnsi="sans-serif" w:cs="sans-serif"/>
                <w:color w:val="000000"/>
                <w:sz w:val="20"/>
                <w:szCs w:val="20"/>
              </w:rPr>
              <w:t>63 </w:t>
            </w:r>
          </w:p>
        </w:tc>
        <w:tc>
          <w:tcPr>
            <w:tcW w:w="0" w:type="auto"/>
            <w:shd w:val="clear" w:color="auto" w:fill="E2EFD9"/>
            <w:tcMar>
              <w:top w:w="40" w:type="dxa"/>
              <w:bottom w:w="40" w:type="dxa"/>
              <w:right w:w="20" w:type="dxa"/>
            </w:tcMar>
            <w:vAlign w:val="bottom"/>
          </w:tcPr>
          <w:p w14:paraId="3693F10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0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10F" w14:textId="77777777" w:rsidR="003734EC" w:rsidRDefault="000E364E">
            <w:pPr>
              <w:jc w:val="right"/>
              <w:textAlignment w:val="bottom"/>
            </w:pPr>
            <w:r>
              <w:rPr>
                <w:rFonts w:ascii="sans-serif" w:eastAsia="sans-serif" w:hAnsi="sans-serif" w:cs="sans-serif"/>
                <w:color w:val="000000"/>
                <w:sz w:val="20"/>
                <w:szCs w:val="20"/>
              </w:rPr>
              <w:t>49 </w:t>
            </w:r>
          </w:p>
        </w:tc>
        <w:tc>
          <w:tcPr>
            <w:tcW w:w="0" w:type="auto"/>
            <w:shd w:val="clear" w:color="auto" w:fill="E2EFD9"/>
            <w:tcMar>
              <w:top w:w="40" w:type="dxa"/>
              <w:bottom w:w="40" w:type="dxa"/>
              <w:right w:w="20" w:type="dxa"/>
            </w:tcMar>
            <w:vAlign w:val="bottom"/>
          </w:tcPr>
          <w:p w14:paraId="3693F11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11" w14:textId="77777777" w:rsidR="003734EC" w:rsidRDefault="003734EC">
            <w:pPr>
              <w:rPr>
                <w:rFonts w:ascii="宋体"/>
              </w:rPr>
            </w:pPr>
          </w:p>
        </w:tc>
        <w:tc>
          <w:tcPr>
            <w:tcW w:w="0" w:type="auto"/>
            <w:shd w:val="clear" w:color="auto" w:fill="auto"/>
            <w:vAlign w:val="center"/>
          </w:tcPr>
          <w:p w14:paraId="3693F112" w14:textId="77777777" w:rsidR="003734EC" w:rsidRDefault="003734EC">
            <w:pPr>
              <w:rPr>
                <w:rFonts w:ascii="宋体"/>
              </w:rPr>
            </w:pPr>
          </w:p>
        </w:tc>
        <w:tc>
          <w:tcPr>
            <w:tcW w:w="0" w:type="auto"/>
            <w:shd w:val="clear" w:color="auto" w:fill="auto"/>
            <w:vAlign w:val="center"/>
          </w:tcPr>
          <w:p w14:paraId="3693F113" w14:textId="77777777" w:rsidR="003734EC" w:rsidRDefault="003734EC">
            <w:pPr>
              <w:rPr>
                <w:rFonts w:ascii="宋体"/>
              </w:rPr>
            </w:pPr>
          </w:p>
        </w:tc>
        <w:tc>
          <w:tcPr>
            <w:tcW w:w="0" w:type="auto"/>
            <w:shd w:val="clear" w:color="auto" w:fill="auto"/>
            <w:vAlign w:val="center"/>
          </w:tcPr>
          <w:p w14:paraId="3693F114" w14:textId="77777777" w:rsidR="003734EC" w:rsidRDefault="003734EC">
            <w:pPr>
              <w:rPr>
                <w:rFonts w:ascii="宋体"/>
              </w:rPr>
            </w:pPr>
          </w:p>
        </w:tc>
        <w:tc>
          <w:tcPr>
            <w:tcW w:w="0" w:type="auto"/>
            <w:shd w:val="clear" w:color="auto" w:fill="auto"/>
            <w:vAlign w:val="center"/>
          </w:tcPr>
          <w:p w14:paraId="3693F115" w14:textId="77777777" w:rsidR="003734EC" w:rsidRDefault="003734EC">
            <w:pPr>
              <w:rPr>
                <w:rFonts w:ascii="宋体"/>
              </w:rPr>
            </w:pPr>
          </w:p>
        </w:tc>
        <w:tc>
          <w:tcPr>
            <w:tcW w:w="0" w:type="auto"/>
            <w:shd w:val="clear" w:color="auto" w:fill="auto"/>
            <w:vAlign w:val="center"/>
          </w:tcPr>
          <w:p w14:paraId="3693F116" w14:textId="77777777" w:rsidR="003734EC" w:rsidRDefault="003734EC">
            <w:pPr>
              <w:rPr>
                <w:rFonts w:ascii="宋体"/>
              </w:rPr>
            </w:pPr>
          </w:p>
        </w:tc>
      </w:tr>
      <w:tr w:rsidR="003734EC" w14:paraId="3693F126" w14:textId="77777777">
        <w:tc>
          <w:tcPr>
            <w:tcW w:w="0" w:type="auto"/>
            <w:gridSpan w:val="3"/>
            <w:shd w:val="clear" w:color="auto" w:fill="FFFFFF"/>
            <w:tcMar>
              <w:top w:w="40" w:type="dxa"/>
              <w:left w:w="360" w:type="dxa"/>
              <w:bottom w:w="40" w:type="dxa"/>
              <w:right w:w="20" w:type="dxa"/>
            </w:tcMar>
            <w:vAlign w:val="bottom"/>
          </w:tcPr>
          <w:p w14:paraId="3693F118" w14:textId="77777777" w:rsidR="003734EC" w:rsidRDefault="000E364E">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11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11A" w14:textId="77777777" w:rsidR="003734EC" w:rsidRDefault="000E364E">
            <w:pPr>
              <w:jc w:val="right"/>
              <w:textAlignment w:val="bottom"/>
            </w:pPr>
            <w:r>
              <w:rPr>
                <w:rFonts w:ascii="sans-serif" w:eastAsia="sans-serif" w:hAnsi="sans-serif" w:cs="sans-serif"/>
                <w:color w:val="000000"/>
                <w:sz w:val="20"/>
                <w:szCs w:val="20"/>
              </w:rPr>
              <w:t>1,142 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11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11C"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11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11E" w14:textId="77777777" w:rsidR="003734EC" w:rsidRDefault="000E364E">
            <w:pPr>
              <w:jc w:val="right"/>
              <w:textAlignment w:val="bottom"/>
            </w:pPr>
            <w:r>
              <w:rPr>
                <w:rFonts w:ascii="sans-serif" w:eastAsia="sans-serif" w:hAnsi="sans-serif" w:cs="sans-serif"/>
                <w:color w:val="000000"/>
                <w:sz w:val="20"/>
                <w:szCs w:val="20"/>
              </w:rPr>
              <w:t>1,097 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11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20" w14:textId="77777777" w:rsidR="003734EC" w:rsidRDefault="003734EC">
            <w:pPr>
              <w:rPr>
                <w:rFonts w:ascii="宋体"/>
              </w:rPr>
            </w:pPr>
          </w:p>
        </w:tc>
        <w:tc>
          <w:tcPr>
            <w:tcW w:w="0" w:type="auto"/>
            <w:shd w:val="clear" w:color="auto" w:fill="auto"/>
            <w:vAlign w:val="center"/>
          </w:tcPr>
          <w:p w14:paraId="3693F121" w14:textId="77777777" w:rsidR="003734EC" w:rsidRDefault="003734EC">
            <w:pPr>
              <w:rPr>
                <w:rFonts w:ascii="宋体"/>
              </w:rPr>
            </w:pPr>
          </w:p>
        </w:tc>
        <w:tc>
          <w:tcPr>
            <w:tcW w:w="0" w:type="auto"/>
            <w:shd w:val="clear" w:color="auto" w:fill="auto"/>
            <w:vAlign w:val="center"/>
          </w:tcPr>
          <w:p w14:paraId="3693F122" w14:textId="77777777" w:rsidR="003734EC" w:rsidRDefault="003734EC">
            <w:pPr>
              <w:rPr>
                <w:rFonts w:ascii="宋体"/>
              </w:rPr>
            </w:pPr>
          </w:p>
        </w:tc>
        <w:tc>
          <w:tcPr>
            <w:tcW w:w="0" w:type="auto"/>
            <w:shd w:val="clear" w:color="auto" w:fill="auto"/>
            <w:vAlign w:val="center"/>
          </w:tcPr>
          <w:p w14:paraId="3693F123" w14:textId="77777777" w:rsidR="003734EC" w:rsidRDefault="003734EC">
            <w:pPr>
              <w:rPr>
                <w:rFonts w:ascii="宋体"/>
              </w:rPr>
            </w:pPr>
          </w:p>
        </w:tc>
        <w:tc>
          <w:tcPr>
            <w:tcW w:w="0" w:type="auto"/>
            <w:shd w:val="clear" w:color="auto" w:fill="auto"/>
            <w:vAlign w:val="center"/>
          </w:tcPr>
          <w:p w14:paraId="3693F124" w14:textId="77777777" w:rsidR="003734EC" w:rsidRDefault="003734EC">
            <w:pPr>
              <w:rPr>
                <w:rFonts w:ascii="宋体"/>
              </w:rPr>
            </w:pPr>
          </w:p>
        </w:tc>
        <w:tc>
          <w:tcPr>
            <w:tcW w:w="0" w:type="auto"/>
            <w:shd w:val="clear" w:color="auto" w:fill="auto"/>
            <w:vAlign w:val="center"/>
          </w:tcPr>
          <w:p w14:paraId="3693F125" w14:textId="77777777" w:rsidR="003734EC" w:rsidRDefault="003734EC">
            <w:pPr>
              <w:rPr>
                <w:rFonts w:ascii="宋体"/>
              </w:rPr>
            </w:pPr>
          </w:p>
        </w:tc>
      </w:tr>
    </w:tbl>
    <w:p w14:paraId="3693F127" w14:textId="77777777" w:rsidR="003734EC" w:rsidRDefault="000E364E">
      <w:pPr>
        <w:spacing w:after="60"/>
        <w:ind w:hanging="360"/>
      </w:pPr>
      <w:r>
        <w:rPr>
          <w:rFonts w:ascii="sans-serif" w:eastAsia="sans-serif" w:hAnsi="sans-serif" w:cs="sans-serif"/>
          <w:color w:val="000000"/>
          <w:sz w:val="16"/>
          <w:szCs w:val="16"/>
        </w:rPr>
        <w:t xml:space="preserve">(1) Deferred revenue primarily includes customer advances and deferrals related to license and development arrangements and post contract customer support, or PCS. </w:t>
      </w:r>
    </w:p>
    <w:tbl>
      <w:tblPr>
        <w:tblW w:w="4993" w:type="pct"/>
        <w:tblCellMar>
          <w:top w:w="15" w:type="dxa"/>
          <w:left w:w="15" w:type="dxa"/>
          <w:bottom w:w="15" w:type="dxa"/>
          <w:right w:w="15" w:type="dxa"/>
        </w:tblCellMar>
        <w:tblLook w:val="04A0" w:firstRow="1" w:lastRow="0" w:firstColumn="1" w:lastColumn="0" w:noHBand="0" w:noVBand="1"/>
      </w:tblPr>
      <w:tblGrid>
        <w:gridCol w:w="51"/>
        <w:gridCol w:w="5696"/>
        <w:gridCol w:w="82"/>
        <w:gridCol w:w="137"/>
        <w:gridCol w:w="887"/>
        <w:gridCol w:w="81"/>
        <w:gridCol w:w="36"/>
        <w:gridCol w:w="36"/>
        <w:gridCol w:w="36"/>
        <w:gridCol w:w="138"/>
        <w:gridCol w:w="847"/>
        <w:gridCol w:w="81"/>
        <w:gridCol w:w="36"/>
        <w:gridCol w:w="36"/>
        <w:gridCol w:w="36"/>
        <w:gridCol w:w="36"/>
        <w:gridCol w:w="36"/>
        <w:gridCol w:w="36"/>
      </w:tblGrid>
      <w:tr w:rsidR="003734EC" w14:paraId="3693F134" w14:textId="77777777">
        <w:trPr>
          <w:gridAfter w:val="6"/>
        </w:trPr>
        <w:tc>
          <w:tcPr>
            <w:tcW w:w="50" w:type="pct"/>
            <w:shd w:val="clear" w:color="auto" w:fill="auto"/>
            <w:vAlign w:val="center"/>
          </w:tcPr>
          <w:p w14:paraId="3693F128" w14:textId="77777777" w:rsidR="003734EC" w:rsidRDefault="003734EC">
            <w:pPr>
              <w:rPr>
                <w:rFonts w:ascii="宋体"/>
              </w:rPr>
            </w:pPr>
          </w:p>
        </w:tc>
        <w:tc>
          <w:tcPr>
            <w:tcW w:w="3531" w:type="pct"/>
            <w:shd w:val="clear" w:color="auto" w:fill="auto"/>
            <w:vAlign w:val="center"/>
          </w:tcPr>
          <w:p w14:paraId="3693F129" w14:textId="77777777" w:rsidR="003734EC" w:rsidRDefault="003734EC">
            <w:pPr>
              <w:rPr>
                <w:rFonts w:ascii="宋体"/>
              </w:rPr>
            </w:pPr>
          </w:p>
        </w:tc>
        <w:tc>
          <w:tcPr>
            <w:tcW w:w="50" w:type="pct"/>
            <w:shd w:val="clear" w:color="auto" w:fill="auto"/>
            <w:vAlign w:val="center"/>
          </w:tcPr>
          <w:p w14:paraId="3693F12A" w14:textId="77777777" w:rsidR="003734EC" w:rsidRDefault="003734EC">
            <w:pPr>
              <w:rPr>
                <w:rFonts w:ascii="宋体"/>
              </w:rPr>
            </w:pPr>
          </w:p>
        </w:tc>
        <w:tc>
          <w:tcPr>
            <w:tcW w:w="50" w:type="pct"/>
            <w:shd w:val="clear" w:color="auto" w:fill="auto"/>
            <w:vAlign w:val="center"/>
          </w:tcPr>
          <w:p w14:paraId="3693F12B" w14:textId="77777777" w:rsidR="003734EC" w:rsidRDefault="003734EC">
            <w:pPr>
              <w:rPr>
                <w:rFonts w:ascii="宋体"/>
              </w:rPr>
            </w:pPr>
          </w:p>
        </w:tc>
        <w:tc>
          <w:tcPr>
            <w:tcW w:w="566" w:type="pct"/>
            <w:shd w:val="clear" w:color="auto" w:fill="auto"/>
            <w:vAlign w:val="center"/>
          </w:tcPr>
          <w:p w14:paraId="3693F12C" w14:textId="77777777" w:rsidR="003734EC" w:rsidRDefault="003734EC">
            <w:pPr>
              <w:rPr>
                <w:rFonts w:ascii="宋体"/>
              </w:rPr>
            </w:pPr>
          </w:p>
        </w:tc>
        <w:tc>
          <w:tcPr>
            <w:tcW w:w="50" w:type="pct"/>
            <w:shd w:val="clear" w:color="auto" w:fill="auto"/>
            <w:vAlign w:val="center"/>
          </w:tcPr>
          <w:p w14:paraId="3693F12D" w14:textId="77777777" w:rsidR="003734EC" w:rsidRDefault="003734EC">
            <w:pPr>
              <w:rPr>
                <w:rFonts w:ascii="宋体"/>
              </w:rPr>
            </w:pPr>
          </w:p>
        </w:tc>
        <w:tc>
          <w:tcPr>
            <w:tcW w:w="5" w:type="pct"/>
            <w:shd w:val="clear" w:color="auto" w:fill="auto"/>
            <w:vAlign w:val="center"/>
          </w:tcPr>
          <w:p w14:paraId="3693F12E" w14:textId="77777777" w:rsidR="003734EC" w:rsidRDefault="003734EC">
            <w:pPr>
              <w:rPr>
                <w:rFonts w:ascii="宋体"/>
              </w:rPr>
            </w:pPr>
          </w:p>
        </w:tc>
        <w:tc>
          <w:tcPr>
            <w:tcW w:w="26" w:type="pct"/>
            <w:shd w:val="clear" w:color="auto" w:fill="auto"/>
            <w:vAlign w:val="center"/>
          </w:tcPr>
          <w:p w14:paraId="3693F12F" w14:textId="77777777" w:rsidR="003734EC" w:rsidRDefault="003734EC">
            <w:pPr>
              <w:rPr>
                <w:rFonts w:ascii="宋体"/>
              </w:rPr>
            </w:pPr>
          </w:p>
        </w:tc>
        <w:tc>
          <w:tcPr>
            <w:tcW w:w="5" w:type="pct"/>
            <w:shd w:val="clear" w:color="auto" w:fill="auto"/>
            <w:vAlign w:val="center"/>
          </w:tcPr>
          <w:p w14:paraId="3693F130" w14:textId="77777777" w:rsidR="003734EC" w:rsidRDefault="003734EC">
            <w:pPr>
              <w:rPr>
                <w:rFonts w:ascii="宋体"/>
              </w:rPr>
            </w:pPr>
          </w:p>
        </w:tc>
        <w:tc>
          <w:tcPr>
            <w:tcW w:w="50" w:type="pct"/>
            <w:shd w:val="clear" w:color="auto" w:fill="auto"/>
            <w:vAlign w:val="center"/>
          </w:tcPr>
          <w:p w14:paraId="3693F131" w14:textId="77777777" w:rsidR="003734EC" w:rsidRDefault="003734EC">
            <w:pPr>
              <w:rPr>
                <w:rFonts w:ascii="宋体"/>
              </w:rPr>
            </w:pPr>
          </w:p>
        </w:tc>
        <w:tc>
          <w:tcPr>
            <w:tcW w:w="566" w:type="pct"/>
            <w:shd w:val="clear" w:color="auto" w:fill="auto"/>
            <w:vAlign w:val="center"/>
          </w:tcPr>
          <w:p w14:paraId="3693F132" w14:textId="77777777" w:rsidR="003734EC" w:rsidRDefault="003734EC">
            <w:pPr>
              <w:rPr>
                <w:rFonts w:ascii="宋体"/>
              </w:rPr>
            </w:pPr>
          </w:p>
        </w:tc>
        <w:tc>
          <w:tcPr>
            <w:tcW w:w="50" w:type="pct"/>
            <w:shd w:val="clear" w:color="auto" w:fill="auto"/>
            <w:vAlign w:val="center"/>
          </w:tcPr>
          <w:p w14:paraId="3693F133" w14:textId="77777777" w:rsidR="003734EC" w:rsidRDefault="003734EC">
            <w:pPr>
              <w:rPr>
                <w:rFonts w:ascii="宋体"/>
              </w:rPr>
            </w:pPr>
          </w:p>
        </w:tc>
      </w:tr>
      <w:tr w:rsidR="003734EC" w14:paraId="3693F139" w14:textId="77777777">
        <w:trPr>
          <w:gridAfter w:val="6"/>
        </w:trPr>
        <w:tc>
          <w:tcPr>
            <w:tcW w:w="0" w:type="auto"/>
            <w:gridSpan w:val="3"/>
            <w:shd w:val="clear" w:color="auto" w:fill="auto"/>
            <w:tcMar>
              <w:left w:w="20" w:type="dxa"/>
              <w:right w:w="20" w:type="dxa"/>
            </w:tcMar>
            <w:vAlign w:val="bottom"/>
          </w:tcPr>
          <w:p w14:paraId="3693F135"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136"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left w:w="20" w:type="dxa"/>
              <w:right w:w="20" w:type="dxa"/>
            </w:tcMar>
            <w:vAlign w:val="bottom"/>
          </w:tcPr>
          <w:p w14:paraId="3693F137"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138" w14:textId="77777777" w:rsidR="003734EC" w:rsidRDefault="000E364E">
            <w:pPr>
              <w:jc w:val="center"/>
              <w:textAlignment w:val="bottom"/>
            </w:pPr>
            <w:r>
              <w:rPr>
                <w:rFonts w:ascii="sans-serif" w:eastAsia="sans-serif" w:hAnsi="sans-serif" w:cs="sans-serif"/>
                <w:b/>
                <w:bCs/>
                <w:color w:val="000000"/>
                <w:sz w:val="20"/>
                <w:szCs w:val="20"/>
              </w:rPr>
              <w:t>January 26,</w:t>
            </w:r>
          </w:p>
        </w:tc>
      </w:tr>
      <w:tr w:rsidR="003734EC" w14:paraId="3693F13E" w14:textId="77777777">
        <w:trPr>
          <w:gridAfter w:val="6"/>
        </w:trPr>
        <w:tc>
          <w:tcPr>
            <w:tcW w:w="0" w:type="auto"/>
            <w:gridSpan w:val="3"/>
            <w:shd w:val="clear" w:color="auto" w:fill="auto"/>
            <w:tcMar>
              <w:top w:w="40" w:type="dxa"/>
              <w:left w:w="20" w:type="dxa"/>
              <w:bottom w:w="40" w:type="dxa"/>
              <w:right w:w="20" w:type="dxa"/>
            </w:tcMar>
            <w:vAlign w:val="bottom"/>
          </w:tcPr>
          <w:p w14:paraId="3693F13A"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13B"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F13C"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13D" w14:textId="77777777" w:rsidR="003734EC" w:rsidRDefault="000E364E">
            <w:pPr>
              <w:jc w:val="center"/>
              <w:textAlignment w:val="bottom"/>
            </w:pPr>
            <w:r>
              <w:rPr>
                <w:rFonts w:ascii="sans-serif" w:eastAsia="sans-serif" w:hAnsi="sans-serif" w:cs="sans-serif"/>
                <w:b/>
                <w:bCs/>
                <w:color w:val="000000"/>
                <w:sz w:val="20"/>
                <w:szCs w:val="20"/>
              </w:rPr>
              <w:t>2020</w:t>
            </w:r>
          </w:p>
        </w:tc>
      </w:tr>
      <w:tr w:rsidR="003734EC" w14:paraId="3693F143" w14:textId="77777777">
        <w:tc>
          <w:tcPr>
            <w:tcW w:w="0" w:type="auto"/>
            <w:gridSpan w:val="3"/>
            <w:shd w:val="clear" w:color="auto" w:fill="auto"/>
            <w:tcMar>
              <w:top w:w="40" w:type="dxa"/>
              <w:left w:w="20" w:type="dxa"/>
              <w:bottom w:w="40" w:type="dxa"/>
              <w:right w:w="20" w:type="dxa"/>
            </w:tcMar>
            <w:vAlign w:val="bottom"/>
          </w:tcPr>
          <w:p w14:paraId="3693F13F" w14:textId="77777777" w:rsidR="003734EC" w:rsidRDefault="000E364E">
            <w:pPr>
              <w:textAlignment w:val="bottom"/>
            </w:pPr>
            <w:r>
              <w:rPr>
                <w:rFonts w:ascii="sans-serif" w:eastAsia="sans-serif" w:hAnsi="sans-serif" w:cs="sans-serif"/>
                <w:b/>
                <w:bCs/>
                <w:color w:val="000000"/>
                <w:sz w:val="20"/>
                <w:szCs w:val="20"/>
              </w:rPr>
              <w:t xml:space="preserve">Other Long-Term </w:t>
            </w:r>
            <w:r>
              <w:rPr>
                <w:rFonts w:ascii="sans-serif" w:eastAsia="sans-serif" w:hAnsi="sans-serif" w:cs="sans-serif"/>
                <w:b/>
                <w:bCs/>
                <w:color w:val="000000"/>
                <w:sz w:val="20"/>
                <w:szCs w:val="20"/>
              </w:rPr>
              <w:t>Liabilities: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140"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141" w14:textId="77777777" w:rsidR="003734EC" w:rsidRDefault="003734EC">
            <w:pPr>
              <w:rPr>
                <w:rFonts w:ascii="宋体"/>
                <w:vanish/>
              </w:rPr>
            </w:pPr>
          </w:p>
        </w:tc>
        <w:tc>
          <w:tcPr>
            <w:tcW w:w="0" w:type="auto"/>
            <w:gridSpan w:val="3"/>
            <w:shd w:val="clear" w:color="auto" w:fill="auto"/>
            <w:vAlign w:val="center"/>
          </w:tcPr>
          <w:p w14:paraId="3693F142" w14:textId="77777777" w:rsidR="003734EC" w:rsidRDefault="003734EC">
            <w:pPr>
              <w:rPr>
                <w:rFonts w:ascii="宋体"/>
                <w:vanish/>
              </w:rPr>
            </w:pPr>
          </w:p>
        </w:tc>
      </w:tr>
      <w:tr w:rsidR="003734EC" w14:paraId="3693F152" w14:textId="77777777">
        <w:tc>
          <w:tcPr>
            <w:tcW w:w="0" w:type="auto"/>
            <w:gridSpan w:val="3"/>
            <w:shd w:val="clear" w:color="auto" w:fill="E2EFD9"/>
            <w:tcMar>
              <w:top w:w="40" w:type="dxa"/>
              <w:left w:w="20" w:type="dxa"/>
              <w:bottom w:w="40" w:type="dxa"/>
              <w:right w:w="20" w:type="dxa"/>
            </w:tcMar>
            <w:vAlign w:val="bottom"/>
          </w:tcPr>
          <w:p w14:paraId="3693F144" w14:textId="77777777" w:rsidR="003734EC" w:rsidRDefault="000E364E">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tcMar>
            <w:vAlign w:val="bottom"/>
          </w:tcPr>
          <w:p w14:paraId="3693F14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146" w14:textId="77777777" w:rsidR="003734EC" w:rsidRDefault="000E364E">
            <w:pPr>
              <w:jc w:val="right"/>
              <w:textAlignment w:val="bottom"/>
            </w:pPr>
            <w:r>
              <w:rPr>
                <w:rFonts w:ascii="sans-serif" w:eastAsia="sans-serif" w:hAnsi="sans-serif" w:cs="sans-serif"/>
                <w:color w:val="000000"/>
                <w:sz w:val="20"/>
                <w:szCs w:val="20"/>
              </w:rPr>
              <w:t>535 </w:t>
            </w:r>
          </w:p>
        </w:tc>
        <w:tc>
          <w:tcPr>
            <w:tcW w:w="0" w:type="auto"/>
            <w:shd w:val="clear" w:color="auto" w:fill="E2EFD9"/>
            <w:tcMar>
              <w:top w:w="40" w:type="dxa"/>
              <w:bottom w:w="40" w:type="dxa"/>
              <w:right w:w="20" w:type="dxa"/>
            </w:tcMar>
            <w:vAlign w:val="bottom"/>
          </w:tcPr>
          <w:p w14:paraId="3693F14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48"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14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14A" w14:textId="77777777" w:rsidR="003734EC" w:rsidRDefault="000E364E">
            <w:pPr>
              <w:jc w:val="right"/>
              <w:textAlignment w:val="bottom"/>
            </w:pPr>
            <w:r>
              <w:rPr>
                <w:rFonts w:ascii="sans-serif" w:eastAsia="sans-serif" w:hAnsi="sans-serif" w:cs="sans-serif"/>
                <w:color w:val="000000"/>
                <w:sz w:val="20"/>
                <w:szCs w:val="20"/>
              </w:rPr>
              <w:t>528 </w:t>
            </w:r>
          </w:p>
        </w:tc>
        <w:tc>
          <w:tcPr>
            <w:tcW w:w="0" w:type="auto"/>
            <w:shd w:val="clear" w:color="auto" w:fill="E2EFD9"/>
            <w:tcMar>
              <w:top w:w="40" w:type="dxa"/>
              <w:bottom w:w="40" w:type="dxa"/>
              <w:right w:w="20" w:type="dxa"/>
            </w:tcMar>
            <w:vAlign w:val="bottom"/>
          </w:tcPr>
          <w:p w14:paraId="3693F14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4C" w14:textId="77777777" w:rsidR="003734EC" w:rsidRDefault="003734EC">
            <w:pPr>
              <w:rPr>
                <w:rFonts w:ascii="宋体"/>
              </w:rPr>
            </w:pPr>
          </w:p>
        </w:tc>
        <w:tc>
          <w:tcPr>
            <w:tcW w:w="0" w:type="auto"/>
            <w:shd w:val="clear" w:color="auto" w:fill="auto"/>
            <w:vAlign w:val="center"/>
          </w:tcPr>
          <w:p w14:paraId="3693F14D" w14:textId="77777777" w:rsidR="003734EC" w:rsidRDefault="003734EC">
            <w:pPr>
              <w:rPr>
                <w:rFonts w:ascii="宋体"/>
              </w:rPr>
            </w:pPr>
          </w:p>
        </w:tc>
        <w:tc>
          <w:tcPr>
            <w:tcW w:w="0" w:type="auto"/>
            <w:shd w:val="clear" w:color="auto" w:fill="auto"/>
            <w:vAlign w:val="center"/>
          </w:tcPr>
          <w:p w14:paraId="3693F14E" w14:textId="77777777" w:rsidR="003734EC" w:rsidRDefault="003734EC">
            <w:pPr>
              <w:rPr>
                <w:rFonts w:ascii="宋体"/>
              </w:rPr>
            </w:pPr>
          </w:p>
        </w:tc>
        <w:tc>
          <w:tcPr>
            <w:tcW w:w="0" w:type="auto"/>
            <w:shd w:val="clear" w:color="auto" w:fill="auto"/>
            <w:vAlign w:val="center"/>
          </w:tcPr>
          <w:p w14:paraId="3693F14F" w14:textId="77777777" w:rsidR="003734EC" w:rsidRDefault="003734EC">
            <w:pPr>
              <w:rPr>
                <w:rFonts w:ascii="宋体"/>
              </w:rPr>
            </w:pPr>
          </w:p>
        </w:tc>
        <w:tc>
          <w:tcPr>
            <w:tcW w:w="0" w:type="auto"/>
            <w:shd w:val="clear" w:color="auto" w:fill="auto"/>
            <w:vAlign w:val="center"/>
          </w:tcPr>
          <w:p w14:paraId="3693F150" w14:textId="77777777" w:rsidR="003734EC" w:rsidRDefault="003734EC">
            <w:pPr>
              <w:rPr>
                <w:rFonts w:ascii="宋体"/>
              </w:rPr>
            </w:pPr>
          </w:p>
        </w:tc>
        <w:tc>
          <w:tcPr>
            <w:tcW w:w="0" w:type="auto"/>
            <w:shd w:val="clear" w:color="auto" w:fill="auto"/>
            <w:vAlign w:val="center"/>
          </w:tcPr>
          <w:p w14:paraId="3693F151" w14:textId="77777777" w:rsidR="003734EC" w:rsidRDefault="003734EC">
            <w:pPr>
              <w:rPr>
                <w:rFonts w:ascii="宋体"/>
              </w:rPr>
            </w:pPr>
          </w:p>
        </w:tc>
      </w:tr>
      <w:tr w:rsidR="003734EC" w14:paraId="3693F15F" w14:textId="77777777">
        <w:tc>
          <w:tcPr>
            <w:tcW w:w="0" w:type="auto"/>
            <w:gridSpan w:val="3"/>
            <w:shd w:val="clear" w:color="auto" w:fill="FFFFFF"/>
            <w:tcMar>
              <w:top w:w="40" w:type="dxa"/>
              <w:left w:w="20" w:type="dxa"/>
              <w:bottom w:w="40" w:type="dxa"/>
              <w:right w:w="20" w:type="dxa"/>
            </w:tcMar>
            <w:vAlign w:val="bottom"/>
          </w:tcPr>
          <w:p w14:paraId="3693F153" w14:textId="77777777" w:rsidR="003734EC" w:rsidRDefault="000E364E">
            <w:pPr>
              <w:textAlignment w:val="bottom"/>
            </w:pPr>
            <w:r>
              <w:rPr>
                <w:rFonts w:ascii="sans-serif" w:eastAsia="sans-serif" w:hAnsi="sans-serif" w:cs="sans-serif"/>
                <w:color w:val="000000"/>
                <w:sz w:val="20"/>
                <w:szCs w:val="20"/>
              </w:rPr>
              <w:t>Licenses payable</w:t>
            </w:r>
          </w:p>
        </w:tc>
        <w:tc>
          <w:tcPr>
            <w:tcW w:w="0" w:type="auto"/>
            <w:gridSpan w:val="2"/>
            <w:shd w:val="clear" w:color="auto" w:fill="FFFFFF"/>
            <w:tcMar>
              <w:top w:w="40" w:type="dxa"/>
              <w:left w:w="20" w:type="dxa"/>
              <w:bottom w:w="40" w:type="dxa"/>
              <w:right w:w="0" w:type="dxa"/>
            </w:tcMar>
            <w:vAlign w:val="bottom"/>
          </w:tcPr>
          <w:p w14:paraId="3693F154" w14:textId="77777777" w:rsidR="003734EC" w:rsidRDefault="000E364E">
            <w:pPr>
              <w:jc w:val="right"/>
              <w:textAlignment w:val="bottom"/>
            </w:pPr>
            <w:r>
              <w:rPr>
                <w:rFonts w:ascii="sans-serif" w:eastAsia="sans-serif" w:hAnsi="sans-serif" w:cs="sans-serif"/>
                <w:color w:val="000000"/>
                <w:sz w:val="20"/>
                <w:szCs w:val="20"/>
              </w:rPr>
              <w:t>84 </w:t>
            </w:r>
          </w:p>
        </w:tc>
        <w:tc>
          <w:tcPr>
            <w:tcW w:w="0" w:type="auto"/>
            <w:shd w:val="clear" w:color="auto" w:fill="FFFFFF"/>
            <w:tcMar>
              <w:top w:w="40" w:type="dxa"/>
              <w:bottom w:w="40" w:type="dxa"/>
              <w:right w:w="20" w:type="dxa"/>
            </w:tcMar>
            <w:vAlign w:val="bottom"/>
          </w:tcPr>
          <w:p w14:paraId="3693F15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156"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157" w14:textId="77777777" w:rsidR="003734EC" w:rsidRDefault="000E364E">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bottom w:w="40" w:type="dxa"/>
              <w:right w:w="20" w:type="dxa"/>
            </w:tcMar>
            <w:vAlign w:val="bottom"/>
          </w:tcPr>
          <w:p w14:paraId="3693F15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59" w14:textId="77777777" w:rsidR="003734EC" w:rsidRDefault="003734EC">
            <w:pPr>
              <w:rPr>
                <w:rFonts w:ascii="宋体"/>
              </w:rPr>
            </w:pPr>
          </w:p>
        </w:tc>
        <w:tc>
          <w:tcPr>
            <w:tcW w:w="0" w:type="auto"/>
            <w:shd w:val="clear" w:color="auto" w:fill="auto"/>
            <w:vAlign w:val="center"/>
          </w:tcPr>
          <w:p w14:paraId="3693F15A" w14:textId="77777777" w:rsidR="003734EC" w:rsidRDefault="003734EC">
            <w:pPr>
              <w:rPr>
                <w:rFonts w:ascii="宋体"/>
              </w:rPr>
            </w:pPr>
          </w:p>
        </w:tc>
        <w:tc>
          <w:tcPr>
            <w:tcW w:w="0" w:type="auto"/>
            <w:shd w:val="clear" w:color="auto" w:fill="auto"/>
            <w:vAlign w:val="center"/>
          </w:tcPr>
          <w:p w14:paraId="3693F15B" w14:textId="77777777" w:rsidR="003734EC" w:rsidRDefault="003734EC">
            <w:pPr>
              <w:rPr>
                <w:rFonts w:ascii="宋体"/>
              </w:rPr>
            </w:pPr>
          </w:p>
        </w:tc>
        <w:tc>
          <w:tcPr>
            <w:tcW w:w="0" w:type="auto"/>
            <w:shd w:val="clear" w:color="auto" w:fill="auto"/>
            <w:vAlign w:val="center"/>
          </w:tcPr>
          <w:p w14:paraId="3693F15C" w14:textId="77777777" w:rsidR="003734EC" w:rsidRDefault="003734EC">
            <w:pPr>
              <w:rPr>
                <w:rFonts w:ascii="宋体"/>
              </w:rPr>
            </w:pPr>
          </w:p>
        </w:tc>
        <w:tc>
          <w:tcPr>
            <w:tcW w:w="0" w:type="auto"/>
            <w:shd w:val="clear" w:color="auto" w:fill="auto"/>
            <w:vAlign w:val="center"/>
          </w:tcPr>
          <w:p w14:paraId="3693F15D" w14:textId="77777777" w:rsidR="003734EC" w:rsidRDefault="003734EC">
            <w:pPr>
              <w:rPr>
                <w:rFonts w:ascii="宋体"/>
              </w:rPr>
            </w:pPr>
          </w:p>
        </w:tc>
        <w:tc>
          <w:tcPr>
            <w:tcW w:w="0" w:type="auto"/>
            <w:shd w:val="clear" w:color="auto" w:fill="auto"/>
            <w:vAlign w:val="center"/>
          </w:tcPr>
          <w:p w14:paraId="3693F15E" w14:textId="77777777" w:rsidR="003734EC" w:rsidRDefault="003734EC">
            <w:pPr>
              <w:rPr>
                <w:rFonts w:ascii="宋体"/>
              </w:rPr>
            </w:pPr>
          </w:p>
        </w:tc>
      </w:tr>
      <w:tr w:rsidR="003734EC" w14:paraId="3693F16C" w14:textId="77777777">
        <w:tc>
          <w:tcPr>
            <w:tcW w:w="0" w:type="auto"/>
            <w:gridSpan w:val="3"/>
            <w:shd w:val="clear" w:color="auto" w:fill="E2EFD9"/>
            <w:tcMar>
              <w:top w:w="40" w:type="dxa"/>
              <w:left w:w="20" w:type="dxa"/>
              <w:bottom w:w="40" w:type="dxa"/>
              <w:right w:w="20" w:type="dxa"/>
            </w:tcMar>
            <w:vAlign w:val="bottom"/>
          </w:tcPr>
          <w:p w14:paraId="3693F160" w14:textId="77777777" w:rsidR="003734EC" w:rsidRDefault="000E364E">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3693F161" w14:textId="77777777" w:rsidR="003734EC" w:rsidRDefault="000E364E">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bottom w:w="40" w:type="dxa"/>
              <w:right w:w="20" w:type="dxa"/>
            </w:tcMar>
            <w:vAlign w:val="bottom"/>
          </w:tcPr>
          <w:p w14:paraId="3693F16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63"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164" w14:textId="77777777" w:rsidR="003734EC" w:rsidRDefault="000E364E">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bottom w:w="40" w:type="dxa"/>
              <w:right w:w="20" w:type="dxa"/>
            </w:tcMar>
            <w:vAlign w:val="bottom"/>
          </w:tcPr>
          <w:p w14:paraId="3693F16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66" w14:textId="77777777" w:rsidR="003734EC" w:rsidRDefault="003734EC">
            <w:pPr>
              <w:rPr>
                <w:rFonts w:ascii="宋体"/>
              </w:rPr>
            </w:pPr>
          </w:p>
        </w:tc>
        <w:tc>
          <w:tcPr>
            <w:tcW w:w="0" w:type="auto"/>
            <w:shd w:val="clear" w:color="auto" w:fill="auto"/>
            <w:vAlign w:val="center"/>
          </w:tcPr>
          <w:p w14:paraId="3693F167" w14:textId="77777777" w:rsidR="003734EC" w:rsidRDefault="003734EC">
            <w:pPr>
              <w:rPr>
                <w:rFonts w:ascii="宋体"/>
              </w:rPr>
            </w:pPr>
          </w:p>
        </w:tc>
        <w:tc>
          <w:tcPr>
            <w:tcW w:w="0" w:type="auto"/>
            <w:shd w:val="clear" w:color="auto" w:fill="auto"/>
            <w:vAlign w:val="center"/>
          </w:tcPr>
          <w:p w14:paraId="3693F168" w14:textId="77777777" w:rsidR="003734EC" w:rsidRDefault="003734EC">
            <w:pPr>
              <w:rPr>
                <w:rFonts w:ascii="宋体"/>
              </w:rPr>
            </w:pPr>
          </w:p>
        </w:tc>
        <w:tc>
          <w:tcPr>
            <w:tcW w:w="0" w:type="auto"/>
            <w:shd w:val="clear" w:color="auto" w:fill="auto"/>
            <w:vAlign w:val="center"/>
          </w:tcPr>
          <w:p w14:paraId="3693F169" w14:textId="77777777" w:rsidR="003734EC" w:rsidRDefault="003734EC">
            <w:pPr>
              <w:rPr>
                <w:rFonts w:ascii="宋体"/>
              </w:rPr>
            </w:pPr>
          </w:p>
        </w:tc>
        <w:tc>
          <w:tcPr>
            <w:tcW w:w="0" w:type="auto"/>
            <w:shd w:val="clear" w:color="auto" w:fill="auto"/>
            <w:vAlign w:val="center"/>
          </w:tcPr>
          <w:p w14:paraId="3693F16A" w14:textId="77777777" w:rsidR="003734EC" w:rsidRDefault="003734EC">
            <w:pPr>
              <w:rPr>
                <w:rFonts w:ascii="宋体"/>
              </w:rPr>
            </w:pPr>
          </w:p>
        </w:tc>
        <w:tc>
          <w:tcPr>
            <w:tcW w:w="0" w:type="auto"/>
            <w:shd w:val="clear" w:color="auto" w:fill="auto"/>
            <w:vAlign w:val="center"/>
          </w:tcPr>
          <w:p w14:paraId="3693F16B" w14:textId="77777777" w:rsidR="003734EC" w:rsidRDefault="003734EC">
            <w:pPr>
              <w:rPr>
                <w:rFonts w:ascii="宋体"/>
              </w:rPr>
            </w:pPr>
          </w:p>
        </w:tc>
      </w:tr>
      <w:tr w:rsidR="003734EC" w14:paraId="3693F17A" w14:textId="77777777">
        <w:tc>
          <w:tcPr>
            <w:tcW w:w="0" w:type="auto"/>
            <w:gridSpan w:val="2"/>
            <w:shd w:val="clear" w:color="auto" w:fill="FFFFFF"/>
            <w:tcMar>
              <w:top w:w="40" w:type="dxa"/>
              <w:left w:w="20" w:type="dxa"/>
              <w:bottom w:w="40" w:type="dxa"/>
              <w:right w:w="0" w:type="dxa"/>
            </w:tcMar>
            <w:vAlign w:val="bottom"/>
          </w:tcPr>
          <w:p w14:paraId="3693F16D" w14:textId="77777777" w:rsidR="003734EC" w:rsidRDefault="000E364E">
            <w:pPr>
              <w:textAlignment w:val="bottom"/>
            </w:pPr>
            <w:r>
              <w:rPr>
                <w:rFonts w:ascii="sans-serif" w:eastAsia="sans-serif" w:hAnsi="sans-serif" w:cs="sans-serif"/>
                <w:color w:val="000000"/>
                <w:sz w:val="20"/>
                <w:szCs w:val="20"/>
              </w:rPr>
              <w:t>Deferred income tax liability </w:t>
            </w:r>
          </w:p>
        </w:tc>
        <w:tc>
          <w:tcPr>
            <w:tcW w:w="0" w:type="auto"/>
            <w:shd w:val="clear" w:color="auto" w:fill="FFFFFF"/>
            <w:tcMar>
              <w:top w:w="40" w:type="dxa"/>
              <w:bottom w:w="40" w:type="dxa"/>
              <w:right w:w="20" w:type="dxa"/>
            </w:tcMar>
            <w:vAlign w:val="bottom"/>
          </w:tcPr>
          <w:p w14:paraId="3693F16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693F16F" w14:textId="77777777" w:rsidR="003734EC" w:rsidRDefault="000E364E">
            <w:pPr>
              <w:jc w:val="right"/>
              <w:textAlignment w:val="bottom"/>
            </w:pPr>
            <w:r>
              <w:rPr>
                <w:rFonts w:ascii="sans-serif" w:eastAsia="sans-serif" w:hAnsi="sans-serif" w:cs="sans-serif"/>
                <w:color w:val="000000"/>
                <w:sz w:val="20"/>
                <w:szCs w:val="20"/>
              </w:rPr>
              <w:t>32 </w:t>
            </w:r>
          </w:p>
        </w:tc>
        <w:tc>
          <w:tcPr>
            <w:tcW w:w="0" w:type="auto"/>
            <w:shd w:val="clear" w:color="auto" w:fill="FFFFFF"/>
            <w:tcMar>
              <w:top w:w="40" w:type="dxa"/>
              <w:bottom w:w="40" w:type="dxa"/>
              <w:right w:w="20" w:type="dxa"/>
            </w:tcMar>
            <w:vAlign w:val="bottom"/>
          </w:tcPr>
          <w:p w14:paraId="3693F17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17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172" w14:textId="77777777" w:rsidR="003734EC" w:rsidRDefault="000E364E">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bottom w:w="40" w:type="dxa"/>
              <w:right w:w="20" w:type="dxa"/>
            </w:tcMar>
            <w:vAlign w:val="bottom"/>
          </w:tcPr>
          <w:p w14:paraId="3693F17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74" w14:textId="77777777" w:rsidR="003734EC" w:rsidRDefault="003734EC">
            <w:pPr>
              <w:rPr>
                <w:rFonts w:ascii="宋体"/>
              </w:rPr>
            </w:pPr>
          </w:p>
        </w:tc>
        <w:tc>
          <w:tcPr>
            <w:tcW w:w="0" w:type="auto"/>
            <w:shd w:val="clear" w:color="auto" w:fill="auto"/>
            <w:vAlign w:val="center"/>
          </w:tcPr>
          <w:p w14:paraId="3693F175" w14:textId="77777777" w:rsidR="003734EC" w:rsidRDefault="003734EC">
            <w:pPr>
              <w:rPr>
                <w:rFonts w:ascii="宋体"/>
              </w:rPr>
            </w:pPr>
          </w:p>
        </w:tc>
        <w:tc>
          <w:tcPr>
            <w:tcW w:w="0" w:type="auto"/>
            <w:shd w:val="clear" w:color="auto" w:fill="auto"/>
            <w:vAlign w:val="center"/>
          </w:tcPr>
          <w:p w14:paraId="3693F176" w14:textId="77777777" w:rsidR="003734EC" w:rsidRDefault="003734EC">
            <w:pPr>
              <w:rPr>
                <w:rFonts w:ascii="宋体"/>
              </w:rPr>
            </w:pPr>
          </w:p>
        </w:tc>
        <w:tc>
          <w:tcPr>
            <w:tcW w:w="0" w:type="auto"/>
            <w:shd w:val="clear" w:color="auto" w:fill="auto"/>
            <w:vAlign w:val="center"/>
          </w:tcPr>
          <w:p w14:paraId="3693F177" w14:textId="77777777" w:rsidR="003734EC" w:rsidRDefault="003734EC">
            <w:pPr>
              <w:rPr>
                <w:rFonts w:ascii="宋体"/>
              </w:rPr>
            </w:pPr>
          </w:p>
        </w:tc>
        <w:tc>
          <w:tcPr>
            <w:tcW w:w="0" w:type="auto"/>
            <w:shd w:val="clear" w:color="auto" w:fill="auto"/>
            <w:vAlign w:val="center"/>
          </w:tcPr>
          <w:p w14:paraId="3693F178" w14:textId="77777777" w:rsidR="003734EC" w:rsidRDefault="003734EC">
            <w:pPr>
              <w:rPr>
                <w:rFonts w:ascii="宋体"/>
              </w:rPr>
            </w:pPr>
          </w:p>
        </w:tc>
        <w:tc>
          <w:tcPr>
            <w:tcW w:w="0" w:type="auto"/>
            <w:shd w:val="clear" w:color="auto" w:fill="auto"/>
            <w:vAlign w:val="center"/>
          </w:tcPr>
          <w:p w14:paraId="3693F179" w14:textId="77777777" w:rsidR="003734EC" w:rsidRDefault="003734EC">
            <w:pPr>
              <w:rPr>
                <w:rFonts w:ascii="宋体"/>
              </w:rPr>
            </w:pPr>
          </w:p>
        </w:tc>
      </w:tr>
      <w:tr w:rsidR="003734EC" w14:paraId="3693F187" w14:textId="77777777">
        <w:tc>
          <w:tcPr>
            <w:tcW w:w="0" w:type="auto"/>
            <w:gridSpan w:val="3"/>
            <w:shd w:val="clear" w:color="auto" w:fill="E2EFD9"/>
            <w:tcMar>
              <w:top w:w="40" w:type="dxa"/>
              <w:left w:w="20" w:type="dxa"/>
              <w:bottom w:w="40" w:type="dxa"/>
              <w:right w:w="20" w:type="dxa"/>
            </w:tcMar>
            <w:vAlign w:val="bottom"/>
          </w:tcPr>
          <w:p w14:paraId="3693F17B" w14:textId="77777777" w:rsidR="003734EC" w:rsidRDefault="000E364E">
            <w:pPr>
              <w:textAlignment w:val="bottom"/>
            </w:pPr>
            <w:r>
              <w:rPr>
                <w:rFonts w:ascii="sans-serif" w:eastAsia="sans-serif" w:hAnsi="sans-serif" w:cs="sans-serif"/>
                <w:color w:val="000000"/>
                <w:sz w:val="20"/>
                <w:szCs w:val="20"/>
              </w:rPr>
              <w:t>Employee benefits liability</w:t>
            </w:r>
          </w:p>
        </w:tc>
        <w:tc>
          <w:tcPr>
            <w:tcW w:w="0" w:type="auto"/>
            <w:gridSpan w:val="2"/>
            <w:shd w:val="clear" w:color="auto" w:fill="E2EFD9"/>
            <w:tcMar>
              <w:top w:w="40" w:type="dxa"/>
              <w:left w:w="20" w:type="dxa"/>
              <w:bottom w:w="40" w:type="dxa"/>
              <w:right w:w="0" w:type="dxa"/>
            </w:tcMar>
            <w:vAlign w:val="bottom"/>
          </w:tcPr>
          <w:p w14:paraId="3693F17C" w14:textId="77777777" w:rsidR="003734EC" w:rsidRDefault="000E364E">
            <w:pPr>
              <w:jc w:val="right"/>
              <w:textAlignment w:val="bottom"/>
            </w:pPr>
            <w:r>
              <w:rPr>
                <w:rFonts w:ascii="sans-serif" w:eastAsia="sans-serif" w:hAnsi="sans-serif" w:cs="sans-serif"/>
                <w:color w:val="000000"/>
                <w:sz w:val="20"/>
                <w:szCs w:val="20"/>
              </w:rPr>
              <w:t>23 </w:t>
            </w:r>
          </w:p>
        </w:tc>
        <w:tc>
          <w:tcPr>
            <w:tcW w:w="0" w:type="auto"/>
            <w:shd w:val="clear" w:color="auto" w:fill="E2EFD9"/>
            <w:tcMar>
              <w:top w:w="40" w:type="dxa"/>
              <w:bottom w:w="40" w:type="dxa"/>
              <w:right w:w="20" w:type="dxa"/>
            </w:tcMar>
            <w:vAlign w:val="bottom"/>
          </w:tcPr>
          <w:p w14:paraId="3693F17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7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17F" w14:textId="77777777" w:rsidR="003734EC" w:rsidRDefault="000E364E">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bottom w:w="40" w:type="dxa"/>
              <w:right w:w="20" w:type="dxa"/>
            </w:tcMar>
            <w:vAlign w:val="bottom"/>
          </w:tcPr>
          <w:p w14:paraId="3693F18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81" w14:textId="77777777" w:rsidR="003734EC" w:rsidRDefault="003734EC">
            <w:pPr>
              <w:rPr>
                <w:rFonts w:ascii="宋体"/>
              </w:rPr>
            </w:pPr>
          </w:p>
        </w:tc>
        <w:tc>
          <w:tcPr>
            <w:tcW w:w="0" w:type="auto"/>
            <w:shd w:val="clear" w:color="auto" w:fill="auto"/>
            <w:vAlign w:val="center"/>
          </w:tcPr>
          <w:p w14:paraId="3693F182" w14:textId="77777777" w:rsidR="003734EC" w:rsidRDefault="003734EC">
            <w:pPr>
              <w:rPr>
                <w:rFonts w:ascii="宋体"/>
              </w:rPr>
            </w:pPr>
          </w:p>
        </w:tc>
        <w:tc>
          <w:tcPr>
            <w:tcW w:w="0" w:type="auto"/>
            <w:shd w:val="clear" w:color="auto" w:fill="auto"/>
            <w:vAlign w:val="center"/>
          </w:tcPr>
          <w:p w14:paraId="3693F183" w14:textId="77777777" w:rsidR="003734EC" w:rsidRDefault="003734EC">
            <w:pPr>
              <w:rPr>
                <w:rFonts w:ascii="宋体"/>
              </w:rPr>
            </w:pPr>
          </w:p>
        </w:tc>
        <w:tc>
          <w:tcPr>
            <w:tcW w:w="0" w:type="auto"/>
            <w:shd w:val="clear" w:color="auto" w:fill="auto"/>
            <w:vAlign w:val="center"/>
          </w:tcPr>
          <w:p w14:paraId="3693F184" w14:textId="77777777" w:rsidR="003734EC" w:rsidRDefault="003734EC">
            <w:pPr>
              <w:rPr>
                <w:rFonts w:ascii="宋体"/>
              </w:rPr>
            </w:pPr>
          </w:p>
        </w:tc>
        <w:tc>
          <w:tcPr>
            <w:tcW w:w="0" w:type="auto"/>
            <w:shd w:val="clear" w:color="auto" w:fill="auto"/>
            <w:vAlign w:val="center"/>
          </w:tcPr>
          <w:p w14:paraId="3693F185" w14:textId="77777777" w:rsidR="003734EC" w:rsidRDefault="003734EC">
            <w:pPr>
              <w:rPr>
                <w:rFonts w:ascii="宋体"/>
              </w:rPr>
            </w:pPr>
          </w:p>
        </w:tc>
        <w:tc>
          <w:tcPr>
            <w:tcW w:w="0" w:type="auto"/>
            <w:shd w:val="clear" w:color="auto" w:fill="auto"/>
            <w:vAlign w:val="center"/>
          </w:tcPr>
          <w:p w14:paraId="3693F186" w14:textId="77777777" w:rsidR="003734EC" w:rsidRDefault="003734EC">
            <w:pPr>
              <w:rPr>
                <w:rFonts w:ascii="宋体"/>
              </w:rPr>
            </w:pPr>
          </w:p>
        </w:tc>
      </w:tr>
      <w:tr w:rsidR="003734EC" w14:paraId="3693F192" w14:textId="77777777">
        <w:trPr>
          <w:hidden/>
        </w:trPr>
        <w:tc>
          <w:tcPr>
            <w:tcW w:w="0" w:type="auto"/>
            <w:gridSpan w:val="3"/>
            <w:shd w:val="clear" w:color="auto" w:fill="auto"/>
            <w:vAlign w:val="center"/>
          </w:tcPr>
          <w:p w14:paraId="3693F188" w14:textId="77777777" w:rsidR="003734EC" w:rsidRDefault="003734EC">
            <w:pPr>
              <w:rPr>
                <w:rFonts w:ascii="宋体"/>
                <w:vanish/>
              </w:rPr>
            </w:pPr>
          </w:p>
        </w:tc>
        <w:tc>
          <w:tcPr>
            <w:tcW w:w="0" w:type="auto"/>
            <w:gridSpan w:val="3"/>
            <w:shd w:val="clear" w:color="auto" w:fill="auto"/>
            <w:vAlign w:val="center"/>
          </w:tcPr>
          <w:p w14:paraId="3693F189" w14:textId="77777777" w:rsidR="003734EC" w:rsidRDefault="003734EC">
            <w:pPr>
              <w:rPr>
                <w:rFonts w:ascii="宋体"/>
                <w:vanish/>
              </w:rPr>
            </w:pPr>
          </w:p>
        </w:tc>
        <w:tc>
          <w:tcPr>
            <w:tcW w:w="0" w:type="auto"/>
            <w:gridSpan w:val="3"/>
            <w:shd w:val="clear" w:color="auto" w:fill="auto"/>
            <w:vAlign w:val="center"/>
          </w:tcPr>
          <w:p w14:paraId="3693F18A" w14:textId="77777777" w:rsidR="003734EC" w:rsidRDefault="003734EC">
            <w:pPr>
              <w:rPr>
                <w:rFonts w:ascii="宋体"/>
                <w:vanish/>
              </w:rPr>
            </w:pPr>
          </w:p>
        </w:tc>
        <w:tc>
          <w:tcPr>
            <w:tcW w:w="0" w:type="auto"/>
            <w:gridSpan w:val="3"/>
            <w:shd w:val="clear" w:color="auto" w:fill="auto"/>
            <w:vAlign w:val="center"/>
          </w:tcPr>
          <w:p w14:paraId="3693F18B" w14:textId="77777777" w:rsidR="003734EC" w:rsidRDefault="003734EC">
            <w:pPr>
              <w:rPr>
                <w:rFonts w:ascii="宋体"/>
                <w:vanish/>
              </w:rPr>
            </w:pPr>
          </w:p>
        </w:tc>
        <w:tc>
          <w:tcPr>
            <w:tcW w:w="0" w:type="auto"/>
            <w:shd w:val="clear" w:color="auto" w:fill="auto"/>
            <w:vAlign w:val="center"/>
          </w:tcPr>
          <w:p w14:paraId="3693F18C" w14:textId="77777777" w:rsidR="003734EC" w:rsidRDefault="003734EC">
            <w:pPr>
              <w:rPr>
                <w:rFonts w:ascii="宋体"/>
              </w:rPr>
            </w:pPr>
          </w:p>
        </w:tc>
        <w:tc>
          <w:tcPr>
            <w:tcW w:w="0" w:type="auto"/>
            <w:shd w:val="clear" w:color="auto" w:fill="auto"/>
            <w:vAlign w:val="center"/>
          </w:tcPr>
          <w:p w14:paraId="3693F18D" w14:textId="77777777" w:rsidR="003734EC" w:rsidRDefault="003734EC">
            <w:pPr>
              <w:rPr>
                <w:rFonts w:ascii="宋体"/>
              </w:rPr>
            </w:pPr>
          </w:p>
        </w:tc>
        <w:tc>
          <w:tcPr>
            <w:tcW w:w="0" w:type="auto"/>
            <w:shd w:val="clear" w:color="auto" w:fill="auto"/>
            <w:vAlign w:val="center"/>
          </w:tcPr>
          <w:p w14:paraId="3693F18E" w14:textId="77777777" w:rsidR="003734EC" w:rsidRDefault="003734EC">
            <w:pPr>
              <w:rPr>
                <w:rFonts w:ascii="宋体"/>
              </w:rPr>
            </w:pPr>
          </w:p>
        </w:tc>
        <w:tc>
          <w:tcPr>
            <w:tcW w:w="0" w:type="auto"/>
            <w:shd w:val="clear" w:color="auto" w:fill="auto"/>
            <w:vAlign w:val="center"/>
          </w:tcPr>
          <w:p w14:paraId="3693F18F" w14:textId="77777777" w:rsidR="003734EC" w:rsidRDefault="003734EC">
            <w:pPr>
              <w:rPr>
                <w:rFonts w:ascii="宋体"/>
              </w:rPr>
            </w:pPr>
          </w:p>
        </w:tc>
        <w:tc>
          <w:tcPr>
            <w:tcW w:w="0" w:type="auto"/>
            <w:shd w:val="clear" w:color="auto" w:fill="auto"/>
            <w:vAlign w:val="center"/>
          </w:tcPr>
          <w:p w14:paraId="3693F190" w14:textId="77777777" w:rsidR="003734EC" w:rsidRDefault="003734EC">
            <w:pPr>
              <w:rPr>
                <w:rFonts w:ascii="宋体"/>
              </w:rPr>
            </w:pPr>
          </w:p>
        </w:tc>
        <w:tc>
          <w:tcPr>
            <w:tcW w:w="0" w:type="auto"/>
            <w:shd w:val="clear" w:color="auto" w:fill="auto"/>
            <w:vAlign w:val="center"/>
          </w:tcPr>
          <w:p w14:paraId="3693F191" w14:textId="77777777" w:rsidR="003734EC" w:rsidRDefault="003734EC">
            <w:pPr>
              <w:rPr>
                <w:rFonts w:ascii="宋体"/>
              </w:rPr>
            </w:pPr>
          </w:p>
        </w:tc>
      </w:tr>
      <w:tr w:rsidR="003734EC" w14:paraId="3693F19F" w14:textId="77777777">
        <w:tc>
          <w:tcPr>
            <w:tcW w:w="0" w:type="auto"/>
            <w:gridSpan w:val="3"/>
            <w:shd w:val="clear" w:color="auto" w:fill="FFFFFF"/>
            <w:tcMar>
              <w:top w:w="40" w:type="dxa"/>
              <w:left w:w="20" w:type="dxa"/>
              <w:bottom w:w="40" w:type="dxa"/>
              <w:right w:w="20" w:type="dxa"/>
            </w:tcMar>
            <w:vAlign w:val="bottom"/>
          </w:tcPr>
          <w:p w14:paraId="3693F193" w14:textId="77777777" w:rsidR="003734EC" w:rsidRDefault="000E364E">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693F194" w14:textId="77777777" w:rsidR="003734EC" w:rsidRDefault="000E364E">
            <w:pPr>
              <w:jc w:val="right"/>
              <w:textAlignment w:val="bottom"/>
            </w:pPr>
            <w:r>
              <w:rPr>
                <w:rFonts w:ascii="sans-serif" w:eastAsia="sans-serif" w:hAnsi="sans-serif" w:cs="sans-serif"/>
                <w:color w:val="000000"/>
                <w:sz w:val="20"/>
                <w:szCs w:val="20"/>
              </w:rPr>
              <w:t>33 </w:t>
            </w:r>
          </w:p>
        </w:tc>
        <w:tc>
          <w:tcPr>
            <w:tcW w:w="0" w:type="auto"/>
            <w:shd w:val="clear" w:color="auto" w:fill="FFFFFF"/>
            <w:tcMar>
              <w:top w:w="40" w:type="dxa"/>
              <w:bottom w:w="40" w:type="dxa"/>
              <w:right w:w="20" w:type="dxa"/>
            </w:tcMar>
            <w:vAlign w:val="bottom"/>
          </w:tcPr>
          <w:p w14:paraId="3693F19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196"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197" w14:textId="77777777" w:rsidR="003734EC" w:rsidRDefault="000E364E">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bottom w:w="40" w:type="dxa"/>
              <w:right w:w="20" w:type="dxa"/>
            </w:tcMar>
            <w:vAlign w:val="bottom"/>
          </w:tcPr>
          <w:p w14:paraId="3693F19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99" w14:textId="77777777" w:rsidR="003734EC" w:rsidRDefault="003734EC">
            <w:pPr>
              <w:rPr>
                <w:rFonts w:ascii="宋体"/>
              </w:rPr>
            </w:pPr>
          </w:p>
        </w:tc>
        <w:tc>
          <w:tcPr>
            <w:tcW w:w="0" w:type="auto"/>
            <w:shd w:val="clear" w:color="auto" w:fill="auto"/>
            <w:vAlign w:val="center"/>
          </w:tcPr>
          <w:p w14:paraId="3693F19A" w14:textId="77777777" w:rsidR="003734EC" w:rsidRDefault="003734EC">
            <w:pPr>
              <w:rPr>
                <w:rFonts w:ascii="宋体"/>
              </w:rPr>
            </w:pPr>
          </w:p>
        </w:tc>
        <w:tc>
          <w:tcPr>
            <w:tcW w:w="0" w:type="auto"/>
            <w:shd w:val="clear" w:color="auto" w:fill="auto"/>
            <w:vAlign w:val="center"/>
          </w:tcPr>
          <w:p w14:paraId="3693F19B" w14:textId="77777777" w:rsidR="003734EC" w:rsidRDefault="003734EC">
            <w:pPr>
              <w:rPr>
                <w:rFonts w:ascii="宋体"/>
              </w:rPr>
            </w:pPr>
          </w:p>
        </w:tc>
        <w:tc>
          <w:tcPr>
            <w:tcW w:w="0" w:type="auto"/>
            <w:shd w:val="clear" w:color="auto" w:fill="auto"/>
            <w:vAlign w:val="center"/>
          </w:tcPr>
          <w:p w14:paraId="3693F19C" w14:textId="77777777" w:rsidR="003734EC" w:rsidRDefault="003734EC">
            <w:pPr>
              <w:rPr>
                <w:rFonts w:ascii="宋体"/>
              </w:rPr>
            </w:pPr>
          </w:p>
        </w:tc>
        <w:tc>
          <w:tcPr>
            <w:tcW w:w="0" w:type="auto"/>
            <w:shd w:val="clear" w:color="auto" w:fill="auto"/>
            <w:vAlign w:val="center"/>
          </w:tcPr>
          <w:p w14:paraId="3693F19D" w14:textId="77777777" w:rsidR="003734EC" w:rsidRDefault="003734EC">
            <w:pPr>
              <w:rPr>
                <w:rFonts w:ascii="宋体"/>
              </w:rPr>
            </w:pPr>
          </w:p>
        </w:tc>
        <w:tc>
          <w:tcPr>
            <w:tcW w:w="0" w:type="auto"/>
            <w:shd w:val="clear" w:color="auto" w:fill="auto"/>
            <w:vAlign w:val="center"/>
          </w:tcPr>
          <w:p w14:paraId="3693F19E" w14:textId="77777777" w:rsidR="003734EC" w:rsidRDefault="003734EC">
            <w:pPr>
              <w:rPr>
                <w:rFonts w:ascii="宋体"/>
              </w:rPr>
            </w:pPr>
          </w:p>
        </w:tc>
      </w:tr>
      <w:tr w:rsidR="003734EC" w14:paraId="3693F1AE" w14:textId="77777777">
        <w:tc>
          <w:tcPr>
            <w:tcW w:w="0" w:type="auto"/>
            <w:gridSpan w:val="3"/>
            <w:shd w:val="clear" w:color="auto" w:fill="E2EFD9"/>
            <w:tcMar>
              <w:top w:w="40" w:type="dxa"/>
              <w:left w:w="360" w:type="dxa"/>
              <w:bottom w:w="40" w:type="dxa"/>
              <w:right w:w="20" w:type="dxa"/>
            </w:tcMar>
            <w:vAlign w:val="bottom"/>
          </w:tcPr>
          <w:p w14:paraId="3693F1A0" w14:textId="77777777" w:rsidR="003734EC" w:rsidRDefault="000E364E">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1A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1A2" w14:textId="77777777" w:rsidR="003734EC" w:rsidRDefault="000E364E">
            <w:pPr>
              <w:jc w:val="right"/>
              <w:textAlignment w:val="bottom"/>
            </w:pPr>
            <w:r>
              <w:rPr>
                <w:rFonts w:ascii="sans-serif" w:eastAsia="sans-serif" w:hAnsi="sans-serif" w:cs="sans-serif"/>
                <w:color w:val="000000"/>
                <w:sz w:val="20"/>
                <w:szCs w:val="20"/>
              </w:rPr>
              <w:t>774 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1A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A4"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1A5"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1A6" w14:textId="77777777" w:rsidR="003734EC" w:rsidRDefault="000E364E">
            <w:pPr>
              <w:jc w:val="right"/>
              <w:textAlignment w:val="bottom"/>
            </w:pPr>
            <w:r>
              <w:rPr>
                <w:rFonts w:ascii="sans-serif" w:eastAsia="sans-serif" w:hAnsi="sans-serif" w:cs="sans-serif"/>
                <w:color w:val="000000"/>
                <w:sz w:val="20"/>
                <w:szCs w:val="20"/>
              </w:rPr>
              <w:t>775 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1A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A8" w14:textId="77777777" w:rsidR="003734EC" w:rsidRDefault="003734EC">
            <w:pPr>
              <w:rPr>
                <w:rFonts w:ascii="宋体"/>
              </w:rPr>
            </w:pPr>
          </w:p>
        </w:tc>
        <w:tc>
          <w:tcPr>
            <w:tcW w:w="0" w:type="auto"/>
            <w:shd w:val="clear" w:color="auto" w:fill="auto"/>
            <w:vAlign w:val="center"/>
          </w:tcPr>
          <w:p w14:paraId="3693F1A9" w14:textId="77777777" w:rsidR="003734EC" w:rsidRDefault="003734EC">
            <w:pPr>
              <w:rPr>
                <w:rFonts w:ascii="宋体"/>
              </w:rPr>
            </w:pPr>
          </w:p>
        </w:tc>
        <w:tc>
          <w:tcPr>
            <w:tcW w:w="0" w:type="auto"/>
            <w:shd w:val="clear" w:color="auto" w:fill="auto"/>
            <w:vAlign w:val="center"/>
          </w:tcPr>
          <w:p w14:paraId="3693F1AA" w14:textId="77777777" w:rsidR="003734EC" w:rsidRDefault="003734EC">
            <w:pPr>
              <w:rPr>
                <w:rFonts w:ascii="宋体"/>
              </w:rPr>
            </w:pPr>
          </w:p>
        </w:tc>
        <w:tc>
          <w:tcPr>
            <w:tcW w:w="0" w:type="auto"/>
            <w:shd w:val="clear" w:color="auto" w:fill="auto"/>
            <w:vAlign w:val="center"/>
          </w:tcPr>
          <w:p w14:paraId="3693F1AB" w14:textId="77777777" w:rsidR="003734EC" w:rsidRDefault="003734EC">
            <w:pPr>
              <w:rPr>
                <w:rFonts w:ascii="宋体"/>
              </w:rPr>
            </w:pPr>
          </w:p>
        </w:tc>
        <w:tc>
          <w:tcPr>
            <w:tcW w:w="0" w:type="auto"/>
            <w:shd w:val="clear" w:color="auto" w:fill="auto"/>
            <w:vAlign w:val="center"/>
          </w:tcPr>
          <w:p w14:paraId="3693F1AC" w14:textId="77777777" w:rsidR="003734EC" w:rsidRDefault="003734EC">
            <w:pPr>
              <w:rPr>
                <w:rFonts w:ascii="宋体"/>
              </w:rPr>
            </w:pPr>
          </w:p>
        </w:tc>
        <w:tc>
          <w:tcPr>
            <w:tcW w:w="0" w:type="auto"/>
            <w:shd w:val="clear" w:color="auto" w:fill="auto"/>
            <w:vAlign w:val="center"/>
          </w:tcPr>
          <w:p w14:paraId="3693F1AD" w14:textId="77777777" w:rsidR="003734EC" w:rsidRDefault="003734EC">
            <w:pPr>
              <w:rPr>
                <w:rFonts w:ascii="宋体"/>
              </w:rPr>
            </w:pPr>
          </w:p>
        </w:tc>
      </w:tr>
    </w:tbl>
    <w:p w14:paraId="3693F1AF" w14:textId="77777777" w:rsidR="003734EC" w:rsidRDefault="000E364E">
      <w:pPr>
        <w:spacing w:after="60"/>
        <w:ind w:hanging="360"/>
        <w:jc w:val="both"/>
      </w:pPr>
      <w:r>
        <w:rPr>
          <w:rFonts w:ascii="sans-serif" w:eastAsia="sans-serif" w:hAnsi="sans-serif" w:cs="sans-serif"/>
          <w:color w:val="000000"/>
          <w:sz w:val="16"/>
          <w:szCs w:val="16"/>
        </w:rPr>
        <w:t xml:space="preserve">(1) As of April 26, 2020, income tax payable represents the long-term portion of the one-time transition tax payable of $317 million, as well as unrecognized tax benefits of $185 million and related interest and penalties of $33 million. </w:t>
      </w:r>
    </w:p>
    <w:p w14:paraId="3693F1B0" w14:textId="77777777" w:rsidR="003734EC" w:rsidRDefault="000E364E">
      <w:pPr>
        <w:spacing w:after="60"/>
        <w:ind w:hanging="360"/>
        <w:jc w:val="both"/>
      </w:pPr>
      <w:r>
        <w:rPr>
          <w:rFonts w:ascii="sans-serif" w:eastAsia="sans-serif" w:hAnsi="sans-serif" w:cs="sans-serif"/>
          <w:color w:val="000000"/>
          <w:sz w:val="16"/>
          <w:szCs w:val="16"/>
        </w:rPr>
        <w:t>(2) Deferred reve</w:t>
      </w:r>
      <w:r>
        <w:rPr>
          <w:rFonts w:ascii="sans-serif" w:eastAsia="sans-serif" w:hAnsi="sans-serif" w:cs="sans-serif"/>
          <w:color w:val="000000"/>
          <w:sz w:val="16"/>
          <w:szCs w:val="16"/>
        </w:rPr>
        <w:t>nue primarily includes deferrals related to PCS.</w:t>
      </w:r>
    </w:p>
    <w:p w14:paraId="3693F1B1" w14:textId="77777777" w:rsidR="003734EC" w:rsidRDefault="003734EC">
      <w:pPr>
        <w:spacing w:before="240" w:after="60"/>
        <w:jc w:val="both"/>
      </w:pPr>
    </w:p>
    <w:p w14:paraId="3693F1B2" w14:textId="77777777" w:rsidR="003734EC" w:rsidRDefault="000E364E">
      <w:pPr>
        <w:spacing w:after="180"/>
        <w:jc w:val="center"/>
      </w:pPr>
      <w:r>
        <w:rPr>
          <w:rFonts w:ascii="sans-serif" w:eastAsia="sans-serif" w:hAnsi="sans-serif" w:cs="sans-serif"/>
          <w:color w:val="000000"/>
          <w:sz w:val="20"/>
          <w:szCs w:val="20"/>
        </w:rPr>
        <w:t>14</w:t>
      </w:r>
    </w:p>
    <w:p w14:paraId="3693F1B3" w14:textId="77777777" w:rsidR="003734EC" w:rsidRDefault="000E364E">
      <w:r>
        <w:pict w14:anchorId="3693FF57">
          <v:rect id="_x0000_i1037" style="width:415.3pt;height:1.5pt" o:hralign="center" o:hrstd="t" o:hr="t" fillcolor="#a0a0a0" stroked="f"/>
        </w:pict>
      </w:r>
    </w:p>
    <w:p w14:paraId="3693F1B4" w14:textId="77777777" w:rsidR="003734EC" w:rsidRDefault="000E364E">
      <w:pPr>
        <w:jc w:val="center"/>
      </w:pPr>
      <w:r>
        <w:rPr>
          <w:rFonts w:ascii="sans-serif" w:eastAsia="sans-serif" w:hAnsi="sans-serif" w:cs="sans-serif"/>
          <w:b/>
          <w:bCs/>
          <w:color w:val="000000"/>
          <w:sz w:val="20"/>
          <w:szCs w:val="20"/>
        </w:rPr>
        <w:t>NVIDIA CORPORATION AND SUBSIDIARIES</w:t>
      </w:r>
    </w:p>
    <w:p w14:paraId="3693F1B5"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1B6" w14:textId="77777777" w:rsidR="003734EC" w:rsidRDefault="000E364E">
      <w:pPr>
        <w:jc w:val="center"/>
      </w:pPr>
      <w:r>
        <w:rPr>
          <w:rFonts w:ascii="sans-serif" w:eastAsia="sans-serif" w:hAnsi="sans-serif" w:cs="sans-serif"/>
          <w:b/>
          <w:bCs/>
          <w:color w:val="000000"/>
          <w:sz w:val="20"/>
          <w:szCs w:val="20"/>
        </w:rPr>
        <w:t>(Unaudited)</w:t>
      </w:r>
    </w:p>
    <w:p w14:paraId="3693F1B7" w14:textId="77777777" w:rsidR="003734EC" w:rsidRDefault="003734EC">
      <w:pPr>
        <w:spacing w:after="180"/>
        <w:jc w:val="both"/>
      </w:pPr>
    </w:p>
    <w:p w14:paraId="3693F1B8" w14:textId="77777777" w:rsidR="003734EC" w:rsidRDefault="003734EC">
      <w:pPr>
        <w:spacing w:after="180"/>
        <w:jc w:val="both"/>
      </w:pPr>
    </w:p>
    <w:p w14:paraId="3693F1B9" w14:textId="77777777" w:rsidR="003734EC" w:rsidRDefault="000E364E">
      <w:pPr>
        <w:spacing w:before="240" w:after="60"/>
        <w:jc w:val="both"/>
      </w:pPr>
      <w:r>
        <w:rPr>
          <w:rFonts w:ascii="sans-serif" w:eastAsia="sans-serif" w:hAnsi="sans-serif" w:cs="sans-serif"/>
          <w:b/>
          <w:bCs/>
          <w:color w:val="76B900"/>
          <w:sz w:val="20"/>
          <w:szCs w:val="20"/>
        </w:rPr>
        <w:t xml:space="preserve">Deferred Revenue </w:t>
      </w:r>
    </w:p>
    <w:p w14:paraId="3693F1BA" w14:textId="77777777" w:rsidR="003734EC" w:rsidRDefault="000E364E">
      <w:pPr>
        <w:spacing w:after="60"/>
      </w:pPr>
      <w:r>
        <w:rPr>
          <w:rFonts w:ascii="sans-serif" w:eastAsia="sans-serif" w:hAnsi="sans-serif" w:cs="sans-serif"/>
          <w:color w:val="000000"/>
          <w:sz w:val="20"/>
          <w:szCs w:val="20"/>
        </w:rPr>
        <w:t xml:space="preserve">The following table shows the changes in deferred revenue </w:t>
      </w:r>
      <w:r>
        <w:rPr>
          <w:rFonts w:ascii="sans-serif" w:eastAsia="sans-serif" w:hAnsi="sans-serif" w:cs="sans-serif"/>
          <w:color w:val="000000"/>
          <w:sz w:val="20"/>
          <w:szCs w:val="20"/>
        </w:rPr>
        <w:t>during the first quarter of fiscal years 2021 and 2020:</w:t>
      </w:r>
    </w:p>
    <w:tbl>
      <w:tblPr>
        <w:tblW w:w="4993" w:type="pct"/>
        <w:jc w:val="center"/>
        <w:tblCellMar>
          <w:top w:w="15" w:type="dxa"/>
          <w:left w:w="15" w:type="dxa"/>
          <w:bottom w:w="15" w:type="dxa"/>
          <w:right w:w="15" w:type="dxa"/>
        </w:tblCellMar>
        <w:tblLook w:val="04A0" w:firstRow="1" w:lastRow="0" w:firstColumn="1" w:lastColumn="0" w:noHBand="0" w:noVBand="1"/>
      </w:tblPr>
      <w:tblGrid>
        <w:gridCol w:w="56"/>
        <w:gridCol w:w="5702"/>
        <w:gridCol w:w="57"/>
        <w:gridCol w:w="137"/>
        <w:gridCol w:w="892"/>
        <w:gridCol w:w="81"/>
        <w:gridCol w:w="36"/>
        <w:gridCol w:w="36"/>
        <w:gridCol w:w="36"/>
        <w:gridCol w:w="137"/>
        <w:gridCol w:w="857"/>
        <w:gridCol w:w="81"/>
        <w:gridCol w:w="36"/>
        <w:gridCol w:w="36"/>
        <w:gridCol w:w="36"/>
        <w:gridCol w:w="36"/>
        <w:gridCol w:w="36"/>
        <w:gridCol w:w="36"/>
      </w:tblGrid>
      <w:tr w:rsidR="003734EC" w14:paraId="3693F1C7" w14:textId="77777777">
        <w:trPr>
          <w:gridAfter w:val="6"/>
          <w:jc w:val="center"/>
        </w:trPr>
        <w:tc>
          <w:tcPr>
            <w:tcW w:w="50" w:type="pct"/>
            <w:shd w:val="clear" w:color="auto" w:fill="auto"/>
            <w:vAlign w:val="center"/>
          </w:tcPr>
          <w:p w14:paraId="3693F1BB" w14:textId="77777777" w:rsidR="003734EC" w:rsidRDefault="003734EC">
            <w:pPr>
              <w:rPr>
                <w:rFonts w:ascii="宋体"/>
              </w:rPr>
            </w:pPr>
          </w:p>
        </w:tc>
        <w:tc>
          <w:tcPr>
            <w:tcW w:w="3531" w:type="pct"/>
            <w:shd w:val="clear" w:color="auto" w:fill="auto"/>
            <w:vAlign w:val="center"/>
          </w:tcPr>
          <w:p w14:paraId="3693F1BC" w14:textId="77777777" w:rsidR="003734EC" w:rsidRDefault="003734EC">
            <w:pPr>
              <w:rPr>
                <w:rFonts w:ascii="宋体"/>
              </w:rPr>
            </w:pPr>
          </w:p>
        </w:tc>
        <w:tc>
          <w:tcPr>
            <w:tcW w:w="50" w:type="pct"/>
            <w:shd w:val="clear" w:color="auto" w:fill="auto"/>
            <w:vAlign w:val="center"/>
          </w:tcPr>
          <w:p w14:paraId="3693F1BD" w14:textId="77777777" w:rsidR="003734EC" w:rsidRDefault="003734EC">
            <w:pPr>
              <w:rPr>
                <w:rFonts w:ascii="宋体"/>
              </w:rPr>
            </w:pPr>
          </w:p>
        </w:tc>
        <w:tc>
          <w:tcPr>
            <w:tcW w:w="50" w:type="pct"/>
            <w:shd w:val="clear" w:color="auto" w:fill="auto"/>
            <w:vAlign w:val="center"/>
          </w:tcPr>
          <w:p w14:paraId="3693F1BE" w14:textId="77777777" w:rsidR="003734EC" w:rsidRDefault="003734EC">
            <w:pPr>
              <w:rPr>
                <w:rFonts w:ascii="宋体"/>
              </w:rPr>
            </w:pPr>
          </w:p>
        </w:tc>
        <w:tc>
          <w:tcPr>
            <w:tcW w:w="566" w:type="pct"/>
            <w:shd w:val="clear" w:color="auto" w:fill="auto"/>
            <w:vAlign w:val="center"/>
          </w:tcPr>
          <w:p w14:paraId="3693F1BF" w14:textId="77777777" w:rsidR="003734EC" w:rsidRDefault="003734EC">
            <w:pPr>
              <w:rPr>
                <w:rFonts w:ascii="宋体"/>
              </w:rPr>
            </w:pPr>
          </w:p>
        </w:tc>
        <w:tc>
          <w:tcPr>
            <w:tcW w:w="50" w:type="pct"/>
            <w:shd w:val="clear" w:color="auto" w:fill="auto"/>
            <w:vAlign w:val="center"/>
          </w:tcPr>
          <w:p w14:paraId="3693F1C0" w14:textId="77777777" w:rsidR="003734EC" w:rsidRDefault="003734EC">
            <w:pPr>
              <w:rPr>
                <w:rFonts w:ascii="宋体"/>
              </w:rPr>
            </w:pPr>
          </w:p>
        </w:tc>
        <w:tc>
          <w:tcPr>
            <w:tcW w:w="5" w:type="pct"/>
            <w:shd w:val="clear" w:color="auto" w:fill="auto"/>
            <w:vAlign w:val="center"/>
          </w:tcPr>
          <w:p w14:paraId="3693F1C1" w14:textId="77777777" w:rsidR="003734EC" w:rsidRDefault="003734EC">
            <w:pPr>
              <w:rPr>
                <w:rFonts w:ascii="宋体"/>
              </w:rPr>
            </w:pPr>
          </w:p>
        </w:tc>
        <w:tc>
          <w:tcPr>
            <w:tcW w:w="26" w:type="pct"/>
            <w:shd w:val="clear" w:color="auto" w:fill="auto"/>
            <w:vAlign w:val="center"/>
          </w:tcPr>
          <w:p w14:paraId="3693F1C2" w14:textId="77777777" w:rsidR="003734EC" w:rsidRDefault="003734EC">
            <w:pPr>
              <w:rPr>
                <w:rFonts w:ascii="宋体"/>
              </w:rPr>
            </w:pPr>
          </w:p>
        </w:tc>
        <w:tc>
          <w:tcPr>
            <w:tcW w:w="5" w:type="pct"/>
            <w:shd w:val="clear" w:color="auto" w:fill="auto"/>
            <w:vAlign w:val="center"/>
          </w:tcPr>
          <w:p w14:paraId="3693F1C3" w14:textId="77777777" w:rsidR="003734EC" w:rsidRDefault="003734EC">
            <w:pPr>
              <w:rPr>
                <w:rFonts w:ascii="宋体"/>
              </w:rPr>
            </w:pPr>
          </w:p>
        </w:tc>
        <w:tc>
          <w:tcPr>
            <w:tcW w:w="50" w:type="pct"/>
            <w:shd w:val="clear" w:color="auto" w:fill="auto"/>
            <w:vAlign w:val="center"/>
          </w:tcPr>
          <w:p w14:paraId="3693F1C4" w14:textId="77777777" w:rsidR="003734EC" w:rsidRDefault="003734EC">
            <w:pPr>
              <w:rPr>
                <w:rFonts w:ascii="宋体"/>
              </w:rPr>
            </w:pPr>
          </w:p>
        </w:tc>
        <w:tc>
          <w:tcPr>
            <w:tcW w:w="566" w:type="pct"/>
            <w:shd w:val="clear" w:color="auto" w:fill="auto"/>
            <w:vAlign w:val="center"/>
          </w:tcPr>
          <w:p w14:paraId="3693F1C5" w14:textId="77777777" w:rsidR="003734EC" w:rsidRDefault="003734EC">
            <w:pPr>
              <w:rPr>
                <w:rFonts w:ascii="宋体"/>
              </w:rPr>
            </w:pPr>
          </w:p>
        </w:tc>
        <w:tc>
          <w:tcPr>
            <w:tcW w:w="50" w:type="pct"/>
            <w:shd w:val="clear" w:color="auto" w:fill="auto"/>
            <w:vAlign w:val="center"/>
          </w:tcPr>
          <w:p w14:paraId="3693F1C6" w14:textId="77777777" w:rsidR="003734EC" w:rsidRDefault="003734EC">
            <w:pPr>
              <w:rPr>
                <w:rFonts w:ascii="宋体"/>
              </w:rPr>
            </w:pPr>
          </w:p>
        </w:tc>
      </w:tr>
      <w:tr w:rsidR="003734EC" w14:paraId="3693F1CC" w14:textId="77777777">
        <w:trPr>
          <w:gridAfter w:val="6"/>
          <w:jc w:val="center"/>
        </w:trPr>
        <w:tc>
          <w:tcPr>
            <w:tcW w:w="0" w:type="auto"/>
            <w:gridSpan w:val="3"/>
            <w:shd w:val="clear" w:color="auto" w:fill="auto"/>
            <w:tcMar>
              <w:left w:w="20" w:type="dxa"/>
              <w:right w:w="20" w:type="dxa"/>
            </w:tcMar>
            <w:vAlign w:val="bottom"/>
          </w:tcPr>
          <w:p w14:paraId="3693F1C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1C9"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left w:w="20" w:type="dxa"/>
              <w:right w:w="20" w:type="dxa"/>
            </w:tcMar>
            <w:vAlign w:val="bottom"/>
          </w:tcPr>
          <w:p w14:paraId="3693F1C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1CB" w14:textId="77777777" w:rsidR="003734EC" w:rsidRDefault="000E364E">
            <w:pPr>
              <w:jc w:val="center"/>
              <w:textAlignment w:val="bottom"/>
            </w:pPr>
            <w:r>
              <w:rPr>
                <w:rFonts w:ascii="sans-serif" w:eastAsia="sans-serif" w:hAnsi="sans-serif" w:cs="sans-serif"/>
                <w:b/>
                <w:bCs/>
                <w:color w:val="000000"/>
                <w:sz w:val="20"/>
                <w:szCs w:val="20"/>
              </w:rPr>
              <w:t>April 28,</w:t>
            </w:r>
          </w:p>
        </w:tc>
      </w:tr>
      <w:tr w:rsidR="003734EC" w14:paraId="3693F1D1" w14:textId="77777777">
        <w:trPr>
          <w:gridAfter w:val="6"/>
          <w:jc w:val="center"/>
        </w:trPr>
        <w:tc>
          <w:tcPr>
            <w:tcW w:w="0" w:type="auto"/>
            <w:gridSpan w:val="3"/>
            <w:shd w:val="clear" w:color="auto" w:fill="auto"/>
            <w:tcMar>
              <w:top w:w="40" w:type="dxa"/>
              <w:left w:w="20" w:type="dxa"/>
              <w:bottom w:w="40" w:type="dxa"/>
              <w:right w:w="20" w:type="dxa"/>
            </w:tcMar>
            <w:vAlign w:val="bottom"/>
          </w:tcPr>
          <w:p w14:paraId="3693F1CD"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1CE"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F1CF"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1D0" w14:textId="77777777" w:rsidR="003734EC" w:rsidRDefault="000E364E">
            <w:pPr>
              <w:jc w:val="center"/>
              <w:textAlignment w:val="bottom"/>
            </w:pPr>
            <w:r>
              <w:rPr>
                <w:rFonts w:ascii="sans-serif" w:eastAsia="sans-serif" w:hAnsi="sans-serif" w:cs="sans-serif"/>
                <w:b/>
                <w:bCs/>
                <w:color w:val="000000"/>
                <w:sz w:val="20"/>
                <w:szCs w:val="20"/>
              </w:rPr>
              <w:t>2019</w:t>
            </w:r>
          </w:p>
        </w:tc>
      </w:tr>
      <w:tr w:rsidR="003734EC" w14:paraId="3693F1D6" w14:textId="77777777">
        <w:trPr>
          <w:jc w:val="center"/>
        </w:trPr>
        <w:tc>
          <w:tcPr>
            <w:tcW w:w="0" w:type="auto"/>
            <w:gridSpan w:val="3"/>
            <w:shd w:val="clear" w:color="auto" w:fill="auto"/>
            <w:tcMar>
              <w:left w:w="20" w:type="dxa"/>
              <w:right w:w="20" w:type="dxa"/>
            </w:tcMar>
            <w:vAlign w:val="bottom"/>
          </w:tcPr>
          <w:p w14:paraId="3693F1D2"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1D3"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1D4" w14:textId="77777777" w:rsidR="003734EC" w:rsidRDefault="003734EC">
            <w:pPr>
              <w:rPr>
                <w:rFonts w:ascii="宋体"/>
                <w:vanish/>
              </w:rPr>
            </w:pPr>
          </w:p>
        </w:tc>
        <w:tc>
          <w:tcPr>
            <w:tcW w:w="0" w:type="auto"/>
            <w:gridSpan w:val="3"/>
            <w:shd w:val="clear" w:color="auto" w:fill="auto"/>
            <w:vAlign w:val="center"/>
          </w:tcPr>
          <w:p w14:paraId="3693F1D5" w14:textId="77777777" w:rsidR="003734EC" w:rsidRDefault="003734EC">
            <w:pPr>
              <w:rPr>
                <w:rFonts w:ascii="宋体"/>
                <w:vanish/>
              </w:rPr>
            </w:pPr>
          </w:p>
        </w:tc>
      </w:tr>
      <w:tr w:rsidR="003734EC" w14:paraId="3693F1E5" w14:textId="77777777">
        <w:trPr>
          <w:jc w:val="center"/>
        </w:trPr>
        <w:tc>
          <w:tcPr>
            <w:tcW w:w="0" w:type="auto"/>
            <w:gridSpan w:val="3"/>
            <w:shd w:val="clear" w:color="auto" w:fill="E2EFD9"/>
            <w:tcMar>
              <w:top w:w="40" w:type="dxa"/>
              <w:left w:w="20" w:type="dxa"/>
              <w:bottom w:w="40" w:type="dxa"/>
              <w:right w:w="20" w:type="dxa"/>
            </w:tcMar>
            <w:vAlign w:val="bottom"/>
          </w:tcPr>
          <w:p w14:paraId="3693F1D7" w14:textId="77777777" w:rsidR="003734EC" w:rsidRDefault="000E364E">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tcMar>
            <w:vAlign w:val="bottom"/>
          </w:tcPr>
          <w:p w14:paraId="3693F1D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1D9" w14:textId="77777777" w:rsidR="003734EC" w:rsidRDefault="000E364E">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bottom w:w="40" w:type="dxa"/>
              <w:right w:w="20" w:type="dxa"/>
            </w:tcMar>
            <w:vAlign w:val="bottom"/>
          </w:tcPr>
          <w:p w14:paraId="3693F1D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DB"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1D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1DD" w14:textId="77777777" w:rsidR="003734EC" w:rsidRDefault="000E364E">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bottom w:w="40" w:type="dxa"/>
              <w:right w:w="20" w:type="dxa"/>
            </w:tcMar>
            <w:vAlign w:val="bottom"/>
          </w:tcPr>
          <w:p w14:paraId="3693F1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DF" w14:textId="77777777" w:rsidR="003734EC" w:rsidRDefault="003734EC">
            <w:pPr>
              <w:rPr>
                <w:rFonts w:ascii="宋体"/>
              </w:rPr>
            </w:pPr>
          </w:p>
        </w:tc>
        <w:tc>
          <w:tcPr>
            <w:tcW w:w="0" w:type="auto"/>
            <w:shd w:val="clear" w:color="auto" w:fill="auto"/>
            <w:vAlign w:val="center"/>
          </w:tcPr>
          <w:p w14:paraId="3693F1E0" w14:textId="77777777" w:rsidR="003734EC" w:rsidRDefault="003734EC">
            <w:pPr>
              <w:rPr>
                <w:rFonts w:ascii="宋体"/>
              </w:rPr>
            </w:pPr>
          </w:p>
        </w:tc>
        <w:tc>
          <w:tcPr>
            <w:tcW w:w="0" w:type="auto"/>
            <w:shd w:val="clear" w:color="auto" w:fill="auto"/>
            <w:vAlign w:val="center"/>
          </w:tcPr>
          <w:p w14:paraId="3693F1E1" w14:textId="77777777" w:rsidR="003734EC" w:rsidRDefault="003734EC">
            <w:pPr>
              <w:rPr>
                <w:rFonts w:ascii="宋体"/>
              </w:rPr>
            </w:pPr>
          </w:p>
        </w:tc>
        <w:tc>
          <w:tcPr>
            <w:tcW w:w="0" w:type="auto"/>
            <w:shd w:val="clear" w:color="auto" w:fill="auto"/>
            <w:vAlign w:val="center"/>
          </w:tcPr>
          <w:p w14:paraId="3693F1E2" w14:textId="77777777" w:rsidR="003734EC" w:rsidRDefault="003734EC">
            <w:pPr>
              <w:rPr>
                <w:rFonts w:ascii="宋体"/>
              </w:rPr>
            </w:pPr>
          </w:p>
        </w:tc>
        <w:tc>
          <w:tcPr>
            <w:tcW w:w="0" w:type="auto"/>
            <w:shd w:val="clear" w:color="auto" w:fill="auto"/>
            <w:vAlign w:val="center"/>
          </w:tcPr>
          <w:p w14:paraId="3693F1E3" w14:textId="77777777" w:rsidR="003734EC" w:rsidRDefault="003734EC">
            <w:pPr>
              <w:rPr>
                <w:rFonts w:ascii="宋体"/>
              </w:rPr>
            </w:pPr>
          </w:p>
        </w:tc>
        <w:tc>
          <w:tcPr>
            <w:tcW w:w="0" w:type="auto"/>
            <w:shd w:val="clear" w:color="auto" w:fill="auto"/>
            <w:vAlign w:val="center"/>
          </w:tcPr>
          <w:p w14:paraId="3693F1E4" w14:textId="77777777" w:rsidR="003734EC" w:rsidRDefault="003734EC">
            <w:pPr>
              <w:rPr>
                <w:rFonts w:ascii="宋体"/>
              </w:rPr>
            </w:pPr>
          </w:p>
        </w:tc>
      </w:tr>
      <w:tr w:rsidR="003734EC" w14:paraId="3693F1F2" w14:textId="77777777">
        <w:trPr>
          <w:jc w:val="center"/>
        </w:trPr>
        <w:tc>
          <w:tcPr>
            <w:tcW w:w="0" w:type="auto"/>
            <w:gridSpan w:val="3"/>
            <w:shd w:val="clear" w:color="auto" w:fill="FFFFFF"/>
            <w:tcMar>
              <w:top w:w="40" w:type="dxa"/>
              <w:left w:w="20" w:type="dxa"/>
              <w:bottom w:w="40" w:type="dxa"/>
              <w:right w:w="20" w:type="dxa"/>
            </w:tcMar>
            <w:vAlign w:val="bottom"/>
          </w:tcPr>
          <w:p w14:paraId="3693F1E6" w14:textId="77777777" w:rsidR="003734EC" w:rsidRDefault="000E364E">
            <w:pPr>
              <w:textAlignment w:val="bottom"/>
            </w:pPr>
            <w:r>
              <w:rPr>
                <w:rFonts w:ascii="sans-serif" w:eastAsia="sans-serif" w:hAnsi="sans-serif" w:cs="sans-serif"/>
                <w:color w:val="000000"/>
                <w:sz w:val="20"/>
                <w:szCs w:val="20"/>
              </w:rPr>
              <w:t>Deferred revenue added during the period</w:t>
            </w:r>
          </w:p>
        </w:tc>
        <w:tc>
          <w:tcPr>
            <w:tcW w:w="0" w:type="auto"/>
            <w:gridSpan w:val="2"/>
            <w:shd w:val="clear" w:color="auto" w:fill="FFFFFF"/>
            <w:tcMar>
              <w:top w:w="40" w:type="dxa"/>
              <w:left w:w="20" w:type="dxa"/>
              <w:bottom w:w="40" w:type="dxa"/>
              <w:right w:w="0" w:type="dxa"/>
            </w:tcMar>
            <w:vAlign w:val="bottom"/>
          </w:tcPr>
          <w:p w14:paraId="3693F1E7" w14:textId="77777777" w:rsidR="003734EC" w:rsidRDefault="000E364E">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bottom w:w="40" w:type="dxa"/>
              <w:right w:w="20" w:type="dxa"/>
            </w:tcMar>
            <w:vAlign w:val="bottom"/>
          </w:tcPr>
          <w:p w14:paraId="3693F1E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1E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1EA" w14:textId="77777777" w:rsidR="003734EC" w:rsidRDefault="000E364E">
            <w:pPr>
              <w:jc w:val="right"/>
              <w:textAlignment w:val="bottom"/>
            </w:pPr>
            <w:r>
              <w:rPr>
                <w:rFonts w:ascii="sans-serif" w:eastAsia="sans-serif" w:hAnsi="sans-serif" w:cs="sans-serif"/>
                <w:color w:val="000000"/>
                <w:sz w:val="20"/>
                <w:szCs w:val="20"/>
              </w:rPr>
              <w:t>49 </w:t>
            </w:r>
          </w:p>
        </w:tc>
        <w:tc>
          <w:tcPr>
            <w:tcW w:w="0" w:type="auto"/>
            <w:shd w:val="clear" w:color="auto" w:fill="FFFFFF"/>
            <w:tcMar>
              <w:top w:w="40" w:type="dxa"/>
              <w:bottom w:w="40" w:type="dxa"/>
              <w:right w:w="20" w:type="dxa"/>
            </w:tcMar>
            <w:vAlign w:val="bottom"/>
          </w:tcPr>
          <w:p w14:paraId="3693F1E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EC" w14:textId="77777777" w:rsidR="003734EC" w:rsidRDefault="003734EC">
            <w:pPr>
              <w:rPr>
                <w:rFonts w:ascii="宋体"/>
              </w:rPr>
            </w:pPr>
          </w:p>
        </w:tc>
        <w:tc>
          <w:tcPr>
            <w:tcW w:w="0" w:type="auto"/>
            <w:shd w:val="clear" w:color="auto" w:fill="auto"/>
            <w:vAlign w:val="center"/>
          </w:tcPr>
          <w:p w14:paraId="3693F1ED" w14:textId="77777777" w:rsidR="003734EC" w:rsidRDefault="003734EC">
            <w:pPr>
              <w:rPr>
                <w:rFonts w:ascii="宋体"/>
              </w:rPr>
            </w:pPr>
          </w:p>
        </w:tc>
        <w:tc>
          <w:tcPr>
            <w:tcW w:w="0" w:type="auto"/>
            <w:shd w:val="clear" w:color="auto" w:fill="auto"/>
            <w:vAlign w:val="center"/>
          </w:tcPr>
          <w:p w14:paraId="3693F1EE" w14:textId="77777777" w:rsidR="003734EC" w:rsidRDefault="003734EC">
            <w:pPr>
              <w:rPr>
                <w:rFonts w:ascii="宋体"/>
              </w:rPr>
            </w:pPr>
          </w:p>
        </w:tc>
        <w:tc>
          <w:tcPr>
            <w:tcW w:w="0" w:type="auto"/>
            <w:shd w:val="clear" w:color="auto" w:fill="auto"/>
            <w:vAlign w:val="center"/>
          </w:tcPr>
          <w:p w14:paraId="3693F1EF" w14:textId="77777777" w:rsidR="003734EC" w:rsidRDefault="003734EC">
            <w:pPr>
              <w:rPr>
                <w:rFonts w:ascii="宋体"/>
              </w:rPr>
            </w:pPr>
          </w:p>
        </w:tc>
        <w:tc>
          <w:tcPr>
            <w:tcW w:w="0" w:type="auto"/>
            <w:shd w:val="clear" w:color="auto" w:fill="auto"/>
            <w:vAlign w:val="center"/>
          </w:tcPr>
          <w:p w14:paraId="3693F1F0" w14:textId="77777777" w:rsidR="003734EC" w:rsidRDefault="003734EC">
            <w:pPr>
              <w:rPr>
                <w:rFonts w:ascii="宋体"/>
              </w:rPr>
            </w:pPr>
          </w:p>
        </w:tc>
        <w:tc>
          <w:tcPr>
            <w:tcW w:w="0" w:type="auto"/>
            <w:shd w:val="clear" w:color="auto" w:fill="auto"/>
            <w:vAlign w:val="center"/>
          </w:tcPr>
          <w:p w14:paraId="3693F1F1" w14:textId="77777777" w:rsidR="003734EC" w:rsidRDefault="003734EC">
            <w:pPr>
              <w:rPr>
                <w:rFonts w:ascii="宋体"/>
              </w:rPr>
            </w:pPr>
          </w:p>
        </w:tc>
      </w:tr>
      <w:tr w:rsidR="003734EC" w14:paraId="3693F1FF" w14:textId="77777777">
        <w:trPr>
          <w:jc w:val="center"/>
        </w:trPr>
        <w:tc>
          <w:tcPr>
            <w:tcW w:w="0" w:type="auto"/>
            <w:gridSpan w:val="3"/>
            <w:shd w:val="clear" w:color="auto" w:fill="E2EFD9"/>
            <w:tcMar>
              <w:top w:w="40" w:type="dxa"/>
              <w:left w:w="20" w:type="dxa"/>
              <w:bottom w:w="40" w:type="dxa"/>
              <w:right w:w="20" w:type="dxa"/>
            </w:tcMar>
            <w:vAlign w:val="bottom"/>
          </w:tcPr>
          <w:p w14:paraId="3693F1F3" w14:textId="77777777" w:rsidR="003734EC" w:rsidRDefault="000E364E">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E2EFD9"/>
            <w:tcMar>
              <w:top w:w="40" w:type="dxa"/>
              <w:left w:w="20" w:type="dxa"/>
              <w:bottom w:w="40" w:type="dxa"/>
              <w:right w:w="0" w:type="dxa"/>
            </w:tcMar>
            <w:vAlign w:val="bottom"/>
          </w:tcPr>
          <w:p w14:paraId="3693F1F4" w14:textId="77777777" w:rsidR="003734EC" w:rsidRDefault="000E364E">
            <w:pPr>
              <w:jc w:val="right"/>
              <w:textAlignment w:val="bottom"/>
            </w:pPr>
            <w:r>
              <w:rPr>
                <w:rFonts w:ascii="sans-serif" w:eastAsia="sans-serif" w:hAnsi="sans-serif" w:cs="sans-serif"/>
                <w:color w:val="000000"/>
                <w:sz w:val="20"/>
                <w:szCs w:val="20"/>
              </w:rPr>
              <w:t>(70)</w:t>
            </w:r>
          </w:p>
        </w:tc>
        <w:tc>
          <w:tcPr>
            <w:tcW w:w="0" w:type="auto"/>
            <w:shd w:val="clear" w:color="auto" w:fill="E2EFD9"/>
            <w:tcMar>
              <w:top w:w="40" w:type="dxa"/>
              <w:bottom w:w="40" w:type="dxa"/>
              <w:right w:w="20" w:type="dxa"/>
            </w:tcMar>
            <w:vAlign w:val="bottom"/>
          </w:tcPr>
          <w:p w14:paraId="3693F1F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1F6"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1F7" w14:textId="77777777" w:rsidR="003734EC" w:rsidRDefault="000E364E">
            <w:pPr>
              <w:jc w:val="right"/>
              <w:textAlignment w:val="bottom"/>
            </w:pPr>
            <w:r>
              <w:rPr>
                <w:rFonts w:ascii="sans-serif" w:eastAsia="sans-serif" w:hAnsi="sans-serif" w:cs="sans-serif"/>
                <w:color w:val="000000"/>
                <w:sz w:val="20"/>
                <w:szCs w:val="20"/>
              </w:rPr>
              <w:t>(53)</w:t>
            </w:r>
          </w:p>
        </w:tc>
        <w:tc>
          <w:tcPr>
            <w:tcW w:w="0" w:type="auto"/>
            <w:shd w:val="clear" w:color="auto" w:fill="E2EFD9"/>
            <w:tcMar>
              <w:top w:w="40" w:type="dxa"/>
              <w:bottom w:w="40" w:type="dxa"/>
              <w:right w:w="20" w:type="dxa"/>
            </w:tcMar>
            <w:vAlign w:val="bottom"/>
          </w:tcPr>
          <w:p w14:paraId="3693F1F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1F9" w14:textId="77777777" w:rsidR="003734EC" w:rsidRDefault="003734EC">
            <w:pPr>
              <w:rPr>
                <w:rFonts w:ascii="宋体"/>
              </w:rPr>
            </w:pPr>
          </w:p>
        </w:tc>
        <w:tc>
          <w:tcPr>
            <w:tcW w:w="0" w:type="auto"/>
            <w:shd w:val="clear" w:color="auto" w:fill="auto"/>
            <w:vAlign w:val="center"/>
          </w:tcPr>
          <w:p w14:paraId="3693F1FA" w14:textId="77777777" w:rsidR="003734EC" w:rsidRDefault="003734EC">
            <w:pPr>
              <w:rPr>
                <w:rFonts w:ascii="宋体"/>
              </w:rPr>
            </w:pPr>
          </w:p>
        </w:tc>
        <w:tc>
          <w:tcPr>
            <w:tcW w:w="0" w:type="auto"/>
            <w:shd w:val="clear" w:color="auto" w:fill="auto"/>
            <w:vAlign w:val="center"/>
          </w:tcPr>
          <w:p w14:paraId="3693F1FB" w14:textId="77777777" w:rsidR="003734EC" w:rsidRDefault="003734EC">
            <w:pPr>
              <w:rPr>
                <w:rFonts w:ascii="宋体"/>
              </w:rPr>
            </w:pPr>
          </w:p>
        </w:tc>
        <w:tc>
          <w:tcPr>
            <w:tcW w:w="0" w:type="auto"/>
            <w:shd w:val="clear" w:color="auto" w:fill="auto"/>
            <w:vAlign w:val="center"/>
          </w:tcPr>
          <w:p w14:paraId="3693F1FC" w14:textId="77777777" w:rsidR="003734EC" w:rsidRDefault="003734EC">
            <w:pPr>
              <w:rPr>
                <w:rFonts w:ascii="宋体"/>
              </w:rPr>
            </w:pPr>
          </w:p>
        </w:tc>
        <w:tc>
          <w:tcPr>
            <w:tcW w:w="0" w:type="auto"/>
            <w:shd w:val="clear" w:color="auto" w:fill="auto"/>
            <w:vAlign w:val="center"/>
          </w:tcPr>
          <w:p w14:paraId="3693F1FD" w14:textId="77777777" w:rsidR="003734EC" w:rsidRDefault="003734EC">
            <w:pPr>
              <w:rPr>
                <w:rFonts w:ascii="宋体"/>
              </w:rPr>
            </w:pPr>
          </w:p>
        </w:tc>
        <w:tc>
          <w:tcPr>
            <w:tcW w:w="0" w:type="auto"/>
            <w:shd w:val="clear" w:color="auto" w:fill="auto"/>
            <w:vAlign w:val="center"/>
          </w:tcPr>
          <w:p w14:paraId="3693F1FE" w14:textId="77777777" w:rsidR="003734EC" w:rsidRDefault="003734EC">
            <w:pPr>
              <w:rPr>
                <w:rFonts w:ascii="宋体"/>
              </w:rPr>
            </w:pPr>
          </w:p>
        </w:tc>
      </w:tr>
      <w:tr w:rsidR="003734EC" w14:paraId="3693F20E" w14:textId="77777777">
        <w:trPr>
          <w:jc w:val="center"/>
        </w:trPr>
        <w:tc>
          <w:tcPr>
            <w:tcW w:w="0" w:type="auto"/>
            <w:gridSpan w:val="3"/>
            <w:shd w:val="clear" w:color="auto" w:fill="FFFFFF"/>
            <w:tcMar>
              <w:top w:w="40" w:type="dxa"/>
              <w:left w:w="20" w:type="dxa"/>
              <w:bottom w:w="40" w:type="dxa"/>
              <w:right w:w="20" w:type="dxa"/>
            </w:tcMar>
            <w:vAlign w:val="bottom"/>
          </w:tcPr>
          <w:p w14:paraId="3693F200" w14:textId="77777777" w:rsidR="003734EC" w:rsidRDefault="000E364E">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20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202" w14:textId="77777777" w:rsidR="003734EC" w:rsidRDefault="000E364E">
            <w:pPr>
              <w:jc w:val="right"/>
              <w:textAlignment w:val="bottom"/>
            </w:pPr>
            <w:r>
              <w:rPr>
                <w:rFonts w:ascii="sans-serif" w:eastAsia="sans-serif" w:hAnsi="sans-serif" w:cs="sans-serif"/>
                <w:color w:val="000000"/>
                <w:sz w:val="20"/>
                <w:szCs w:val="20"/>
              </w:rPr>
              <w:t>241 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20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204"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205"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206" w14:textId="77777777" w:rsidR="003734EC" w:rsidRDefault="000E364E">
            <w:pPr>
              <w:jc w:val="right"/>
              <w:textAlignment w:val="bottom"/>
            </w:pPr>
            <w:r>
              <w:rPr>
                <w:rFonts w:ascii="sans-serif" w:eastAsia="sans-serif" w:hAnsi="sans-serif" w:cs="sans-serif"/>
                <w:color w:val="000000"/>
                <w:sz w:val="20"/>
                <w:szCs w:val="20"/>
              </w:rPr>
              <w:t>134 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20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08" w14:textId="77777777" w:rsidR="003734EC" w:rsidRDefault="003734EC">
            <w:pPr>
              <w:rPr>
                <w:rFonts w:ascii="宋体"/>
              </w:rPr>
            </w:pPr>
          </w:p>
        </w:tc>
        <w:tc>
          <w:tcPr>
            <w:tcW w:w="0" w:type="auto"/>
            <w:shd w:val="clear" w:color="auto" w:fill="auto"/>
            <w:vAlign w:val="center"/>
          </w:tcPr>
          <w:p w14:paraId="3693F209" w14:textId="77777777" w:rsidR="003734EC" w:rsidRDefault="003734EC">
            <w:pPr>
              <w:rPr>
                <w:rFonts w:ascii="宋体"/>
              </w:rPr>
            </w:pPr>
          </w:p>
        </w:tc>
        <w:tc>
          <w:tcPr>
            <w:tcW w:w="0" w:type="auto"/>
            <w:shd w:val="clear" w:color="auto" w:fill="auto"/>
            <w:vAlign w:val="center"/>
          </w:tcPr>
          <w:p w14:paraId="3693F20A" w14:textId="77777777" w:rsidR="003734EC" w:rsidRDefault="003734EC">
            <w:pPr>
              <w:rPr>
                <w:rFonts w:ascii="宋体"/>
              </w:rPr>
            </w:pPr>
          </w:p>
        </w:tc>
        <w:tc>
          <w:tcPr>
            <w:tcW w:w="0" w:type="auto"/>
            <w:shd w:val="clear" w:color="auto" w:fill="auto"/>
            <w:vAlign w:val="center"/>
          </w:tcPr>
          <w:p w14:paraId="3693F20B" w14:textId="77777777" w:rsidR="003734EC" w:rsidRDefault="003734EC">
            <w:pPr>
              <w:rPr>
                <w:rFonts w:ascii="宋体"/>
              </w:rPr>
            </w:pPr>
          </w:p>
        </w:tc>
        <w:tc>
          <w:tcPr>
            <w:tcW w:w="0" w:type="auto"/>
            <w:shd w:val="clear" w:color="auto" w:fill="auto"/>
            <w:vAlign w:val="center"/>
          </w:tcPr>
          <w:p w14:paraId="3693F20C" w14:textId="77777777" w:rsidR="003734EC" w:rsidRDefault="003734EC">
            <w:pPr>
              <w:rPr>
                <w:rFonts w:ascii="宋体"/>
              </w:rPr>
            </w:pPr>
          </w:p>
        </w:tc>
        <w:tc>
          <w:tcPr>
            <w:tcW w:w="0" w:type="auto"/>
            <w:shd w:val="clear" w:color="auto" w:fill="auto"/>
            <w:vAlign w:val="center"/>
          </w:tcPr>
          <w:p w14:paraId="3693F20D" w14:textId="77777777" w:rsidR="003734EC" w:rsidRDefault="003734EC">
            <w:pPr>
              <w:rPr>
                <w:rFonts w:ascii="宋体"/>
              </w:rPr>
            </w:pPr>
          </w:p>
        </w:tc>
      </w:tr>
    </w:tbl>
    <w:p w14:paraId="3693F20F" w14:textId="77777777" w:rsidR="003734EC" w:rsidRDefault="003734EC">
      <w:pPr>
        <w:spacing w:after="60"/>
      </w:pPr>
    </w:p>
    <w:p w14:paraId="3693F210" w14:textId="77777777" w:rsidR="003734EC" w:rsidRDefault="000E364E">
      <w:pPr>
        <w:spacing w:after="60"/>
        <w:jc w:val="both"/>
      </w:pPr>
      <w:r>
        <w:rPr>
          <w:rFonts w:ascii="sans-serif" w:eastAsia="sans-serif" w:hAnsi="sans-serif" w:cs="sans-serif"/>
          <w:color w:val="000000"/>
          <w:sz w:val="20"/>
          <w:szCs w:val="20"/>
        </w:rPr>
        <w:t xml:space="preserve">Revenue related to remaining performance obligations represents the amount of contracted license and development arrangements and PCS that has </w:t>
      </w:r>
      <w:r>
        <w:rPr>
          <w:rFonts w:ascii="sans-serif" w:eastAsia="sans-serif" w:hAnsi="sans-serif" w:cs="sans-serif"/>
          <w:color w:val="000000"/>
          <w:sz w:val="20"/>
          <w:szCs w:val="20"/>
        </w:rPr>
        <w:t>not been recognized. This includes related deferred revenue currently recorded and amounts that will be invoiced in future periods. As of April 26, 2020, the amount of our remaining performance obligations that has not been recognized as revenue was $389 m</w:t>
      </w:r>
      <w:r>
        <w:rPr>
          <w:rFonts w:ascii="sans-serif" w:eastAsia="sans-serif" w:hAnsi="sans-serif" w:cs="sans-serif"/>
          <w:color w:val="000000"/>
          <w:sz w:val="20"/>
          <w:szCs w:val="20"/>
        </w:rPr>
        <w:t>illion, of which we expect to recognize approximately 47% as revenue over the next twelve months and the remainder thereafter. This amount excludes the value of remaining performance obligations for contracts with an original expected length of one year or</w:t>
      </w:r>
      <w:r>
        <w:rPr>
          <w:rFonts w:ascii="sans-serif" w:eastAsia="sans-serif" w:hAnsi="sans-serif" w:cs="sans-serif"/>
          <w:color w:val="000000"/>
          <w:sz w:val="20"/>
          <w:szCs w:val="20"/>
        </w:rPr>
        <w:t xml:space="preserve"> less.</w:t>
      </w:r>
    </w:p>
    <w:p w14:paraId="3693F211" w14:textId="77777777" w:rsidR="003734EC" w:rsidRDefault="000E364E">
      <w:pPr>
        <w:spacing w:before="240" w:after="120"/>
        <w:jc w:val="both"/>
      </w:pPr>
      <w:r>
        <w:rPr>
          <w:rFonts w:ascii="sans-serif" w:eastAsia="sans-serif" w:hAnsi="sans-serif" w:cs="sans-serif"/>
          <w:b/>
          <w:bCs/>
          <w:color w:val="76B900"/>
          <w:sz w:val="22"/>
          <w:szCs w:val="22"/>
        </w:rPr>
        <w:t>Note 11 - Derivative Financial Instruments</w:t>
      </w:r>
    </w:p>
    <w:p w14:paraId="3693F212" w14:textId="77777777" w:rsidR="003734EC" w:rsidRDefault="000E364E">
      <w:pPr>
        <w:spacing w:after="180"/>
        <w:jc w:val="both"/>
      </w:pPr>
      <w:r>
        <w:rPr>
          <w:rFonts w:ascii="sans-serif" w:eastAsia="sans-serif" w:hAnsi="sans-serif" w:cs="sans-serif"/>
          <w:color w:val="000000"/>
          <w:sz w:val="20"/>
          <w:szCs w:val="20"/>
        </w:rPr>
        <w:t>We enter into foreign currency forward contracts to mitigate the impact of foreign currency exchange rate movements on our operating expenses. These contracts are designated as cash flow hedges for hedge ac</w:t>
      </w:r>
      <w:r>
        <w:rPr>
          <w:rFonts w:ascii="sans-serif" w:eastAsia="sans-serif" w:hAnsi="sans-serif" w:cs="sans-serif"/>
          <w:color w:val="000000"/>
          <w:sz w:val="20"/>
          <w:szCs w:val="20"/>
        </w:rPr>
        <w:t>counting treatment. Gains or losses on the contracts are recorded in accumulated other comprehensive income or loss and reclassified to operating expense when the related operating expenses are recognized in earnings or ineffectiveness should occur. The fa</w:t>
      </w:r>
      <w:r>
        <w:rPr>
          <w:rFonts w:ascii="sans-serif" w:eastAsia="sans-serif" w:hAnsi="sans-serif" w:cs="sans-serif"/>
          <w:color w:val="000000"/>
          <w:sz w:val="20"/>
          <w:szCs w:val="20"/>
        </w:rPr>
        <w:t>ir value of the contracts was not significant as of April 26, 2020 and January 26, 2020.</w:t>
      </w:r>
    </w:p>
    <w:p w14:paraId="3693F213" w14:textId="77777777" w:rsidR="003734EC" w:rsidRDefault="000E364E">
      <w:pPr>
        <w:spacing w:after="180"/>
        <w:jc w:val="both"/>
      </w:pPr>
      <w:r>
        <w:rPr>
          <w:rFonts w:ascii="sans-serif" w:eastAsia="sans-serif" w:hAnsi="sans-serif" w:cs="sans-serif"/>
          <w:color w:val="000000"/>
          <w:sz w:val="20"/>
          <w:szCs w:val="20"/>
        </w:rPr>
        <w:t>We also enter into foreign currency forward contracts to mitigate the impact of foreign currency movements on monetary assets and liabilities that are denominated in c</w:t>
      </w:r>
      <w:r>
        <w:rPr>
          <w:rFonts w:ascii="sans-serif" w:eastAsia="sans-serif" w:hAnsi="sans-serif" w:cs="sans-serif"/>
          <w:color w:val="000000"/>
          <w:sz w:val="20"/>
          <w:szCs w:val="20"/>
        </w:rPr>
        <w:t>urrencies other than the U.S. dollar. These forward contracts were not designated for hedge accounting treatment. Therefore, the change in fair value of these contracts is recorded in other income or expense and offsets the change in fair value of the hedg</w:t>
      </w:r>
      <w:r>
        <w:rPr>
          <w:rFonts w:ascii="sans-serif" w:eastAsia="sans-serif" w:hAnsi="sans-serif" w:cs="sans-serif"/>
          <w:color w:val="000000"/>
          <w:sz w:val="20"/>
          <w:szCs w:val="20"/>
        </w:rPr>
        <w:t>ed foreign currency denominated monetary assets and liabilities, which is also recorded in other income or expense.</w:t>
      </w:r>
    </w:p>
    <w:p w14:paraId="3693F214" w14:textId="77777777" w:rsidR="003734EC" w:rsidRDefault="000E364E">
      <w:pPr>
        <w:spacing w:after="180"/>
        <w:jc w:val="both"/>
      </w:pPr>
      <w:r>
        <w:rPr>
          <w:rFonts w:ascii="sans-serif" w:eastAsia="sans-serif" w:hAnsi="sans-serif" w:cs="sans-serif"/>
          <w:color w:val="000000"/>
          <w:sz w:val="20"/>
          <w:szCs w:val="20"/>
        </w:rPr>
        <w:t>The table below presents the notional value of our foreign currency forward contracts outstanding as of April 26, 2020 and January 26, 2020:</w:t>
      </w:r>
    </w:p>
    <w:tbl>
      <w:tblPr>
        <w:tblW w:w="5000" w:type="pct"/>
        <w:tblCellMar>
          <w:top w:w="15" w:type="dxa"/>
          <w:left w:w="15" w:type="dxa"/>
          <w:bottom w:w="15" w:type="dxa"/>
          <w:right w:w="15" w:type="dxa"/>
        </w:tblCellMar>
        <w:tblLook w:val="04A0" w:firstRow="1" w:lastRow="0" w:firstColumn="1" w:lastColumn="0" w:noHBand="0" w:noVBand="1"/>
      </w:tblPr>
      <w:tblGrid>
        <w:gridCol w:w="56"/>
        <w:gridCol w:w="5452"/>
        <w:gridCol w:w="57"/>
        <w:gridCol w:w="137"/>
        <w:gridCol w:w="999"/>
        <w:gridCol w:w="81"/>
        <w:gridCol w:w="36"/>
        <w:gridCol w:w="46"/>
        <w:gridCol w:w="36"/>
        <w:gridCol w:w="138"/>
        <w:gridCol w:w="1001"/>
        <w:gridCol w:w="81"/>
        <w:gridCol w:w="36"/>
        <w:gridCol w:w="36"/>
        <w:gridCol w:w="36"/>
        <w:gridCol w:w="36"/>
        <w:gridCol w:w="36"/>
        <w:gridCol w:w="36"/>
      </w:tblGrid>
      <w:tr w:rsidR="003734EC" w14:paraId="3693F221" w14:textId="77777777">
        <w:trPr>
          <w:gridAfter w:val="6"/>
        </w:trPr>
        <w:tc>
          <w:tcPr>
            <w:tcW w:w="50" w:type="pct"/>
            <w:shd w:val="clear" w:color="auto" w:fill="auto"/>
            <w:vAlign w:val="center"/>
          </w:tcPr>
          <w:p w14:paraId="3693F215" w14:textId="77777777" w:rsidR="003734EC" w:rsidRDefault="003734EC">
            <w:pPr>
              <w:rPr>
                <w:rFonts w:ascii="宋体"/>
              </w:rPr>
            </w:pPr>
          </w:p>
        </w:tc>
        <w:tc>
          <w:tcPr>
            <w:tcW w:w="3372" w:type="pct"/>
            <w:shd w:val="clear" w:color="auto" w:fill="auto"/>
            <w:vAlign w:val="center"/>
          </w:tcPr>
          <w:p w14:paraId="3693F216" w14:textId="77777777" w:rsidR="003734EC" w:rsidRDefault="003734EC">
            <w:pPr>
              <w:rPr>
                <w:rFonts w:ascii="宋体"/>
              </w:rPr>
            </w:pPr>
          </w:p>
        </w:tc>
        <w:tc>
          <w:tcPr>
            <w:tcW w:w="50" w:type="pct"/>
            <w:shd w:val="clear" w:color="auto" w:fill="auto"/>
            <w:vAlign w:val="center"/>
          </w:tcPr>
          <w:p w14:paraId="3693F217" w14:textId="77777777" w:rsidR="003734EC" w:rsidRDefault="003734EC">
            <w:pPr>
              <w:rPr>
                <w:rFonts w:ascii="宋体"/>
              </w:rPr>
            </w:pPr>
          </w:p>
        </w:tc>
        <w:tc>
          <w:tcPr>
            <w:tcW w:w="50" w:type="pct"/>
            <w:shd w:val="clear" w:color="auto" w:fill="auto"/>
            <w:vAlign w:val="center"/>
          </w:tcPr>
          <w:p w14:paraId="3693F218" w14:textId="77777777" w:rsidR="003734EC" w:rsidRDefault="003734EC">
            <w:pPr>
              <w:rPr>
                <w:rFonts w:ascii="宋体"/>
              </w:rPr>
            </w:pPr>
          </w:p>
        </w:tc>
        <w:tc>
          <w:tcPr>
            <w:tcW w:w="630" w:type="pct"/>
            <w:shd w:val="clear" w:color="auto" w:fill="auto"/>
            <w:vAlign w:val="center"/>
          </w:tcPr>
          <w:p w14:paraId="3693F219" w14:textId="77777777" w:rsidR="003734EC" w:rsidRDefault="003734EC">
            <w:pPr>
              <w:rPr>
                <w:rFonts w:ascii="宋体"/>
              </w:rPr>
            </w:pPr>
          </w:p>
        </w:tc>
        <w:tc>
          <w:tcPr>
            <w:tcW w:w="50" w:type="pct"/>
            <w:shd w:val="clear" w:color="auto" w:fill="auto"/>
            <w:vAlign w:val="center"/>
          </w:tcPr>
          <w:p w14:paraId="3693F21A" w14:textId="77777777" w:rsidR="003734EC" w:rsidRDefault="003734EC">
            <w:pPr>
              <w:rPr>
                <w:rFonts w:ascii="宋体"/>
              </w:rPr>
            </w:pPr>
          </w:p>
        </w:tc>
        <w:tc>
          <w:tcPr>
            <w:tcW w:w="5" w:type="pct"/>
            <w:shd w:val="clear" w:color="auto" w:fill="auto"/>
            <w:vAlign w:val="center"/>
          </w:tcPr>
          <w:p w14:paraId="3693F21B" w14:textId="77777777" w:rsidR="003734EC" w:rsidRDefault="003734EC">
            <w:pPr>
              <w:rPr>
                <w:rFonts w:ascii="宋体"/>
              </w:rPr>
            </w:pPr>
          </w:p>
        </w:tc>
        <w:tc>
          <w:tcPr>
            <w:tcW w:w="55" w:type="pct"/>
            <w:shd w:val="clear" w:color="auto" w:fill="auto"/>
            <w:vAlign w:val="center"/>
          </w:tcPr>
          <w:p w14:paraId="3693F21C" w14:textId="77777777" w:rsidR="003734EC" w:rsidRDefault="003734EC">
            <w:pPr>
              <w:rPr>
                <w:rFonts w:ascii="宋体"/>
              </w:rPr>
            </w:pPr>
          </w:p>
        </w:tc>
        <w:tc>
          <w:tcPr>
            <w:tcW w:w="5" w:type="pct"/>
            <w:shd w:val="clear" w:color="auto" w:fill="auto"/>
            <w:vAlign w:val="center"/>
          </w:tcPr>
          <w:p w14:paraId="3693F21D" w14:textId="77777777" w:rsidR="003734EC" w:rsidRDefault="003734EC">
            <w:pPr>
              <w:rPr>
                <w:rFonts w:ascii="宋体"/>
              </w:rPr>
            </w:pPr>
          </w:p>
        </w:tc>
        <w:tc>
          <w:tcPr>
            <w:tcW w:w="50" w:type="pct"/>
            <w:shd w:val="clear" w:color="auto" w:fill="auto"/>
            <w:vAlign w:val="center"/>
          </w:tcPr>
          <w:p w14:paraId="3693F21E" w14:textId="77777777" w:rsidR="003734EC" w:rsidRDefault="003734EC">
            <w:pPr>
              <w:rPr>
                <w:rFonts w:ascii="宋体"/>
              </w:rPr>
            </w:pPr>
          </w:p>
        </w:tc>
        <w:tc>
          <w:tcPr>
            <w:tcW w:w="631" w:type="pct"/>
            <w:shd w:val="clear" w:color="auto" w:fill="auto"/>
            <w:vAlign w:val="center"/>
          </w:tcPr>
          <w:p w14:paraId="3693F21F" w14:textId="77777777" w:rsidR="003734EC" w:rsidRDefault="003734EC">
            <w:pPr>
              <w:rPr>
                <w:rFonts w:ascii="宋体"/>
              </w:rPr>
            </w:pPr>
          </w:p>
        </w:tc>
        <w:tc>
          <w:tcPr>
            <w:tcW w:w="50" w:type="pct"/>
            <w:shd w:val="clear" w:color="auto" w:fill="auto"/>
            <w:vAlign w:val="center"/>
          </w:tcPr>
          <w:p w14:paraId="3693F220" w14:textId="77777777" w:rsidR="003734EC" w:rsidRDefault="003734EC">
            <w:pPr>
              <w:rPr>
                <w:rFonts w:ascii="宋体"/>
              </w:rPr>
            </w:pPr>
          </w:p>
        </w:tc>
      </w:tr>
      <w:tr w:rsidR="003734EC" w14:paraId="3693F226" w14:textId="77777777">
        <w:trPr>
          <w:gridAfter w:val="6"/>
        </w:trPr>
        <w:tc>
          <w:tcPr>
            <w:tcW w:w="0" w:type="auto"/>
            <w:gridSpan w:val="3"/>
            <w:shd w:val="clear" w:color="auto" w:fill="auto"/>
            <w:tcMar>
              <w:top w:w="40" w:type="dxa"/>
              <w:left w:w="20" w:type="dxa"/>
              <w:bottom w:w="40" w:type="dxa"/>
              <w:right w:w="20" w:type="dxa"/>
            </w:tcMar>
            <w:vAlign w:val="bottom"/>
          </w:tcPr>
          <w:p w14:paraId="3693F222"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223" w14:textId="77777777" w:rsidR="003734EC" w:rsidRDefault="000E364E">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shd w:val="clear" w:color="auto" w:fill="auto"/>
            <w:tcMar>
              <w:left w:w="20" w:type="dxa"/>
              <w:right w:w="20" w:type="dxa"/>
            </w:tcMar>
            <w:vAlign w:val="bottom"/>
          </w:tcPr>
          <w:p w14:paraId="3693F224"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225" w14:textId="77777777" w:rsidR="003734EC" w:rsidRDefault="000E364E">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3734EC" w14:paraId="3693F22B" w14:textId="77777777">
        <w:tc>
          <w:tcPr>
            <w:tcW w:w="0" w:type="auto"/>
            <w:gridSpan w:val="3"/>
            <w:shd w:val="clear" w:color="auto" w:fill="auto"/>
            <w:tcMar>
              <w:left w:w="20" w:type="dxa"/>
              <w:right w:w="20" w:type="dxa"/>
            </w:tcMar>
            <w:vAlign w:val="bottom"/>
          </w:tcPr>
          <w:p w14:paraId="3693F227"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228"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229" w14:textId="77777777" w:rsidR="003734EC" w:rsidRDefault="003734EC">
            <w:pPr>
              <w:rPr>
                <w:rFonts w:ascii="宋体"/>
                <w:vanish/>
              </w:rPr>
            </w:pPr>
          </w:p>
        </w:tc>
        <w:tc>
          <w:tcPr>
            <w:tcW w:w="0" w:type="auto"/>
            <w:gridSpan w:val="3"/>
            <w:shd w:val="clear" w:color="auto" w:fill="auto"/>
            <w:vAlign w:val="center"/>
          </w:tcPr>
          <w:p w14:paraId="3693F22A" w14:textId="77777777" w:rsidR="003734EC" w:rsidRDefault="003734EC">
            <w:pPr>
              <w:rPr>
                <w:rFonts w:ascii="宋体"/>
                <w:vanish/>
              </w:rPr>
            </w:pPr>
          </w:p>
        </w:tc>
      </w:tr>
      <w:tr w:rsidR="003734EC" w14:paraId="3693F23A" w14:textId="77777777">
        <w:tc>
          <w:tcPr>
            <w:tcW w:w="0" w:type="auto"/>
            <w:gridSpan w:val="3"/>
            <w:shd w:val="clear" w:color="auto" w:fill="E2EFD9"/>
            <w:tcMar>
              <w:top w:w="40" w:type="dxa"/>
              <w:left w:w="20" w:type="dxa"/>
              <w:bottom w:w="40" w:type="dxa"/>
              <w:right w:w="20" w:type="dxa"/>
            </w:tcMar>
            <w:vAlign w:val="bottom"/>
          </w:tcPr>
          <w:p w14:paraId="3693F22C" w14:textId="77777777" w:rsidR="003734EC" w:rsidRDefault="000E364E">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tcMar>
            <w:vAlign w:val="bottom"/>
          </w:tcPr>
          <w:p w14:paraId="3693F22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22E" w14:textId="77777777" w:rsidR="003734EC" w:rsidRDefault="000E364E">
            <w:pPr>
              <w:jc w:val="right"/>
              <w:textAlignment w:val="bottom"/>
            </w:pPr>
            <w:r>
              <w:rPr>
                <w:rFonts w:ascii="sans-serif" w:eastAsia="sans-serif" w:hAnsi="sans-serif" w:cs="sans-serif"/>
                <w:color w:val="000000"/>
                <w:sz w:val="20"/>
                <w:szCs w:val="20"/>
              </w:rPr>
              <w:t>432 </w:t>
            </w:r>
          </w:p>
        </w:tc>
        <w:tc>
          <w:tcPr>
            <w:tcW w:w="0" w:type="auto"/>
            <w:shd w:val="clear" w:color="auto" w:fill="E2EFD9"/>
            <w:tcMar>
              <w:top w:w="40" w:type="dxa"/>
              <w:bottom w:w="40" w:type="dxa"/>
              <w:right w:w="20" w:type="dxa"/>
            </w:tcMar>
            <w:vAlign w:val="bottom"/>
          </w:tcPr>
          <w:p w14:paraId="3693F22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230"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23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232" w14:textId="77777777" w:rsidR="003734EC" w:rsidRDefault="000E364E">
            <w:pPr>
              <w:jc w:val="right"/>
              <w:textAlignment w:val="bottom"/>
            </w:pPr>
            <w:r>
              <w:rPr>
                <w:rFonts w:ascii="sans-serif" w:eastAsia="sans-serif" w:hAnsi="sans-serif" w:cs="sans-serif"/>
                <w:color w:val="000000"/>
                <w:sz w:val="20"/>
                <w:szCs w:val="20"/>
              </w:rPr>
              <w:t>428 </w:t>
            </w:r>
          </w:p>
        </w:tc>
        <w:tc>
          <w:tcPr>
            <w:tcW w:w="0" w:type="auto"/>
            <w:shd w:val="clear" w:color="auto" w:fill="E2EFD9"/>
            <w:tcMar>
              <w:top w:w="40" w:type="dxa"/>
              <w:bottom w:w="40" w:type="dxa"/>
              <w:right w:w="20" w:type="dxa"/>
            </w:tcMar>
            <w:vAlign w:val="bottom"/>
          </w:tcPr>
          <w:p w14:paraId="3693F23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34" w14:textId="77777777" w:rsidR="003734EC" w:rsidRDefault="003734EC">
            <w:pPr>
              <w:rPr>
                <w:rFonts w:ascii="宋体"/>
              </w:rPr>
            </w:pPr>
          </w:p>
        </w:tc>
        <w:tc>
          <w:tcPr>
            <w:tcW w:w="0" w:type="auto"/>
            <w:shd w:val="clear" w:color="auto" w:fill="auto"/>
            <w:vAlign w:val="center"/>
          </w:tcPr>
          <w:p w14:paraId="3693F235" w14:textId="77777777" w:rsidR="003734EC" w:rsidRDefault="003734EC">
            <w:pPr>
              <w:rPr>
                <w:rFonts w:ascii="宋体"/>
              </w:rPr>
            </w:pPr>
          </w:p>
        </w:tc>
        <w:tc>
          <w:tcPr>
            <w:tcW w:w="0" w:type="auto"/>
            <w:shd w:val="clear" w:color="auto" w:fill="auto"/>
            <w:vAlign w:val="center"/>
          </w:tcPr>
          <w:p w14:paraId="3693F236" w14:textId="77777777" w:rsidR="003734EC" w:rsidRDefault="003734EC">
            <w:pPr>
              <w:rPr>
                <w:rFonts w:ascii="宋体"/>
              </w:rPr>
            </w:pPr>
          </w:p>
        </w:tc>
        <w:tc>
          <w:tcPr>
            <w:tcW w:w="0" w:type="auto"/>
            <w:shd w:val="clear" w:color="auto" w:fill="auto"/>
            <w:vAlign w:val="center"/>
          </w:tcPr>
          <w:p w14:paraId="3693F237" w14:textId="77777777" w:rsidR="003734EC" w:rsidRDefault="003734EC">
            <w:pPr>
              <w:rPr>
                <w:rFonts w:ascii="宋体"/>
              </w:rPr>
            </w:pPr>
          </w:p>
        </w:tc>
        <w:tc>
          <w:tcPr>
            <w:tcW w:w="0" w:type="auto"/>
            <w:shd w:val="clear" w:color="auto" w:fill="auto"/>
            <w:vAlign w:val="center"/>
          </w:tcPr>
          <w:p w14:paraId="3693F238" w14:textId="77777777" w:rsidR="003734EC" w:rsidRDefault="003734EC">
            <w:pPr>
              <w:rPr>
                <w:rFonts w:ascii="宋体"/>
              </w:rPr>
            </w:pPr>
          </w:p>
        </w:tc>
        <w:tc>
          <w:tcPr>
            <w:tcW w:w="0" w:type="auto"/>
            <w:shd w:val="clear" w:color="auto" w:fill="auto"/>
            <w:vAlign w:val="center"/>
          </w:tcPr>
          <w:p w14:paraId="3693F239" w14:textId="77777777" w:rsidR="003734EC" w:rsidRDefault="003734EC">
            <w:pPr>
              <w:rPr>
                <w:rFonts w:ascii="宋体"/>
              </w:rPr>
            </w:pPr>
          </w:p>
        </w:tc>
      </w:tr>
      <w:tr w:rsidR="003734EC" w14:paraId="3693F249" w14:textId="77777777">
        <w:tc>
          <w:tcPr>
            <w:tcW w:w="0" w:type="auto"/>
            <w:gridSpan w:val="3"/>
            <w:shd w:val="clear" w:color="auto" w:fill="FFFFFF"/>
            <w:tcMar>
              <w:top w:w="40" w:type="dxa"/>
              <w:left w:w="20" w:type="dxa"/>
              <w:bottom w:w="40" w:type="dxa"/>
              <w:right w:w="20" w:type="dxa"/>
            </w:tcMar>
            <w:vAlign w:val="bottom"/>
          </w:tcPr>
          <w:p w14:paraId="3693F23B" w14:textId="77777777" w:rsidR="003734EC" w:rsidRDefault="000E364E">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tcMar>
            <w:vAlign w:val="bottom"/>
          </w:tcPr>
          <w:p w14:paraId="3693F23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23D" w14:textId="77777777" w:rsidR="003734EC" w:rsidRDefault="000E364E">
            <w:pPr>
              <w:jc w:val="right"/>
              <w:textAlignment w:val="bottom"/>
            </w:pPr>
            <w:r>
              <w:rPr>
                <w:rFonts w:ascii="sans-serif" w:eastAsia="sans-serif" w:hAnsi="sans-serif" w:cs="sans-serif"/>
                <w:color w:val="000000"/>
                <w:sz w:val="20"/>
                <w:szCs w:val="20"/>
              </w:rPr>
              <w:t>244 </w:t>
            </w:r>
          </w:p>
        </w:tc>
        <w:tc>
          <w:tcPr>
            <w:tcW w:w="0" w:type="auto"/>
            <w:shd w:val="clear" w:color="auto" w:fill="FFFFFF"/>
            <w:tcMar>
              <w:top w:w="40" w:type="dxa"/>
              <w:bottom w:w="40" w:type="dxa"/>
              <w:right w:w="20" w:type="dxa"/>
            </w:tcMar>
            <w:vAlign w:val="bottom"/>
          </w:tcPr>
          <w:p w14:paraId="3693F23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23F"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240"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241" w14:textId="77777777" w:rsidR="003734EC" w:rsidRDefault="000E364E">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bottom w:w="40" w:type="dxa"/>
              <w:right w:w="20" w:type="dxa"/>
            </w:tcMar>
            <w:vAlign w:val="bottom"/>
          </w:tcPr>
          <w:p w14:paraId="3693F24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43" w14:textId="77777777" w:rsidR="003734EC" w:rsidRDefault="003734EC">
            <w:pPr>
              <w:rPr>
                <w:rFonts w:ascii="宋体"/>
              </w:rPr>
            </w:pPr>
          </w:p>
        </w:tc>
        <w:tc>
          <w:tcPr>
            <w:tcW w:w="0" w:type="auto"/>
            <w:shd w:val="clear" w:color="auto" w:fill="auto"/>
            <w:vAlign w:val="center"/>
          </w:tcPr>
          <w:p w14:paraId="3693F244" w14:textId="77777777" w:rsidR="003734EC" w:rsidRDefault="003734EC">
            <w:pPr>
              <w:rPr>
                <w:rFonts w:ascii="宋体"/>
              </w:rPr>
            </w:pPr>
          </w:p>
        </w:tc>
        <w:tc>
          <w:tcPr>
            <w:tcW w:w="0" w:type="auto"/>
            <w:shd w:val="clear" w:color="auto" w:fill="auto"/>
            <w:vAlign w:val="center"/>
          </w:tcPr>
          <w:p w14:paraId="3693F245" w14:textId="77777777" w:rsidR="003734EC" w:rsidRDefault="003734EC">
            <w:pPr>
              <w:rPr>
                <w:rFonts w:ascii="宋体"/>
              </w:rPr>
            </w:pPr>
          </w:p>
        </w:tc>
        <w:tc>
          <w:tcPr>
            <w:tcW w:w="0" w:type="auto"/>
            <w:shd w:val="clear" w:color="auto" w:fill="auto"/>
            <w:vAlign w:val="center"/>
          </w:tcPr>
          <w:p w14:paraId="3693F246" w14:textId="77777777" w:rsidR="003734EC" w:rsidRDefault="003734EC">
            <w:pPr>
              <w:rPr>
                <w:rFonts w:ascii="宋体"/>
              </w:rPr>
            </w:pPr>
          </w:p>
        </w:tc>
        <w:tc>
          <w:tcPr>
            <w:tcW w:w="0" w:type="auto"/>
            <w:shd w:val="clear" w:color="auto" w:fill="auto"/>
            <w:vAlign w:val="center"/>
          </w:tcPr>
          <w:p w14:paraId="3693F247" w14:textId="77777777" w:rsidR="003734EC" w:rsidRDefault="003734EC">
            <w:pPr>
              <w:rPr>
                <w:rFonts w:ascii="宋体"/>
              </w:rPr>
            </w:pPr>
          </w:p>
        </w:tc>
        <w:tc>
          <w:tcPr>
            <w:tcW w:w="0" w:type="auto"/>
            <w:shd w:val="clear" w:color="auto" w:fill="auto"/>
            <w:vAlign w:val="center"/>
          </w:tcPr>
          <w:p w14:paraId="3693F248" w14:textId="77777777" w:rsidR="003734EC" w:rsidRDefault="003734EC">
            <w:pPr>
              <w:rPr>
                <w:rFonts w:ascii="宋体"/>
              </w:rPr>
            </w:pPr>
          </w:p>
        </w:tc>
      </w:tr>
    </w:tbl>
    <w:p w14:paraId="3693F24A" w14:textId="77777777" w:rsidR="003734EC" w:rsidRDefault="000E364E">
      <w:pPr>
        <w:spacing w:before="360" w:after="180"/>
        <w:jc w:val="both"/>
      </w:pPr>
      <w:r>
        <w:rPr>
          <w:rFonts w:ascii="sans-serif" w:eastAsia="sans-serif" w:hAnsi="sans-serif" w:cs="sans-serif"/>
          <w:color w:val="000000"/>
          <w:sz w:val="20"/>
          <w:szCs w:val="20"/>
        </w:rPr>
        <w:t xml:space="preserve">As of April 26, 2020, all designated foreign currency forward </w:t>
      </w:r>
      <w:r>
        <w:rPr>
          <w:rFonts w:ascii="sans-serif" w:eastAsia="sans-serif" w:hAnsi="sans-serif" w:cs="sans-serif"/>
          <w:color w:val="000000"/>
          <w:sz w:val="20"/>
          <w:szCs w:val="20"/>
        </w:rPr>
        <w:t>contracts mature within eighteen months. The expected realized gains and losses deferred into accumulated other comprehensive loss related to foreign currency forward contracts within the next twelve months was not significant.</w:t>
      </w:r>
    </w:p>
    <w:p w14:paraId="3693F24B" w14:textId="77777777" w:rsidR="003734EC" w:rsidRDefault="000E364E">
      <w:pPr>
        <w:spacing w:after="180"/>
        <w:jc w:val="both"/>
      </w:pPr>
      <w:r>
        <w:rPr>
          <w:rFonts w:ascii="sans-serif" w:eastAsia="sans-serif" w:hAnsi="sans-serif" w:cs="sans-serif"/>
          <w:color w:val="000000"/>
          <w:sz w:val="20"/>
          <w:szCs w:val="20"/>
        </w:rPr>
        <w:t xml:space="preserve">During the first quarter of </w:t>
      </w:r>
      <w:r>
        <w:rPr>
          <w:rFonts w:ascii="sans-serif" w:eastAsia="sans-serif" w:hAnsi="sans-serif" w:cs="sans-serif"/>
          <w:color w:val="000000"/>
          <w:sz w:val="20"/>
          <w:szCs w:val="20"/>
        </w:rPr>
        <w:t>fiscal years 2021 and 2020, the impact of derivative financial instruments designated for hedge accounting treatment on other comprehensive income or loss was not significant and all such instruments were determined to be highly effective. Therefore, there</w:t>
      </w:r>
      <w:r>
        <w:rPr>
          <w:rFonts w:ascii="sans-serif" w:eastAsia="sans-serif" w:hAnsi="sans-serif" w:cs="sans-serif"/>
          <w:color w:val="000000"/>
          <w:sz w:val="20"/>
          <w:szCs w:val="20"/>
        </w:rPr>
        <w:t xml:space="preserve"> were no gains or losses associated with ineffectiveness.</w:t>
      </w:r>
    </w:p>
    <w:p w14:paraId="3693F24C" w14:textId="77777777" w:rsidR="003734EC" w:rsidRDefault="003734EC">
      <w:pPr>
        <w:spacing w:before="240" w:after="120"/>
        <w:jc w:val="both"/>
      </w:pPr>
    </w:p>
    <w:p w14:paraId="3693F24D" w14:textId="77777777" w:rsidR="003734EC" w:rsidRDefault="000E364E">
      <w:pPr>
        <w:spacing w:after="180"/>
        <w:jc w:val="center"/>
      </w:pPr>
      <w:r>
        <w:rPr>
          <w:rFonts w:ascii="sans-serif" w:eastAsia="sans-serif" w:hAnsi="sans-serif" w:cs="sans-serif"/>
          <w:color w:val="000000"/>
          <w:sz w:val="20"/>
          <w:szCs w:val="20"/>
        </w:rPr>
        <w:t>15</w:t>
      </w:r>
    </w:p>
    <w:p w14:paraId="3693F24E" w14:textId="77777777" w:rsidR="003734EC" w:rsidRDefault="000E364E">
      <w:r>
        <w:pict w14:anchorId="3693FF58">
          <v:rect id="_x0000_i1038" style="width:415.3pt;height:1.5pt" o:hralign="center" o:hrstd="t" o:hr="t" fillcolor="#a0a0a0" stroked="f"/>
        </w:pict>
      </w:r>
    </w:p>
    <w:p w14:paraId="3693F24F" w14:textId="77777777" w:rsidR="003734EC" w:rsidRDefault="000E364E">
      <w:pPr>
        <w:jc w:val="center"/>
      </w:pPr>
      <w:r>
        <w:rPr>
          <w:rFonts w:ascii="sans-serif" w:eastAsia="sans-serif" w:hAnsi="sans-serif" w:cs="sans-serif"/>
          <w:b/>
          <w:bCs/>
          <w:color w:val="000000"/>
          <w:sz w:val="20"/>
          <w:szCs w:val="20"/>
        </w:rPr>
        <w:t>NVIDIA CORPORATION AND SUBSIDIARIES</w:t>
      </w:r>
    </w:p>
    <w:p w14:paraId="3693F250"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251" w14:textId="77777777" w:rsidR="003734EC" w:rsidRDefault="000E364E">
      <w:pPr>
        <w:jc w:val="center"/>
      </w:pPr>
      <w:r>
        <w:rPr>
          <w:rFonts w:ascii="sans-serif" w:eastAsia="sans-serif" w:hAnsi="sans-serif" w:cs="sans-serif"/>
          <w:b/>
          <w:bCs/>
          <w:color w:val="000000"/>
          <w:sz w:val="20"/>
          <w:szCs w:val="20"/>
        </w:rPr>
        <w:t>(Unaudited)</w:t>
      </w:r>
    </w:p>
    <w:p w14:paraId="3693F252" w14:textId="77777777" w:rsidR="003734EC" w:rsidRDefault="003734EC">
      <w:pPr>
        <w:spacing w:after="180"/>
        <w:jc w:val="both"/>
      </w:pPr>
    </w:p>
    <w:p w14:paraId="3693F253" w14:textId="77777777" w:rsidR="003734EC" w:rsidRDefault="003734EC">
      <w:pPr>
        <w:spacing w:after="180"/>
        <w:jc w:val="both"/>
      </w:pPr>
    </w:p>
    <w:p w14:paraId="3693F254" w14:textId="77777777" w:rsidR="003734EC" w:rsidRDefault="000E364E">
      <w:pPr>
        <w:spacing w:before="240" w:after="120"/>
        <w:jc w:val="both"/>
      </w:pPr>
      <w:r>
        <w:rPr>
          <w:rFonts w:ascii="sans-serif" w:eastAsia="sans-serif" w:hAnsi="sans-serif" w:cs="sans-serif"/>
          <w:b/>
          <w:bCs/>
          <w:color w:val="76B900"/>
          <w:sz w:val="22"/>
          <w:szCs w:val="22"/>
        </w:rPr>
        <w:t>Note 12 - Debt</w:t>
      </w:r>
    </w:p>
    <w:p w14:paraId="3693F255" w14:textId="77777777" w:rsidR="003734EC" w:rsidRDefault="000E364E">
      <w:pPr>
        <w:spacing w:before="240" w:after="60"/>
        <w:jc w:val="both"/>
      </w:pPr>
      <w:r>
        <w:rPr>
          <w:rFonts w:ascii="sans-serif" w:eastAsia="sans-serif" w:hAnsi="sans-serif" w:cs="sans-serif"/>
          <w:b/>
          <w:bCs/>
          <w:color w:val="76B900"/>
          <w:sz w:val="20"/>
          <w:szCs w:val="20"/>
        </w:rPr>
        <w:t>Long-Term Debt</w:t>
      </w:r>
    </w:p>
    <w:p w14:paraId="3693F256" w14:textId="77777777" w:rsidR="003734EC" w:rsidRDefault="000E364E">
      <w:pPr>
        <w:spacing w:before="120" w:after="120"/>
        <w:jc w:val="both"/>
      </w:pPr>
      <w:r>
        <w:rPr>
          <w:rFonts w:ascii="sans-serif" w:eastAsia="sans-serif" w:hAnsi="sans-serif" w:cs="sans-serif"/>
          <w:color w:val="000000"/>
          <w:sz w:val="20"/>
          <w:szCs w:val="20"/>
        </w:rPr>
        <w:t xml:space="preserve">In March 2020, we issued </w:t>
      </w:r>
      <w:r>
        <w:rPr>
          <w:rFonts w:ascii="sans-serif" w:eastAsia="sans-serif" w:hAnsi="sans-serif" w:cs="sans-serif"/>
          <w:color w:val="000000"/>
          <w:sz w:val="20"/>
          <w:szCs w:val="20"/>
        </w:rPr>
        <w:t>$1.50 billion of the 2.85% Notes Due 2030, $1.00 billion of the 3.50% Notes Due 2040, $2.00 billion of the 3.50% Notes Due 2050, and $500 million of the 3.70% Notes Due 2060, or collectively, the March 2020 Notes. Interest on the March 2020 Notes is payabl</w:t>
      </w:r>
      <w:r>
        <w:rPr>
          <w:rFonts w:ascii="sans-serif" w:eastAsia="sans-serif" w:hAnsi="sans-serif" w:cs="sans-serif"/>
          <w:color w:val="000000"/>
          <w:sz w:val="20"/>
          <w:szCs w:val="20"/>
        </w:rPr>
        <w:t>e on April 1 and October 1 of each year, beginning on October 1, 2020. Upon 30 days' notice to holders of the Notes, we may redeem the Notes for cash prior to maturity, at redemption prices that include accrued and unpaid interest, if any, and a make-whole</w:t>
      </w:r>
      <w:r>
        <w:rPr>
          <w:rFonts w:ascii="sans-serif" w:eastAsia="sans-serif" w:hAnsi="sans-serif" w:cs="sans-serif"/>
          <w:color w:val="000000"/>
          <w:sz w:val="20"/>
          <w:szCs w:val="20"/>
        </w:rPr>
        <w:t xml:space="preserve"> premium. However, no make-whole premium will be paid for redemptions of the Notes Due 2030 on or after January 1, 2030, the Notes Due 2040 on or after October 1, 2039, the Notes Due 2050 on or after October 1, 2049, or the Notes Due 2060 on or after Octob</w:t>
      </w:r>
      <w:r>
        <w:rPr>
          <w:rFonts w:ascii="sans-serif" w:eastAsia="sans-serif" w:hAnsi="sans-serif" w:cs="sans-serif"/>
          <w:color w:val="000000"/>
          <w:sz w:val="20"/>
          <w:szCs w:val="20"/>
        </w:rPr>
        <w:t>er 1, 2059. The net proceeds from the March 2020 Notes were $4.97 billion, after deducting debt discount and estimated issuance costs.</w:t>
      </w:r>
    </w:p>
    <w:p w14:paraId="3693F257" w14:textId="77777777" w:rsidR="003734EC" w:rsidRDefault="000E364E">
      <w:pPr>
        <w:spacing w:before="120" w:after="120"/>
        <w:jc w:val="both"/>
      </w:pPr>
      <w:r>
        <w:rPr>
          <w:rFonts w:ascii="sans-serif" w:eastAsia="sans-serif" w:hAnsi="sans-serif" w:cs="sans-serif"/>
          <w:color w:val="000000"/>
          <w:sz w:val="20"/>
          <w:szCs w:val="20"/>
        </w:rPr>
        <w:t xml:space="preserve">In September 2016, we issued $1.00 billion of the 2.20% Notes Due 2021 and $1.00 billion of the 3.20% Notes Due 2026, or </w:t>
      </w:r>
      <w:r>
        <w:rPr>
          <w:rFonts w:ascii="sans-serif" w:eastAsia="sans-serif" w:hAnsi="sans-serif" w:cs="sans-serif"/>
          <w:color w:val="000000"/>
          <w:sz w:val="20"/>
          <w:szCs w:val="20"/>
        </w:rPr>
        <w:t>collectively, the September 2016 Notes. Interest on the September 2016 Notes is payable on March 16 and September 16 of each year. Upon 30 days' notice to holders of the Notes, we may redeem the Notes for cash prior to maturity, at redemption prices that i</w:t>
      </w:r>
      <w:r>
        <w:rPr>
          <w:rFonts w:ascii="sans-serif" w:eastAsia="sans-serif" w:hAnsi="sans-serif" w:cs="sans-serif"/>
          <w:color w:val="000000"/>
          <w:sz w:val="20"/>
          <w:szCs w:val="20"/>
        </w:rPr>
        <w:t>nclude accrued and unpaid interest, if any, and a make-whole premium. However, no make-whole premium will be paid for redemptions of the Notes Due 2021 on or after August 16, 2021, or for redemptions of the Notes Due 2026 on or after June 16, 2026. The net</w:t>
      </w:r>
      <w:r>
        <w:rPr>
          <w:rFonts w:ascii="sans-serif" w:eastAsia="sans-serif" w:hAnsi="sans-serif" w:cs="sans-serif"/>
          <w:color w:val="000000"/>
          <w:sz w:val="20"/>
          <w:szCs w:val="20"/>
        </w:rPr>
        <w:t xml:space="preserve"> proceeds from the September 2016 Notes were $1.98 billion, after deducting debt discount and issuance costs.</w:t>
      </w:r>
    </w:p>
    <w:p w14:paraId="3693F258" w14:textId="77777777" w:rsidR="003734EC" w:rsidRDefault="000E364E">
      <w:pPr>
        <w:spacing w:before="120" w:after="120"/>
        <w:jc w:val="both"/>
      </w:pPr>
      <w:r>
        <w:rPr>
          <w:rFonts w:ascii="sans-serif" w:eastAsia="sans-serif" w:hAnsi="sans-serif" w:cs="sans-serif"/>
          <w:color w:val="000000"/>
          <w:sz w:val="20"/>
          <w:szCs w:val="20"/>
        </w:rPr>
        <w:t>Both the September 2016 Notes and the March 2020 Notes, or collectively, the Notes, are our unsecured senior obligations and rank equally in right</w:t>
      </w:r>
      <w:r>
        <w:rPr>
          <w:rFonts w:ascii="sans-serif" w:eastAsia="sans-serif" w:hAnsi="sans-serif" w:cs="sans-serif"/>
          <w:color w:val="000000"/>
          <w:sz w:val="20"/>
          <w:szCs w:val="20"/>
        </w:rPr>
        <w:t xml:space="preserve"> of payment with all existing and future unsecured and unsubordinated indebtedness. The Notes are structurally subordinated to the liabilities of our subsidiaries and are effectively subordinated to any secured indebtedness to the extent of the value of th</w:t>
      </w:r>
      <w:r>
        <w:rPr>
          <w:rFonts w:ascii="sans-serif" w:eastAsia="sans-serif" w:hAnsi="sans-serif" w:cs="sans-serif"/>
          <w:color w:val="000000"/>
          <w:sz w:val="20"/>
          <w:szCs w:val="20"/>
        </w:rPr>
        <w:t>e assets securing such indebtedness. All existing and future liabilities of our subsidiaries will be effectively senior to the Notes.</w:t>
      </w:r>
    </w:p>
    <w:p w14:paraId="3693F259" w14:textId="77777777" w:rsidR="003734EC" w:rsidRDefault="000E364E">
      <w:pPr>
        <w:spacing w:after="180"/>
        <w:jc w:val="both"/>
      </w:pPr>
      <w:r>
        <w:rPr>
          <w:rFonts w:ascii="sans-serif" w:eastAsia="sans-serif" w:hAnsi="sans-serif" w:cs="sans-serif"/>
          <w:color w:val="000000"/>
          <w:sz w:val="20"/>
          <w:szCs w:val="20"/>
        </w:rPr>
        <w:t>The carrying value of the Notes and the associated interest rates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556"/>
        <w:gridCol w:w="60"/>
        <w:gridCol w:w="36"/>
        <w:gridCol w:w="36"/>
        <w:gridCol w:w="36"/>
        <w:gridCol w:w="66"/>
        <w:gridCol w:w="937"/>
        <w:gridCol w:w="65"/>
        <w:gridCol w:w="36"/>
        <w:gridCol w:w="42"/>
        <w:gridCol w:w="36"/>
        <w:gridCol w:w="62"/>
        <w:gridCol w:w="825"/>
        <w:gridCol w:w="61"/>
        <w:gridCol w:w="36"/>
        <w:gridCol w:w="44"/>
        <w:gridCol w:w="36"/>
        <w:gridCol w:w="137"/>
        <w:gridCol w:w="778"/>
        <w:gridCol w:w="81"/>
        <w:gridCol w:w="36"/>
        <w:gridCol w:w="36"/>
        <w:gridCol w:w="36"/>
        <w:gridCol w:w="137"/>
        <w:gridCol w:w="770"/>
        <w:gridCol w:w="81"/>
        <w:gridCol w:w="36"/>
        <w:gridCol w:w="36"/>
        <w:gridCol w:w="36"/>
        <w:gridCol w:w="36"/>
        <w:gridCol w:w="36"/>
        <w:gridCol w:w="36"/>
      </w:tblGrid>
      <w:tr w:rsidR="003734EC" w14:paraId="3693F275" w14:textId="77777777">
        <w:trPr>
          <w:gridAfter w:val="6"/>
          <w:jc w:val="center"/>
        </w:trPr>
        <w:tc>
          <w:tcPr>
            <w:tcW w:w="50" w:type="pct"/>
            <w:shd w:val="clear" w:color="auto" w:fill="auto"/>
            <w:vAlign w:val="center"/>
          </w:tcPr>
          <w:p w14:paraId="3693F25A" w14:textId="77777777" w:rsidR="003734EC" w:rsidRDefault="003734EC">
            <w:pPr>
              <w:rPr>
                <w:rFonts w:ascii="宋体"/>
              </w:rPr>
            </w:pPr>
          </w:p>
        </w:tc>
        <w:tc>
          <w:tcPr>
            <w:tcW w:w="2202" w:type="pct"/>
            <w:shd w:val="clear" w:color="auto" w:fill="auto"/>
            <w:vAlign w:val="center"/>
          </w:tcPr>
          <w:p w14:paraId="3693F25B" w14:textId="77777777" w:rsidR="003734EC" w:rsidRDefault="003734EC">
            <w:pPr>
              <w:rPr>
                <w:rFonts w:ascii="宋体"/>
              </w:rPr>
            </w:pPr>
          </w:p>
        </w:tc>
        <w:tc>
          <w:tcPr>
            <w:tcW w:w="50" w:type="pct"/>
            <w:shd w:val="clear" w:color="auto" w:fill="auto"/>
            <w:vAlign w:val="center"/>
          </w:tcPr>
          <w:p w14:paraId="3693F25C" w14:textId="77777777" w:rsidR="003734EC" w:rsidRDefault="003734EC">
            <w:pPr>
              <w:rPr>
                <w:rFonts w:ascii="宋体"/>
              </w:rPr>
            </w:pPr>
          </w:p>
        </w:tc>
        <w:tc>
          <w:tcPr>
            <w:tcW w:w="5" w:type="pct"/>
            <w:shd w:val="clear" w:color="auto" w:fill="auto"/>
            <w:vAlign w:val="center"/>
          </w:tcPr>
          <w:p w14:paraId="3693F25D" w14:textId="77777777" w:rsidR="003734EC" w:rsidRDefault="003734EC">
            <w:pPr>
              <w:rPr>
                <w:rFonts w:ascii="宋体"/>
              </w:rPr>
            </w:pPr>
          </w:p>
        </w:tc>
        <w:tc>
          <w:tcPr>
            <w:tcW w:w="26" w:type="pct"/>
            <w:shd w:val="clear" w:color="auto" w:fill="auto"/>
            <w:vAlign w:val="center"/>
          </w:tcPr>
          <w:p w14:paraId="3693F25E" w14:textId="77777777" w:rsidR="003734EC" w:rsidRDefault="003734EC">
            <w:pPr>
              <w:rPr>
                <w:rFonts w:ascii="宋体"/>
              </w:rPr>
            </w:pPr>
          </w:p>
        </w:tc>
        <w:tc>
          <w:tcPr>
            <w:tcW w:w="5" w:type="pct"/>
            <w:shd w:val="clear" w:color="auto" w:fill="auto"/>
            <w:vAlign w:val="center"/>
          </w:tcPr>
          <w:p w14:paraId="3693F25F" w14:textId="77777777" w:rsidR="003734EC" w:rsidRDefault="003734EC">
            <w:pPr>
              <w:rPr>
                <w:rFonts w:ascii="宋体"/>
              </w:rPr>
            </w:pPr>
          </w:p>
        </w:tc>
        <w:tc>
          <w:tcPr>
            <w:tcW w:w="50" w:type="pct"/>
            <w:shd w:val="clear" w:color="auto" w:fill="auto"/>
            <w:vAlign w:val="center"/>
          </w:tcPr>
          <w:p w14:paraId="3693F260" w14:textId="77777777" w:rsidR="003734EC" w:rsidRDefault="003734EC">
            <w:pPr>
              <w:rPr>
                <w:rFonts w:ascii="宋体"/>
              </w:rPr>
            </w:pPr>
          </w:p>
        </w:tc>
        <w:tc>
          <w:tcPr>
            <w:tcW w:w="601" w:type="pct"/>
            <w:shd w:val="clear" w:color="auto" w:fill="auto"/>
            <w:vAlign w:val="center"/>
          </w:tcPr>
          <w:p w14:paraId="3693F261" w14:textId="77777777" w:rsidR="003734EC" w:rsidRDefault="003734EC">
            <w:pPr>
              <w:rPr>
                <w:rFonts w:ascii="宋体"/>
              </w:rPr>
            </w:pPr>
          </w:p>
        </w:tc>
        <w:tc>
          <w:tcPr>
            <w:tcW w:w="50" w:type="pct"/>
            <w:shd w:val="clear" w:color="auto" w:fill="auto"/>
            <w:vAlign w:val="center"/>
          </w:tcPr>
          <w:p w14:paraId="3693F262" w14:textId="77777777" w:rsidR="003734EC" w:rsidRDefault="003734EC">
            <w:pPr>
              <w:rPr>
                <w:rFonts w:ascii="宋体"/>
              </w:rPr>
            </w:pPr>
          </w:p>
        </w:tc>
        <w:tc>
          <w:tcPr>
            <w:tcW w:w="5" w:type="pct"/>
            <w:shd w:val="clear" w:color="auto" w:fill="auto"/>
            <w:vAlign w:val="center"/>
          </w:tcPr>
          <w:p w14:paraId="3693F263" w14:textId="77777777" w:rsidR="003734EC" w:rsidRDefault="003734EC">
            <w:pPr>
              <w:rPr>
                <w:rFonts w:ascii="宋体"/>
              </w:rPr>
            </w:pPr>
          </w:p>
        </w:tc>
        <w:tc>
          <w:tcPr>
            <w:tcW w:w="41" w:type="pct"/>
            <w:shd w:val="clear" w:color="auto" w:fill="auto"/>
            <w:vAlign w:val="center"/>
          </w:tcPr>
          <w:p w14:paraId="3693F264" w14:textId="77777777" w:rsidR="003734EC" w:rsidRDefault="003734EC">
            <w:pPr>
              <w:rPr>
                <w:rFonts w:ascii="宋体"/>
              </w:rPr>
            </w:pPr>
          </w:p>
        </w:tc>
        <w:tc>
          <w:tcPr>
            <w:tcW w:w="5" w:type="pct"/>
            <w:shd w:val="clear" w:color="auto" w:fill="auto"/>
            <w:vAlign w:val="center"/>
          </w:tcPr>
          <w:p w14:paraId="3693F265" w14:textId="77777777" w:rsidR="003734EC" w:rsidRDefault="003734EC">
            <w:pPr>
              <w:rPr>
                <w:rFonts w:ascii="宋体"/>
              </w:rPr>
            </w:pPr>
          </w:p>
        </w:tc>
        <w:tc>
          <w:tcPr>
            <w:tcW w:w="50" w:type="pct"/>
            <w:shd w:val="clear" w:color="auto" w:fill="auto"/>
            <w:vAlign w:val="center"/>
          </w:tcPr>
          <w:p w14:paraId="3693F266" w14:textId="77777777" w:rsidR="003734EC" w:rsidRDefault="003734EC">
            <w:pPr>
              <w:rPr>
                <w:rFonts w:ascii="宋体"/>
              </w:rPr>
            </w:pPr>
          </w:p>
        </w:tc>
        <w:tc>
          <w:tcPr>
            <w:tcW w:w="521" w:type="pct"/>
            <w:shd w:val="clear" w:color="auto" w:fill="auto"/>
            <w:vAlign w:val="center"/>
          </w:tcPr>
          <w:p w14:paraId="3693F267" w14:textId="77777777" w:rsidR="003734EC" w:rsidRDefault="003734EC">
            <w:pPr>
              <w:rPr>
                <w:rFonts w:ascii="宋体"/>
              </w:rPr>
            </w:pPr>
          </w:p>
        </w:tc>
        <w:tc>
          <w:tcPr>
            <w:tcW w:w="50" w:type="pct"/>
            <w:shd w:val="clear" w:color="auto" w:fill="auto"/>
            <w:vAlign w:val="center"/>
          </w:tcPr>
          <w:p w14:paraId="3693F268" w14:textId="77777777" w:rsidR="003734EC" w:rsidRDefault="003734EC">
            <w:pPr>
              <w:rPr>
                <w:rFonts w:ascii="宋体"/>
              </w:rPr>
            </w:pPr>
          </w:p>
        </w:tc>
        <w:tc>
          <w:tcPr>
            <w:tcW w:w="5" w:type="pct"/>
            <w:shd w:val="clear" w:color="auto" w:fill="auto"/>
            <w:vAlign w:val="center"/>
          </w:tcPr>
          <w:p w14:paraId="3693F269" w14:textId="77777777" w:rsidR="003734EC" w:rsidRDefault="003734EC">
            <w:pPr>
              <w:rPr>
                <w:rFonts w:ascii="宋体"/>
              </w:rPr>
            </w:pPr>
          </w:p>
        </w:tc>
        <w:tc>
          <w:tcPr>
            <w:tcW w:w="41" w:type="pct"/>
            <w:shd w:val="clear" w:color="auto" w:fill="auto"/>
            <w:vAlign w:val="center"/>
          </w:tcPr>
          <w:p w14:paraId="3693F26A" w14:textId="77777777" w:rsidR="003734EC" w:rsidRDefault="003734EC">
            <w:pPr>
              <w:rPr>
                <w:rFonts w:ascii="宋体"/>
              </w:rPr>
            </w:pPr>
          </w:p>
        </w:tc>
        <w:tc>
          <w:tcPr>
            <w:tcW w:w="5" w:type="pct"/>
            <w:shd w:val="clear" w:color="auto" w:fill="auto"/>
            <w:vAlign w:val="center"/>
          </w:tcPr>
          <w:p w14:paraId="3693F26B" w14:textId="77777777" w:rsidR="003734EC" w:rsidRDefault="003734EC">
            <w:pPr>
              <w:rPr>
                <w:rFonts w:ascii="宋体"/>
              </w:rPr>
            </w:pPr>
          </w:p>
        </w:tc>
        <w:tc>
          <w:tcPr>
            <w:tcW w:w="50" w:type="pct"/>
            <w:shd w:val="clear" w:color="auto" w:fill="auto"/>
            <w:vAlign w:val="center"/>
          </w:tcPr>
          <w:p w14:paraId="3693F26C" w14:textId="77777777" w:rsidR="003734EC" w:rsidRDefault="003734EC">
            <w:pPr>
              <w:rPr>
                <w:rFonts w:ascii="宋体"/>
              </w:rPr>
            </w:pPr>
          </w:p>
        </w:tc>
        <w:tc>
          <w:tcPr>
            <w:tcW w:w="492" w:type="pct"/>
            <w:shd w:val="clear" w:color="auto" w:fill="auto"/>
            <w:vAlign w:val="center"/>
          </w:tcPr>
          <w:p w14:paraId="3693F26D" w14:textId="77777777" w:rsidR="003734EC" w:rsidRDefault="003734EC">
            <w:pPr>
              <w:rPr>
                <w:rFonts w:ascii="宋体"/>
              </w:rPr>
            </w:pPr>
          </w:p>
        </w:tc>
        <w:tc>
          <w:tcPr>
            <w:tcW w:w="50" w:type="pct"/>
            <w:shd w:val="clear" w:color="auto" w:fill="auto"/>
            <w:vAlign w:val="center"/>
          </w:tcPr>
          <w:p w14:paraId="3693F26E" w14:textId="77777777" w:rsidR="003734EC" w:rsidRDefault="003734EC">
            <w:pPr>
              <w:rPr>
                <w:rFonts w:ascii="宋体"/>
              </w:rPr>
            </w:pPr>
          </w:p>
        </w:tc>
        <w:tc>
          <w:tcPr>
            <w:tcW w:w="5" w:type="pct"/>
            <w:shd w:val="clear" w:color="auto" w:fill="auto"/>
            <w:vAlign w:val="center"/>
          </w:tcPr>
          <w:p w14:paraId="3693F26F" w14:textId="77777777" w:rsidR="003734EC" w:rsidRDefault="003734EC">
            <w:pPr>
              <w:rPr>
                <w:rFonts w:ascii="宋体"/>
              </w:rPr>
            </w:pPr>
          </w:p>
        </w:tc>
        <w:tc>
          <w:tcPr>
            <w:tcW w:w="41" w:type="pct"/>
            <w:shd w:val="clear" w:color="auto" w:fill="auto"/>
            <w:vAlign w:val="center"/>
          </w:tcPr>
          <w:p w14:paraId="3693F270" w14:textId="77777777" w:rsidR="003734EC" w:rsidRDefault="003734EC">
            <w:pPr>
              <w:rPr>
                <w:rFonts w:ascii="宋体"/>
              </w:rPr>
            </w:pPr>
          </w:p>
        </w:tc>
        <w:tc>
          <w:tcPr>
            <w:tcW w:w="5" w:type="pct"/>
            <w:shd w:val="clear" w:color="auto" w:fill="auto"/>
            <w:vAlign w:val="center"/>
          </w:tcPr>
          <w:p w14:paraId="3693F271" w14:textId="77777777" w:rsidR="003734EC" w:rsidRDefault="003734EC">
            <w:pPr>
              <w:rPr>
                <w:rFonts w:ascii="宋体"/>
              </w:rPr>
            </w:pPr>
          </w:p>
        </w:tc>
        <w:tc>
          <w:tcPr>
            <w:tcW w:w="50" w:type="pct"/>
            <w:shd w:val="clear" w:color="auto" w:fill="auto"/>
            <w:vAlign w:val="center"/>
          </w:tcPr>
          <w:p w14:paraId="3693F272" w14:textId="77777777" w:rsidR="003734EC" w:rsidRDefault="003734EC">
            <w:pPr>
              <w:rPr>
                <w:rFonts w:ascii="宋体"/>
              </w:rPr>
            </w:pPr>
          </w:p>
        </w:tc>
        <w:tc>
          <w:tcPr>
            <w:tcW w:w="492" w:type="pct"/>
            <w:shd w:val="clear" w:color="auto" w:fill="auto"/>
            <w:vAlign w:val="center"/>
          </w:tcPr>
          <w:p w14:paraId="3693F273" w14:textId="77777777" w:rsidR="003734EC" w:rsidRDefault="003734EC">
            <w:pPr>
              <w:rPr>
                <w:rFonts w:ascii="宋体"/>
              </w:rPr>
            </w:pPr>
          </w:p>
        </w:tc>
        <w:tc>
          <w:tcPr>
            <w:tcW w:w="50" w:type="pct"/>
            <w:shd w:val="clear" w:color="auto" w:fill="auto"/>
            <w:vAlign w:val="center"/>
          </w:tcPr>
          <w:p w14:paraId="3693F274" w14:textId="77777777" w:rsidR="003734EC" w:rsidRDefault="003734EC">
            <w:pPr>
              <w:rPr>
                <w:rFonts w:ascii="宋体"/>
              </w:rPr>
            </w:pPr>
          </w:p>
        </w:tc>
      </w:tr>
      <w:tr w:rsidR="003734EC" w14:paraId="3693F280" w14:textId="77777777">
        <w:trPr>
          <w:gridAfter w:val="6"/>
          <w:jc w:val="center"/>
        </w:trPr>
        <w:tc>
          <w:tcPr>
            <w:tcW w:w="0" w:type="auto"/>
            <w:gridSpan w:val="3"/>
            <w:shd w:val="clear" w:color="auto" w:fill="auto"/>
            <w:tcMar>
              <w:left w:w="20" w:type="dxa"/>
              <w:right w:w="20" w:type="dxa"/>
            </w:tcMar>
            <w:vAlign w:val="bottom"/>
          </w:tcPr>
          <w:p w14:paraId="3693F27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277"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278" w14:textId="77777777" w:rsidR="003734EC" w:rsidRDefault="000E364E">
            <w:pPr>
              <w:jc w:val="center"/>
              <w:textAlignment w:val="bottom"/>
            </w:pPr>
            <w:r>
              <w:rPr>
                <w:rFonts w:ascii="sans-serif" w:eastAsia="sans-serif" w:hAnsi="sans-serif" w:cs="sans-serif"/>
                <w:b/>
                <w:bCs/>
                <w:color w:val="000000"/>
                <w:sz w:val="20"/>
                <w:szCs w:val="20"/>
              </w:rPr>
              <w:t>Expected</w:t>
            </w:r>
          </w:p>
          <w:p w14:paraId="3693F279" w14:textId="77777777" w:rsidR="003734EC" w:rsidRDefault="000E364E">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left w:w="20" w:type="dxa"/>
              <w:right w:w="20" w:type="dxa"/>
            </w:tcMar>
            <w:vAlign w:val="bottom"/>
          </w:tcPr>
          <w:p w14:paraId="3693F27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27B" w14:textId="77777777" w:rsidR="003734EC" w:rsidRDefault="000E364E">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left w:w="20" w:type="dxa"/>
              <w:right w:w="20" w:type="dxa"/>
            </w:tcMar>
            <w:vAlign w:val="bottom"/>
          </w:tcPr>
          <w:p w14:paraId="3693F27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27D"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tcMar>
              <w:left w:w="20" w:type="dxa"/>
              <w:right w:w="20" w:type="dxa"/>
            </w:tcMar>
            <w:vAlign w:val="bottom"/>
          </w:tcPr>
          <w:p w14:paraId="3693F27E"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27F" w14:textId="77777777" w:rsidR="003734EC" w:rsidRDefault="000E364E">
            <w:pPr>
              <w:jc w:val="center"/>
              <w:textAlignment w:val="bottom"/>
            </w:pPr>
            <w:r>
              <w:rPr>
                <w:rFonts w:ascii="sans-serif" w:eastAsia="sans-serif" w:hAnsi="sans-serif" w:cs="sans-serif"/>
                <w:b/>
                <w:bCs/>
                <w:color w:val="000000"/>
                <w:sz w:val="20"/>
                <w:szCs w:val="20"/>
              </w:rPr>
              <w:t>January 26, 2020</w:t>
            </w:r>
          </w:p>
        </w:tc>
      </w:tr>
      <w:tr w:rsidR="003734EC" w14:paraId="3693F28A" w14:textId="77777777">
        <w:trPr>
          <w:jc w:val="center"/>
        </w:trPr>
        <w:tc>
          <w:tcPr>
            <w:tcW w:w="0" w:type="auto"/>
            <w:gridSpan w:val="3"/>
            <w:shd w:val="clear" w:color="auto" w:fill="auto"/>
            <w:tcMar>
              <w:left w:w="20" w:type="dxa"/>
              <w:right w:w="20" w:type="dxa"/>
            </w:tcMar>
            <w:vAlign w:val="bottom"/>
          </w:tcPr>
          <w:p w14:paraId="3693F28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282"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F28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284"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F28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286"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287"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288" w14:textId="77777777" w:rsidR="003734EC" w:rsidRDefault="003734EC">
            <w:pPr>
              <w:rPr>
                <w:rFonts w:ascii="宋体"/>
                <w:vanish/>
              </w:rPr>
            </w:pPr>
          </w:p>
        </w:tc>
        <w:tc>
          <w:tcPr>
            <w:tcW w:w="0" w:type="auto"/>
            <w:gridSpan w:val="3"/>
            <w:shd w:val="clear" w:color="auto" w:fill="auto"/>
            <w:vAlign w:val="center"/>
          </w:tcPr>
          <w:p w14:paraId="3693F289" w14:textId="77777777" w:rsidR="003734EC" w:rsidRDefault="003734EC">
            <w:pPr>
              <w:rPr>
                <w:rFonts w:ascii="宋体"/>
                <w:vanish/>
              </w:rPr>
            </w:pPr>
          </w:p>
        </w:tc>
      </w:tr>
      <w:tr w:rsidR="003734EC" w14:paraId="3693F29E" w14:textId="77777777">
        <w:trPr>
          <w:jc w:val="center"/>
        </w:trPr>
        <w:tc>
          <w:tcPr>
            <w:tcW w:w="0" w:type="auto"/>
            <w:gridSpan w:val="3"/>
            <w:shd w:val="clear" w:color="auto" w:fill="E2EFD9"/>
            <w:tcMar>
              <w:top w:w="40" w:type="dxa"/>
              <w:left w:w="20" w:type="dxa"/>
              <w:bottom w:w="40" w:type="dxa"/>
              <w:right w:w="20" w:type="dxa"/>
            </w:tcMar>
            <w:vAlign w:val="center"/>
          </w:tcPr>
          <w:p w14:paraId="3693F28B" w14:textId="77777777" w:rsidR="003734EC" w:rsidRDefault="000E364E">
            <w:pP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left w:w="20" w:type="dxa"/>
              <w:right w:w="20" w:type="dxa"/>
            </w:tcMar>
            <w:vAlign w:val="bottom"/>
          </w:tcPr>
          <w:p w14:paraId="3693F28C"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28D" w14:textId="77777777" w:rsidR="003734EC" w:rsidRDefault="000E364E">
            <w:pPr>
              <w:jc w:val="center"/>
              <w:textAlignment w:val="bottom"/>
            </w:pPr>
            <w:r>
              <w:rPr>
                <w:rFonts w:ascii="sans-serif" w:eastAsia="sans-serif" w:hAnsi="sans-serif" w:cs="sans-serif"/>
                <w:color w:val="000000"/>
                <w:sz w:val="20"/>
                <w:szCs w:val="20"/>
              </w:rPr>
              <w:t>1.4</w:t>
            </w:r>
          </w:p>
        </w:tc>
        <w:tc>
          <w:tcPr>
            <w:tcW w:w="0" w:type="auto"/>
            <w:gridSpan w:val="3"/>
            <w:shd w:val="clear" w:color="auto" w:fill="E2EFD9"/>
            <w:tcMar>
              <w:left w:w="20" w:type="dxa"/>
              <w:right w:w="20" w:type="dxa"/>
            </w:tcMar>
            <w:vAlign w:val="bottom"/>
          </w:tcPr>
          <w:p w14:paraId="3693F28E"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28F" w14:textId="77777777" w:rsidR="003734EC" w:rsidRDefault="000E364E">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left w:w="20" w:type="dxa"/>
              <w:right w:w="20" w:type="dxa"/>
            </w:tcMar>
            <w:vAlign w:val="bottom"/>
          </w:tcPr>
          <w:p w14:paraId="3693F290"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29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292"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bottom w:w="40" w:type="dxa"/>
              <w:right w:w="20" w:type="dxa"/>
            </w:tcMar>
            <w:vAlign w:val="bottom"/>
          </w:tcPr>
          <w:p w14:paraId="3693F29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294"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29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296"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bottom w:w="40" w:type="dxa"/>
              <w:right w:w="20" w:type="dxa"/>
            </w:tcMar>
            <w:vAlign w:val="bottom"/>
          </w:tcPr>
          <w:p w14:paraId="3693F29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98" w14:textId="77777777" w:rsidR="003734EC" w:rsidRDefault="003734EC">
            <w:pPr>
              <w:rPr>
                <w:rFonts w:ascii="宋体"/>
              </w:rPr>
            </w:pPr>
          </w:p>
        </w:tc>
        <w:tc>
          <w:tcPr>
            <w:tcW w:w="0" w:type="auto"/>
            <w:shd w:val="clear" w:color="auto" w:fill="auto"/>
            <w:vAlign w:val="center"/>
          </w:tcPr>
          <w:p w14:paraId="3693F299" w14:textId="77777777" w:rsidR="003734EC" w:rsidRDefault="003734EC">
            <w:pPr>
              <w:rPr>
                <w:rFonts w:ascii="宋体"/>
              </w:rPr>
            </w:pPr>
          </w:p>
        </w:tc>
        <w:tc>
          <w:tcPr>
            <w:tcW w:w="0" w:type="auto"/>
            <w:shd w:val="clear" w:color="auto" w:fill="auto"/>
            <w:vAlign w:val="center"/>
          </w:tcPr>
          <w:p w14:paraId="3693F29A" w14:textId="77777777" w:rsidR="003734EC" w:rsidRDefault="003734EC">
            <w:pPr>
              <w:rPr>
                <w:rFonts w:ascii="宋体"/>
              </w:rPr>
            </w:pPr>
          </w:p>
        </w:tc>
        <w:tc>
          <w:tcPr>
            <w:tcW w:w="0" w:type="auto"/>
            <w:shd w:val="clear" w:color="auto" w:fill="auto"/>
            <w:vAlign w:val="center"/>
          </w:tcPr>
          <w:p w14:paraId="3693F29B" w14:textId="77777777" w:rsidR="003734EC" w:rsidRDefault="003734EC">
            <w:pPr>
              <w:rPr>
                <w:rFonts w:ascii="宋体"/>
              </w:rPr>
            </w:pPr>
          </w:p>
        </w:tc>
        <w:tc>
          <w:tcPr>
            <w:tcW w:w="0" w:type="auto"/>
            <w:shd w:val="clear" w:color="auto" w:fill="auto"/>
            <w:vAlign w:val="center"/>
          </w:tcPr>
          <w:p w14:paraId="3693F29C" w14:textId="77777777" w:rsidR="003734EC" w:rsidRDefault="003734EC">
            <w:pPr>
              <w:rPr>
                <w:rFonts w:ascii="宋体"/>
              </w:rPr>
            </w:pPr>
          </w:p>
        </w:tc>
        <w:tc>
          <w:tcPr>
            <w:tcW w:w="0" w:type="auto"/>
            <w:shd w:val="clear" w:color="auto" w:fill="auto"/>
            <w:vAlign w:val="center"/>
          </w:tcPr>
          <w:p w14:paraId="3693F29D" w14:textId="77777777" w:rsidR="003734EC" w:rsidRDefault="003734EC">
            <w:pPr>
              <w:rPr>
                <w:rFonts w:ascii="宋体"/>
              </w:rPr>
            </w:pPr>
          </w:p>
        </w:tc>
      </w:tr>
      <w:tr w:rsidR="003734EC" w14:paraId="3693F2B0" w14:textId="77777777">
        <w:trPr>
          <w:jc w:val="center"/>
        </w:trPr>
        <w:tc>
          <w:tcPr>
            <w:tcW w:w="0" w:type="auto"/>
            <w:gridSpan w:val="3"/>
            <w:shd w:val="clear" w:color="auto" w:fill="FFFFFF"/>
            <w:tcMar>
              <w:top w:w="40" w:type="dxa"/>
              <w:left w:w="20" w:type="dxa"/>
              <w:bottom w:w="40" w:type="dxa"/>
              <w:right w:w="20" w:type="dxa"/>
            </w:tcMar>
            <w:vAlign w:val="center"/>
          </w:tcPr>
          <w:p w14:paraId="3693F29F" w14:textId="77777777" w:rsidR="003734EC" w:rsidRDefault="000E364E">
            <w:pP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left w:w="20" w:type="dxa"/>
              <w:right w:w="20" w:type="dxa"/>
            </w:tcMar>
            <w:vAlign w:val="bottom"/>
          </w:tcPr>
          <w:p w14:paraId="3693F2A0"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2A1" w14:textId="77777777" w:rsidR="003734EC" w:rsidRDefault="000E364E">
            <w:pPr>
              <w:jc w:val="center"/>
              <w:textAlignment w:val="bottom"/>
            </w:pPr>
            <w:r>
              <w:rPr>
                <w:rFonts w:ascii="sans-serif" w:eastAsia="sans-serif" w:hAnsi="sans-serif" w:cs="sans-serif"/>
                <w:color w:val="000000"/>
                <w:sz w:val="20"/>
                <w:szCs w:val="20"/>
              </w:rPr>
              <w:t>6.4</w:t>
            </w:r>
          </w:p>
        </w:tc>
        <w:tc>
          <w:tcPr>
            <w:tcW w:w="0" w:type="auto"/>
            <w:gridSpan w:val="3"/>
            <w:shd w:val="clear" w:color="auto" w:fill="FFFFFF"/>
            <w:tcMar>
              <w:left w:w="20" w:type="dxa"/>
              <w:right w:w="20" w:type="dxa"/>
            </w:tcMar>
            <w:vAlign w:val="bottom"/>
          </w:tcPr>
          <w:p w14:paraId="3693F2A2"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2A3" w14:textId="77777777" w:rsidR="003734EC" w:rsidRDefault="000E364E">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left w:w="20" w:type="dxa"/>
              <w:right w:w="20" w:type="dxa"/>
            </w:tcMar>
            <w:vAlign w:val="bottom"/>
          </w:tcPr>
          <w:p w14:paraId="3693F2A4"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A5"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3693F2A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2A7"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A8"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3693F2A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AA" w14:textId="77777777" w:rsidR="003734EC" w:rsidRDefault="003734EC">
            <w:pPr>
              <w:rPr>
                <w:rFonts w:ascii="宋体"/>
              </w:rPr>
            </w:pPr>
          </w:p>
        </w:tc>
        <w:tc>
          <w:tcPr>
            <w:tcW w:w="0" w:type="auto"/>
            <w:shd w:val="clear" w:color="auto" w:fill="auto"/>
            <w:vAlign w:val="center"/>
          </w:tcPr>
          <w:p w14:paraId="3693F2AB" w14:textId="77777777" w:rsidR="003734EC" w:rsidRDefault="003734EC">
            <w:pPr>
              <w:rPr>
                <w:rFonts w:ascii="宋体"/>
              </w:rPr>
            </w:pPr>
          </w:p>
        </w:tc>
        <w:tc>
          <w:tcPr>
            <w:tcW w:w="0" w:type="auto"/>
            <w:shd w:val="clear" w:color="auto" w:fill="auto"/>
            <w:vAlign w:val="center"/>
          </w:tcPr>
          <w:p w14:paraId="3693F2AC" w14:textId="77777777" w:rsidR="003734EC" w:rsidRDefault="003734EC">
            <w:pPr>
              <w:rPr>
                <w:rFonts w:ascii="宋体"/>
              </w:rPr>
            </w:pPr>
          </w:p>
        </w:tc>
        <w:tc>
          <w:tcPr>
            <w:tcW w:w="0" w:type="auto"/>
            <w:shd w:val="clear" w:color="auto" w:fill="auto"/>
            <w:vAlign w:val="center"/>
          </w:tcPr>
          <w:p w14:paraId="3693F2AD" w14:textId="77777777" w:rsidR="003734EC" w:rsidRDefault="003734EC">
            <w:pPr>
              <w:rPr>
                <w:rFonts w:ascii="宋体"/>
              </w:rPr>
            </w:pPr>
          </w:p>
        </w:tc>
        <w:tc>
          <w:tcPr>
            <w:tcW w:w="0" w:type="auto"/>
            <w:shd w:val="clear" w:color="auto" w:fill="auto"/>
            <w:vAlign w:val="center"/>
          </w:tcPr>
          <w:p w14:paraId="3693F2AE" w14:textId="77777777" w:rsidR="003734EC" w:rsidRDefault="003734EC">
            <w:pPr>
              <w:rPr>
                <w:rFonts w:ascii="宋体"/>
              </w:rPr>
            </w:pPr>
          </w:p>
        </w:tc>
        <w:tc>
          <w:tcPr>
            <w:tcW w:w="0" w:type="auto"/>
            <w:shd w:val="clear" w:color="auto" w:fill="auto"/>
            <w:vAlign w:val="center"/>
          </w:tcPr>
          <w:p w14:paraId="3693F2AF" w14:textId="77777777" w:rsidR="003734EC" w:rsidRDefault="003734EC">
            <w:pPr>
              <w:rPr>
                <w:rFonts w:ascii="宋体"/>
              </w:rPr>
            </w:pPr>
          </w:p>
        </w:tc>
      </w:tr>
      <w:tr w:rsidR="003734EC" w14:paraId="3693F2C2" w14:textId="77777777">
        <w:trPr>
          <w:jc w:val="center"/>
        </w:trPr>
        <w:tc>
          <w:tcPr>
            <w:tcW w:w="0" w:type="auto"/>
            <w:gridSpan w:val="3"/>
            <w:shd w:val="clear" w:color="auto" w:fill="E2EFD9"/>
            <w:tcMar>
              <w:top w:w="40" w:type="dxa"/>
              <w:left w:w="20" w:type="dxa"/>
              <w:bottom w:w="40" w:type="dxa"/>
              <w:right w:w="20" w:type="dxa"/>
            </w:tcMar>
            <w:vAlign w:val="center"/>
          </w:tcPr>
          <w:p w14:paraId="3693F2B1" w14:textId="77777777" w:rsidR="003734EC" w:rsidRDefault="000E364E">
            <w:pPr>
              <w:textAlignment w:val="center"/>
            </w:pPr>
            <w:r>
              <w:rPr>
                <w:rFonts w:ascii="sans-serif" w:eastAsia="sans-serif" w:hAnsi="sans-serif" w:cs="sans-serif"/>
                <w:color w:val="000000"/>
                <w:sz w:val="20"/>
                <w:szCs w:val="20"/>
              </w:rPr>
              <w:t>2.85% Notes Due 2030</w:t>
            </w:r>
          </w:p>
        </w:tc>
        <w:tc>
          <w:tcPr>
            <w:tcW w:w="0" w:type="auto"/>
            <w:gridSpan w:val="3"/>
            <w:shd w:val="clear" w:color="auto" w:fill="E2EFD9"/>
            <w:tcMar>
              <w:left w:w="20" w:type="dxa"/>
              <w:right w:w="20" w:type="dxa"/>
            </w:tcMar>
            <w:vAlign w:val="bottom"/>
          </w:tcPr>
          <w:p w14:paraId="3693F2B2"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2B3" w14:textId="77777777" w:rsidR="003734EC" w:rsidRDefault="000E364E">
            <w:pPr>
              <w:jc w:val="center"/>
              <w:textAlignment w:val="bottom"/>
            </w:pPr>
            <w:r>
              <w:rPr>
                <w:rFonts w:ascii="sans-serif" w:eastAsia="sans-serif" w:hAnsi="sans-serif" w:cs="sans-serif"/>
                <w:color w:val="000000"/>
                <w:sz w:val="20"/>
                <w:szCs w:val="20"/>
              </w:rPr>
              <w:t>9.9</w:t>
            </w:r>
          </w:p>
        </w:tc>
        <w:tc>
          <w:tcPr>
            <w:tcW w:w="0" w:type="auto"/>
            <w:gridSpan w:val="3"/>
            <w:shd w:val="clear" w:color="auto" w:fill="E2EFD9"/>
            <w:tcMar>
              <w:left w:w="20" w:type="dxa"/>
              <w:right w:w="20" w:type="dxa"/>
            </w:tcMar>
            <w:vAlign w:val="bottom"/>
          </w:tcPr>
          <w:p w14:paraId="3693F2B4" w14:textId="77777777" w:rsidR="003734EC" w:rsidRDefault="003734EC">
            <w:pPr>
              <w:jc w:val="center"/>
              <w:rPr>
                <w:rFonts w:ascii="宋体"/>
              </w:rPr>
            </w:pPr>
          </w:p>
        </w:tc>
        <w:tc>
          <w:tcPr>
            <w:tcW w:w="0" w:type="auto"/>
            <w:gridSpan w:val="3"/>
            <w:shd w:val="clear" w:color="auto" w:fill="E2EFD9"/>
            <w:tcMar>
              <w:top w:w="40" w:type="dxa"/>
              <w:left w:w="20" w:type="dxa"/>
              <w:bottom w:w="40" w:type="dxa"/>
              <w:right w:w="20" w:type="dxa"/>
            </w:tcMar>
            <w:vAlign w:val="bottom"/>
          </w:tcPr>
          <w:p w14:paraId="3693F2B5" w14:textId="77777777" w:rsidR="003734EC" w:rsidRDefault="000E364E">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left w:w="20" w:type="dxa"/>
              <w:right w:w="20" w:type="dxa"/>
            </w:tcMar>
            <w:vAlign w:val="bottom"/>
          </w:tcPr>
          <w:p w14:paraId="3693F2B6"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2B7" w14:textId="77777777" w:rsidR="003734EC" w:rsidRDefault="000E364E">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bottom w:w="40" w:type="dxa"/>
              <w:right w:w="20" w:type="dxa"/>
            </w:tcMar>
            <w:vAlign w:val="bottom"/>
          </w:tcPr>
          <w:p w14:paraId="3693F2B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2B9"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2B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2B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BC" w14:textId="77777777" w:rsidR="003734EC" w:rsidRDefault="003734EC">
            <w:pPr>
              <w:rPr>
                <w:rFonts w:ascii="宋体"/>
              </w:rPr>
            </w:pPr>
          </w:p>
        </w:tc>
        <w:tc>
          <w:tcPr>
            <w:tcW w:w="0" w:type="auto"/>
            <w:shd w:val="clear" w:color="auto" w:fill="auto"/>
            <w:vAlign w:val="center"/>
          </w:tcPr>
          <w:p w14:paraId="3693F2BD" w14:textId="77777777" w:rsidR="003734EC" w:rsidRDefault="003734EC">
            <w:pPr>
              <w:rPr>
                <w:rFonts w:ascii="宋体"/>
              </w:rPr>
            </w:pPr>
          </w:p>
        </w:tc>
        <w:tc>
          <w:tcPr>
            <w:tcW w:w="0" w:type="auto"/>
            <w:shd w:val="clear" w:color="auto" w:fill="auto"/>
            <w:vAlign w:val="center"/>
          </w:tcPr>
          <w:p w14:paraId="3693F2BE" w14:textId="77777777" w:rsidR="003734EC" w:rsidRDefault="003734EC">
            <w:pPr>
              <w:rPr>
                <w:rFonts w:ascii="宋体"/>
              </w:rPr>
            </w:pPr>
          </w:p>
        </w:tc>
        <w:tc>
          <w:tcPr>
            <w:tcW w:w="0" w:type="auto"/>
            <w:shd w:val="clear" w:color="auto" w:fill="auto"/>
            <w:vAlign w:val="center"/>
          </w:tcPr>
          <w:p w14:paraId="3693F2BF" w14:textId="77777777" w:rsidR="003734EC" w:rsidRDefault="003734EC">
            <w:pPr>
              <w:rPr>
                <w:rFonts w:ascii="宋体"/>
              </w:rPr>
            </w:pPr>
          </w:p>
        </w:tc>
        <w:tc>
          <w:tcPr>
            <w:tcW w:w="0" w:type="auto"/>
            <w:shd w:val="clear" w:color="auto" w:fill="auto"/>
            <w:vAlign w:val="center"/>
          </w:tcPr>
          <w:p w14:paraId="3693F2C0" w14:textId="77777777" w:rsidR="003734EC" w:rsidRDefault="003734EC">
            <w:pPr>
              <w:rPr>
                <w:rFonts w:ascii="宋体"/>
              </w:rPr>
            </w:pPr>
          </w:p>
        </w:tc>
        <w:tc>
          <w:tcPr>
            <w:tcW w:w="0" w:type="auto"/>
            <w:shd w:val="clear" w:color="auto" w:fill="auto"/>
            <w:vAlign w:val="center"/>
          </w:tcPr>
          <w:p w14:paraId="3693F2C1" w14:textId="77777777" w:rsidR="003734EC" w:rsidRDefault="003734EC">
            <w:pPr>
              <w:rPr>
                <w:rFonts w:ascii="宋体"/>
              </w:rPr>
            </w:pPr>
          </w:p>
        </w:tc>
      </w:tr>
      <w:tr w:rsidR="003734EC" w14:paraId="3693F2D4" w14:textId="77777777">
        <w:trPr>
          <w:jc w:val="center"/>
        </w:trPr>
        <w:tc>
          <w:tcPr>
            <w:tcW w:w="0" w:type="auto"/>
            <w:gridSpan w:val="3"/>
            <w:shd w:val="clear" w:color="auto" w:fill="FFFFFF"/>
            <w:tcMar>
              <w:top w:w="40" w:type="dxa"/>
              <w:left w:w="20" w:type="dxa"/>
              <w:bottom w:w="40" w:type="dxa"/>
              <w:right w:w="20" w:type="dxa"/>
            </w:tcMar>
            <w:vAlign w:val="center"/>
          </w:tcPr>
          <w:p w14:paraId="3693F2C3" w14:textId="77777777" w:rsidR="003734EC" w:rsidRDefault="000E364E">
            <w:pP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left w:w="20" w:type="dxa"/>
              <w:right w:w="20" w:type="dxa"/>
            </w:tcMar>
            <w:vAlign w:val="bottom"/>
          </w:tcPr>
          <w:p w14:paraId="3693F2C4"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2C5" w14:textId="77777777" w:rsidR="003734EC" w:rsidRDefault="000E364E">
            <w:pPr>
              <w:jc w:val="center"/>
              <w:textAlignment w:val="bottom"/>
            </w:pPr>
            <w:r>
              <w:rPr>
                <w:rFonts w:ascii="sans-serif" w:eastAsia="sans-serif" w:hAnsi="sans-serif" w:cs="sans-serif"/>
                <w:color w:val="000000"/>
                <w:sz w:val="20"/>
                <w:szCs w:val="20"/>
              </w:rPr>
              <w:t>19.9</w:t>
            </w:r>
          </w:p>
        </w:tc>
        <w:tc>
          <w:tcPr>
            <w:tcW w:w="0" w:type="auto"/>
            <w:gridSpan w:val="3"/>
            <w:shd w:val="clear" w:color="auto" w:fill="FFFFFF"/>
            <w:tcMar>
              <w:left w:w="20" w:type="dxa"/>
              <w:right w:w="20" w:type="dxa"/>
            </w:tcMar>
            <w:vAlign w:val="bottom"/>
          </w:tcPr>
          <w:p w14:paraId="3693F2C6" w14:textId="77777777" w:rsidR="003734EC" w:rsidRDefault="003734EC">
            <w:pPr>
              <w:jc w:val="center"/>
              <w:rPr>
                <w:rFonts w:ascii="宋体"/>
              </w:rPr>
            </w:pPr>
          </w:p>
        </w:tc>
        <w:tc>
          <w:tcPr>
            <w:tcW w:w="0" w:type="auto"/>
            <w:gridSpan w:val="3"/>
            <w:shd w:val="clear" w:color="auto" w:fill="FFFFFF"/>
            <w:tcMar>
              <w:top w:w="40" w:type="dxa"/>
              <w:left w:w="20" w:type="dxa"/>
              <w:bottom w:w="40" w:type="dxa"/>
              <w:right w:w="20" w:type="dxa"/>
            </w:tcMar>
            <w:vAlign w:val="bottom"/>
          </w:tcPr>
          <w:p w14:paraId="3693F2C7" w14:textId="77777777" w:rsidR="003734EC" w:rsidRDefault="000E364E">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left w:w="20" w:type="dxa"/>
              <w:right w:w="20" w:type="dxa"/>
            </w:tcMar>
            <w:vAlign w:val="bottom"/>
          </w:tcPr>
          <w:p w14:paraId="3693F2C8"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C9"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3693F2C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2C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C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F2C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CE" w14:textId="77777777" w:rsidR="003734EC" w:rsidRDefault="003734EC">
            <w:pPr>
              <w:rPr>
                <w:rFonts w:ascii="宋体"/>
              </w:rPr>
            </w:pPr>
          </w:p>
        </w:tc>
        <w:tc>
          <w:tcPr>
            <w:tcW w:w="0" w:type="auto"/>
            <w:shd w:val="clear" w:color="auto" w:fill="auto"/>
            <w:vAlign w:val="center"/>
          </w:tcPr>
          <w:p w14:paraId="3693F2CF" w14:textId="77777777" w:rsidR="003734EC" w:rsidRDefault="003734EC">
            <w:pPr>
              <w:rPr>
                <w:rFonts w:ascii="宋体"/>
              </w:rPr>
            </w:pPr>
          </w:p>
        </w:tc>
        <w:tc>
          <w:tcPr>
            <w:tcW w:w="0" w:type="auto"/>
            <w:shd w:val="clear" w:color="auto" w:fill="auto"/>
            <w:vAlign w:val="center"/>
          </w:tcPr>
          <w:p w14:paraId="3693F2D0" w14:textId="77777777" w:rsidR="003734EC" w:rsidRDefault="003734EC">
            <w:pPr>
              <w:rPr>
                <w:rFonts w:ascii="宋体"/>
              </w:rPr>
            </w:pPr>
          </w:p>
        </w:tc>
        <w:tc>
          <w:tcPr>
            <w:tcW w:w="0" w:type="auto"/>
            <w:shd w:val="clear" w:color="auto" w:fill="auto"/>
            <w:vAlign w:val="center"/>
          </w:tcPr>
          <w:p w14:paraId="3693F2D1" w14:textId="77777777" w:rsidR="003734EC" w:rsidRDefault="003734EC">
            <w:pPr>
              <w:rPr>
                <w:rFonts w:ascii="宋体"/>
              </w:rPr>
            </w:pPr>
          </w:p>
        </w:tc>
        <w:tc>
          <w:tcPr>
            <w:tcW w:w="0" w:type="auto"/>
            <w:shd w:val="clear" w:color="auto" w:fill="auto"/>
            <w:vAlign w:val="center"/>
          </w:tcPr>
          <w:p w14:paraId="3693F2D2" w14:textId="77777777" w:rsidR="003734EC" w:rsidRDefault="003734EC">
            <w:pPr>
              <w:rPr>
                <w:rFonts w:ascii="宋体"/>
              </w:rPr>
            </w:pPr>
          </w:p>
        </w:tc>
        <w:tc>
          <w:tcPr>
            <w:tcW w:w="0" w:type="auto"/>
            <w:shd w:val="clear" w:color="auto" w:fill="auto"/>
            <w:vAlign w:val="center"/>
          </w:tcPr>
          <w:p w14:paraId="3693F2D3" w14:textId="77777777" w:rsidR="003734EC" w:rsidRDefault="003734EC">
            <w:pPr>
              <w:rPr>
                <w:rFonts w:ascii="宋体"/>
              </w:rPr>
            </w:pPr>
          </w:p>
        </w:tc>
      </w:tr>
      <w:tr w:rsidR="003734EC" w14:paraId="3693F2E6" w14:textId="77777777">
        <w:trPr>
          <w:jc w:val="center"/>
        </w:trPr>
        <w:tc>
          <w:tcPr>
            <w:tcW w:w="0" w:type="auto"/>
            <w:gridSpan w:val="3"/>
            <w:shd w:val="clear" w:color="auto" w:fill="E2EFD9"/>
            <w:tcMar>
              <w:top w:w="40" w:type="dxa"/>
              <w:left w:w="20" w:type="dxa"/>
              <w:bottom w:w="40" w:type="dxa"/>
              <w:right w:w="20" w:type="dxa"/>
            </w:tcMar>
            <w:vAlign w:val="center"/>
          </w:tcPr>
          <w:p w14:paraId="3693F2D5" w14:textId="77777777" w:rsidR="003734EC" w:rsidRDefault="000E364E">
            <w:pPr>
              <w:textAlignment w:val="center"/>
            </w:pPr>
            <w:r>
              <w:rPr>
                <w:rFonts w:ascii="sans-serif" w:eastAsia="sans-serif" w:hAnsi="sans-serif" w:cs="sans-serif"/>
                <w:color w:val="000000"/>
                <w:sz w:val="20"/>
                <w:szCs w:val="20"/>
              </w:rPr>
              <w:t>3.50% Notes Due 2050</w:t>
            </w:r>
          </w:p>
        </w:tc>
        <w:tc>
          <w:tcPr>
            <w:tcW w:w="0" w:type="auto"/>
            <w:gridSpan w:val="3"/>
            <w:shd w:val="clear" w:color="auto" w:fill="E2EFD9"/>
            <w:tcMar>
              <w:left w:w="20" w:type="dxa"/>
              <w:right w:w="20" w:type="dxa"/>
            </w:tcMar>
            <w:vAlign w:val="bottom"/>
          </w:tcPr>
          <w:p w14:paraId="3693F2D6"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2D7" w14:textId="77777777" w:rsidR="003734EC" w:rsidRDefault="000E364E">
            <w:pPr>
              <w:jc w:val="center"/>
              <w:textAlignment w:val="bottom"/>
            </w:pPr>
            <w:r>
              <w:rPr>
                <w:rFonts w:ascii="sans-serif" w:eastAsia="sans-serif" w:hAnsi="sans-serif" w:cs="sans-serif"/>
                <w:color w:val="000000"/>
                <w:sz w:val="20"/>
                <w:szCs w:val="20"/>
              </w:rPr>
              <w:t>30.0</w:t>
            </w:r>
          </w:p>
        </w:tc>
        <w:tc>
          <w:tcPr>
            <w:tcW w:w="0" w:type="auto"/>
            <w:gridSpan w:val="3"/>
            <w:shd w:val="clear" w:color="auto" w:fill="E2EFD9"/>
            <w:tcMar>
              <w:left w:w="20" w:type="dxa"/>
              <w:right w:w="20" w:type="dxa"/>
            </w:tcMar>
            <w:vAlign w:val="bottom"/>
          </w:tcPr>
          <w:p w14:paraId="3693F2D8" w14:textId="77777777" w:rsidR="003734EC" w:rsidRDefault="003734EC">
            <w:pPr>
              <w:jc w:val="center"/>
              <w:rPr>
                <w:rFonts w:ascii="宋体"/>
              </w:rPr>
            </w:pPr>
          </w:p>
        </w:tc>
        <w:tc>
          <w:tcPr>
            <w:tcW w:w="0" w:type="auto"/>
            <w:gridSpan w:val="3"/>
            <w:shd w:val="clear" w:color="auto" w:fill="E2EFD9"/>
            <w:tcMar>
              <w:top w:w="40" w:type="dxa"/>
              <w:left w:w="20" w:type="dxa"/>
              <w:bottom w:w="40" w:type="dxa"/>
              <w:right w:w="20" w:type="dxa"/>
            </w:tcMar>
            <w:vAlign w:val="bottom"/>
          </w:tcPr>
          <w:p w14:paraId="3693F2D9" w14:textId="77777777" w:rsidR="003734EC" w:rsidRDefault="000E364E">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left w:w="20" w:type="dxa"/>
              <w:right w:w="20" w:type="dxa"/>
            </w:tcMar>
            <w:vAlign w:val="bottom"/>
          </w:tcPr>
          <w:p w14:paraId="3693F2D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2DB" w14:textId="77777777" w:rsidR="003734EC" w:rsidRDefault="000E364E">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bottom w:w="40" w:type="dxa"/>
              <w:right w:w="20" w:type="dxa"/>
            </w:tcMar>
            <w:vAlign w:val="bottom"/>
          </w:tcPr>
          <w:p w14:paraId="3693F2D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2DD"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2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2D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E0" w14:textId="77777777" w:rsidR="003734EC" w:rsidRDefault="003734EC">
            <w:pPr>
              <w:rPr>
                <w:rFonts w:ascii="宋体"/>
              </w:rPr>
            </w:pPr>
          </w:p>
        </w:tc>
        <w:tc>
          <w:tcPr>
            <w:tcW w:w="0" w:type="auto"/>
            <w:shd w:val="clear" w:color="auto" w:fill="auto"/>
            <w:vAlign w:val="center"/>
          </w:tcPr>
          <w:p w14:paraId="3693F2E1" w14:textId="77777777" w:rsidR="003734EC" w:rsidRDefault="003734EC">
            <w:pPr>
              <w:rPr>
                <w:rFonts w:ascii="宋体"/>
              </w:rPr>
            </w:pPr>
          </w:p>
        </w:tc>
        <w:tc>
          <w:tcPr>
            <w:tcW w:w="0" w:type="auto"/>
            <w:shd w:val="clear" w:color="auto" w:fill="auto"/>
            <w:vAlign w:val="center"/>
          </w:tcPr>
          <w:p w14:paraId="3693F2E2" w14:textId="77777777" w:rsidR="003734EC" w:rsidRDefault="003734EC">
            <w:pPr>
              <w:rPr>
                <w:rFonts w:ascii="宋体"/>
              </w:rPr>
            </w:pPr>
          </w:p>
        </w:tc>
        <w:tc>
          <w:tcPr>
            <w:tcW w:w="0" w:type="auto"/>
            <w:shd w:val="clear" w:color="auto" w:fill="auto"/>
            <w:vAlign w:val="center"/>
          </w:tcPr>
          <w:p w14:paraId="3693F2E3" w14:textId="77777777" w:rsidR="003734EC" w:rsidRDefault="003734EC">
            <w:pPr>
              <w:rPr>
                <w:rFonts w:ascii="宋体"/>
              </w:rPr>
            </w:pPr>
          </w:p>
        </w:tc>
        <w:tc>
          <w:tcPr>
            <w:tcW w:w="0" w:type="auto"/>
            <w:shd w:val="clear" w:color="auto" w:fill="auto"/>
            <w:vAlign w:val="center"/>
          </w:tcPr>
          <w:p w14:paraId="3693F2E4" w14:textId="77777777" w:rsidR="003734EC" w:rsidRDefault="003734EC">
            <w:pPr>
              <w:rPr>
                <w:rFonts w:ascii="宋体"/>
              </w:rPr>
            </w:pPr>
          </w:p>
        </w:tc>
        <w:tc>
          <w:tcPr>
            <w:tcW w:w="0" w:type="auto"/>
            <w:shd w:val="clear" w:color="auto" w:fill="auto"/>
            <w:vAlign w:val="center"/>
          </w:tcPr>
          <w:p w14:paraId="3693F2E5" w14:textId="77777777" w:rsidR="003734EC" w:rsidRDefault="003734EC">
            <w:pPr>
              <w:rPr>
                <w:rFonts w:ascii="宋体"/>
              </w:rPr>
            </w:pPr>
          </w:p>
        </w:tc>
      </w:tr>
      <w:tr w:rsidR="003734EC" w14:paraId="3693F2F8" w14:textId="77777777">
        <w:trPr>
          <w:jc w:val="center"/>
        </w:trPr>
        <w:tc>
          <w:tcPr>
            <w:tcW w:w="0" w:type="auto"/>
            <w:gridSpan w:val="3"/>
            <w:shd w:val="clear" w:color="auto" w:fill="FFFFFF"/>
            <w:tcMar>
              <w:top w:w="40" w:type="dxa"/>
              <w:left w:w="20" w:type="dxa"/>
              <w:bottom w:w="40" w:type="dxa"/>
              <w:right w:w="20" w:type="dxa"/>
            </w:tcMar>
            <w:vAlign w:val="center"/>
          </w:tcPr>
          <w:p w14:paraId="3693F2E7" w14:textId="77777777" w:rsidR="003734EC" w:rsidRDefault="000E364E">
            <w:pPr>
              <w:textAlignment w:val="center"/>
            </w:pPr>
            <w:r>
              <w:rPr>
                <w:rFonts w:ascii="sans-serif" w:eastAsia="sans-serif" w:hAnsi="sans-serif" w:cs="sans-serif"/>
                <w:color w:val="000000"/>
                <w:sz w:val="20"/>
                <w:szCs w:val="20"/>
              </w:rPr>
              <w:t>3.70% Notes Due 2060</w:t>
            </w:r>
          </w:p>
        </w:tc>
        <w:tc>
          <w:tcPr>
            <w:tcW w:w="0" w:type="auto"/>
            <w:gridSpan w:val="3"/>
            <w:shd w:val="clear" w:color="auto" w:fill="FFFFFF"/>
            <w:tcMar>
              <w:left w:w="20" w:type="dxa"/>
              <w:right w:w="20" w:type="dxa"/>
            </w:tcMar>
            <w:vAlign w:val="bottom"/>
          </w:tcPr>
          <w:p w14:paraId="3693F2E8"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2E9" w14:textId="77777777" w:rsidR="003734EC" w:rsidRDefault="000E364E">
            <w:pPr>
              <w:jc w:val="center"/>
              <w:textAlignment w:val="bottom"/>
            </w:pPr>
            <w:r>
              <w:rPr>
                <w:rFonts w:ascii="sans-serif" w:eastAsia="sans-serif" w:hAnsi="sans-serif" w:cs="sans-serif"/>
                <w:color w:val="000000"/>
                <w:sz w:val="20"/>
                <w:szCs w:val="20"/>
              </w:rPr>
              <w:t>40.0</w:t>
            </w:r>
          </w:p>
        </w:tc>
        <w:tc>
          <w:tcPr>
            <w:tcW w:w="0" w:type="auto"/>
            <w:gridSpan w:val="3"/>
            <w:shd w:val="clear" w:color="auto" w:fill="FFFFFF"/>
            <w:tcMar>
              <w:left w:w="20" w:type="dxa"/>
              <w:right w:w="20" w:type="dxa"/>
            </w:tcMar>
            <w:vAlign w:val="bottom"/>
          </w:tcPr>
          <w:p w14:paraId="3693F2EA" w14:textId="77777777" w:rsidR="003734EC" w:rsidRDefault="003734EC">
            <w:pPr>
              <w:jc w:val="center"/>
              <w:rPr>
                <w:rFonts w:ascii="宋体"/>
              </w:rPr>
            </w:pPr>
          </w:p>
        </w:tc>
        <w:tc>
          <w:tcPr>
            <w:tcW w:w="0" w:type="auto"/>
            <w:gridSpan w:val="3"/>
            <w:shd w:val="clear" w:color="auto" w:fill="FFFFFF"/>
            <w:tcMar>
              <w:top w:w="40" w:type="dxa"/>
              <w:left w:w="20" w:type="dxa"/>
              <w:bottom w:w="40" w:type="dxa"/>
              <w:right w:w="20" w:type="dxa"/>
            </w:tcMar>
            <w:vAlign w:val="bottom"/>
          </w:tcPr>
          <w:p w14:paraId="3693F2EB" w14:textId="77777777" w:rsidR="003734EC" w:rsidRDefault="000E364E">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left w:w="20" w:type="dxa"/>
              <w:right w:w="20" w:type="dxa"/>
            </w:tcMar>
            <w:vAlign w:val="bottom"/>
          </w:tcPr>
          <w:p w14:paraId="3693F2E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ED" w14:textId="77777777" w:rsidR="003734EC" w:rsidRDefault="000E364E">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bottom w:w="40" w:type="dxa"/>
              <w:right w:w="20" w:type="dxa"/>
            </w:tcMar>
            <w:vAlign w:val="bottom"/>
          </w:tcPr>
          <w:p w14:paraId="3693F2E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2E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2F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F2F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2F2" w14:textId="77777777" w:rsidR="003734EC" w:rsidRDefault="003734EC">
            <w:pPr>
              <w:rPr>
                <w:rFonts w:ascii="宋体"/>
              </w:rPr>
            </w:pPr>
          </w:p>
        </w:tc>
        <w:tc>
          <w:tcPr>
            <w:tcW w:w="0" w:type="auto"/>
            <w:shd w:val="clear" w:color="auto" w:fill="auto"/>
            <w:vAlign w:val="center"/>
          </w:tcPr>
          <w:p w14:paraId="3693F2F3" w14:textId="77777777" w:rsidR="003734EC" w:rsidRDefault="003734EC">
            <w:pPr>
              <w:rPr>
                <w:rFonts w:ascii="宋体"/>
              </w:rPr>
            </w:pPr>
          </w:p>
        </w:tc>
        <w:tc>
          <w:tcPr>
            <w:tcW w:w="0" w:type="auto"/>
            <w:shd w:val="clear" w:color="auto" w:fill="auto"/>
            <w:vAlign w:val="center"/>
          </w:tcPr>
          <w:p w14:paraId="3693F2F4" w14:textId="77777777" w:rsidR="003734EC" w:rsidRDefault="003734EC">
            <w:pPr>
              <w:rPr>
                <w:rFonts w:ascii="宋体"/>
              </w:rPr>
            </w:pPr>
          </w:p>
        </w:tc>
        <w:tc>
          <w:tcPr>
            <w:tcW w:w="0" w:type="auto"/>
            <w:shd w:val="clear" w:color="auto" w:fill="auto"/>
            <w:vAlign w:val="center"/>
          </w:tcPr>
          <w:p w14:paraId="3693F2F5" w14:textId="77777777" w:rsidR="003734EC" w:rsidRDefault="003734EC">
            <w:pPr>
              <w:rPr>
                <w:rFonts w:ascii="宋体"/>
              </w:rPr>
            </w:pPr>
          </w:p>
        </w:tc>
        <w:tc>
          <w:tcPr>
            <w:tcW w:w="0" w:type="auto"/>
            <w:shd w:val="clear" w:color="auto" w:fill="auto"/>
            <w:vAlign w:val="center"/>
          </w:tcPr>
          <w:p w14:paraId="3693F2F6" w14:textId="77777777" w:rsidR="003734EC" w:rsidRDefault="003734EC">
            <w:pPr>
              <w:rPr>
                <w:rFonts w:ascii="宋体"/>
              </w:rPr>
            </w:pPr>
          </w:p>
        </w:tc>
        <w:tc>
          <w:tcPr>
            <w:tcW w:w="0" w:type="auto"/>
            <w:shd w:val="clear" w:color="auto" w:fill="auto"/>
            <w:vAlign w:val="center"/>
          </w:tcPr>
          <w:p w14:paraId="3693F2F7" w14:textId="77777777" w:rsidR="003734EC" w:rsidRDefault="003734EC">
            <w:pPr>
              <w:rPr>
                <w:rFonts w:ascii="宋体"/>
              </w:rPr>
            </w:pPr>
          </w:p>
        </w:tc>
      </w:tr>
      <w:tr w:rsidR="003734EC" w14:paraId="3693F30A" w14:textId="77777777">
        <w:trPr>
          <w:jc w:val="center"/>
        </w:trPr>
        <w:tc>
          <w:tcPr>
            <w:tcW w:w="0" w:type="auto"/>
            <w:gridSpan w:val="3"/>
            <w:shd w:val="clear" w:color="auto" w:fill="E2EFD9"/>
            <w:tcMar>
              <w:top w:w="40" w:type="dxa"/>
              <w:left w:w="20" w:type="dxa"/>
              <w:bottom w:w="40" w:type="dxa"/>
              <w:right w:w="20" w:type="dxa"/>
            </w:tcMar>
            <w:vAlign w:val="center"/>
          </w:tcPr>
          <w:p w14:paraId="3693F2F9" w14:textId="77777777" w:rsidR="003734EC" w:rsidRDefault="000E364E">
            <w:pPr>
              <w:textAlignment w:val="center"/>
            </w:pPr>
            <w:r>
              <w:rPr>
                <w:rFonts w:ascii="sans-serif" w:eastAsia="sans-serif" w:hAnsi="sans-serif" w:cs="sans-serif"/>
                <w:color w:val="000000"/>
                <w:sz w:val="20"/>
                <w:szCs w:val="20"/>
              </w:rPr>
              <w:t>Unamortized debt discount and issuance costs</w:t>
            </w:r>
          </w:p>
        </w:tc>
        <w:tc>
          <w:tcPr>
            <w:tcW w:w="0" w:type="auto"/>
            <w:gridSpan w:val="3"/>
            <w:shd w:val="clear" w:color="auto" w:fill="E2EFD9"/>
            <w:tcMar>
              <w:left w:w="20" w:type="dxa"/>
              <w:right w:w="20" w:type="dxa"/>
            </w:tcMar>
            <w:vAlign w:val="bottom"/>
          </w:tcPr>
          <w:p w14:paraId="3693F2FA"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F2FB"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F2FC"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F2FD" w14:textId="77777777" w:rsidR="003734EC" w:rsidRDefault="003734EC">
            <w:pPr>
              <w:rPr>
                <w:rFonts w:ascii="宋体"/>
              </w:rPr>
            </w:pPr>
          </w:p>
        </w:tc>
        <w:tc>
          <w:tcPr>
            <w:tcW w:w="0" w:type="auto"/>
            <w:gridSpan w:val="3"/>
            <w:shd w:val="clear" w:color="auto" w:fill="E2EFD9"/>
            <w:tcMar>
              <w:left w:w="20" w:type="dxa"/>
              <w:right w:w="20" w:type="dxa"/>
            </w:tcMar>
            <w:vAlign w:val="bottom"/>
          </w:tcPr>
          <w:p w14:paraId="3693F2F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2FF" w14:textId="77777777" w:rsidR="003734EC" w:rsidRDefault="000E364E">
            <w:pPr>
              <w:jc w:val="right"/>
              <w:textAlignment w:val="bottom"/>
            </w:pPr>
            <w:r>
              <w:rPr>
                <w:rFonts w:ascii="sans-serif" w:eastAsia="sans-serif" w:hAnsi="sans-serif" w:cs="sans-serif"/>
                <w:color w:val="000000"/>
                <w:sz w:val="20"/>
                <w:szCs w:val="20"/>
              </w:rPr>
              <w:t>(41)</w:t>
            </w:r>
          </w:p>
        </w:tc>
        <w:tc>
          <w:tcPr>
            <w:tcW w:w="0" w:type="auto"/>
            <w:shd w:val="clear" w:color="auto" w:fill="E2EFD9"/>
            <w:tcMar>
              <w:top w:w="40" w:type="dxa"/>
              <w:bottom w:w="40" w:type="dxa"/>
              <w:right w:w="20" w:type="dxa"/>
            </w:tcMar>
            <w:vAlign w:val="bottom"/>
          </w:tcPr>
          <w:p w14:paraId="3693F30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0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302" w14:textId="77777777" w:rsidR="003734EC" w:rsidRDefault="000E364E">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bottom w:w="40" w:type="dxa"/>
              <w:right w:w="20" w:type="dxa"/>
            </w:tcMar>
            <w:vAlign w:val="bottom"/>
          </w:tcPr>
          <w:p w14:paraId="3693F30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304" w14:textId="77777777" w:rsidR="003734EC" w:rsidRDefault="003734EC">
            <w:pPr>
              <w:rPr>
                <w:rFonts w:ascii="宋体"/>
              </w:rPr>
            </w:pPr>
          </w:p>
        </w:tc>
        <w:tc>
          <w:tcPr>
            <w:tcW w:w="0" w:type="auto"/>
            <w:shd w:val="clear" w:color="auto" w:fill="auto"/>
            <w:vAlign w:val="center"/>
          </w:tcPr>
          <w:p w14:paraId="3693F305" w14:textId="77777777" w:rsidR="003734EC" w:rsidRDefault="003734EC">
            <w:pPr>
              <w:rPr>
                <w:rFonts w:ascii="宋体"/>
              </w:rPr>
            </w:pPr>
          </w:p>
        </w:tc>
        <w:tc>
          <w:tcPr>
            <w:tcW w:w="0" w:type="auto"/>
            <w:shd w:val="clear" w:color="auto" w:fill="auto"/>
            <w:vAlign w:val="center"/>
          </w:tcPr>
          <w:p w14:paraId="3693F306" w14:textId="77777777" w:rsidR="003734EC" w:rsidRDefault="003734EC">
            <w:pPr>
              <w:rPr>
                <w:rFonts w:ascii="宋体"/>
              </w:rPr>
            </w:pPr>
          </w:p>
        </w:tc>
        <w:tc>
          <w:tcPr>
            <w:tcW w:w="0" w:type="auto"/>
            <w:shd w:val="clear" w:color="auto" w:fill="auto"/>
            <w:vAlign w:val="center"/>
          </w:tcPr>
          <w:p w14:paraId="3693F307" w14:textId="77777777" w:rsidR="003734EC" w:rsidRDefault="003734EC">
            <w:pPr>
              <w:rPr>
                <w:rFonts w:ascii="宋体"/>
              </w:rPr>
            </w:pPr>
          </w:p>
        </w:tc>
        <w:tc>
          <w:tcPr>
            <w:tcW w:w="0" w:type="auto"/>
            <w:shd w:val="clear" w:color="auto" w:fill="auto"/>
            <w:vAlign w:val="center"/>
          </w:tcPr>
          <w:p w14:paraId="3693F308" w14:textId="77777777" w:rsidR="003734EC" w:rsidRDefault="003734EC">
            <w:pPr>
              <w:rPr>
                <w:rFonts w:ascii="宋体"/>
              </w:rPr>
            </w:pPr>
          </w:p>
        </w:tc>
        <w:tc>
          <w:tcPr>
            <w:tcW w:w="0" w:type="auto"/>
            <w:shd w:val="clear" w:color="auto" w:fill="auto"/>
            <w:vAlign w:val="center"/>
          </w:tcPr>
          <w:p w14:paraId="3693F309" w14:textId="77777777" w:rsidR="003734EC" w:rsidRDefault="003734EC">
            <w:pPr>
              <w:rPr>
                <w:rFonts w:ascii="宋体"/>
              </w:rPr>
            </w:pPr>
          </w:p>
        </w:tc>
      </w:tr>
      <w:tr w:rsidR="003734EC" w14:paraId="3693F31E" w14:textId="77777777">
        <w:trPr>
          <w:jc w:val="center"/>
        </w:trPr>
        <w:tc>
          <w:tcPr>
            <w:tcW w:w="0" w:type="auto"/>
            <w:gridSpan w:val="3"/>
            <w:shd w:val="clear" w:color="auto" w:fill="FFFFFF"/>
            <w:tcMar>
              <w:top w:w="40" w:type="dxa"/>
              <w:left w:w="20" w:type="dxa"/>
              <w:bottom w:w="40" w:type="dxa"/>
              <w:right w:w="20" w:type="dxa"/>
            </w:tcMar>
            <w:vAlign w:val="center"/>
          </w:tcPr>
          <w:p w14:paraId="3693F30B" w14:textId="77777777" w:rsidR="003734EC" w:rsidRDefault="000E364E">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left w:w="20" w:type="dxa"/>
              <w:right w:w="20" w:type="dxa"/>
            </w:tcMar>
            <w:vAlign w:val="bottom"/>
          </w:tcPr>
          <w:p w14:paraId="3693F30C"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0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0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0F"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10"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31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312" w14:textId="77777777" w:rsidR="003734EC" w:rsidRDefault="000E364E">
            <w:pPr>
              <w:jc w:val="right"/>
              <w:textAlignment w:val="bottom"/>
            </w:pPr>
            <w:r>
              <w:rPr>
                <w:rFonts w:ascii="sans-serif" w:eastAsia="sans-serif" w:hAnsi="sans-serif" w:cs="sans-serif"/>
                <w:color w:val="000000"/>
                <w:sz w:val="20"/>
                <w:szCs w:val="20"/>
              </w:rPr>
              <w:t>6,959 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31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314"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315"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316" w14:textId="77777777" w:rsidR="003734EC" w:rsidRDefault="000E364E">
            <w:pPr>
              <w:jc w:val="right"/>
              <w:textAlignment w:val="bottom"/>
            </w:pPr>
            <w:r>
              <w:rPr>
                <w:rFonts w:ascii="sans-serif" w:eastAsia="sans-serif" w:hAnsi="sans-serif" w:cs="sans-serif"/>
                <w:color w:val="000000"/>
                <w:sz w:val="20"/>
                <w:szCs w:val="20"/>
              </w:rPr>
              <w:t>1,991 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31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318" w14:textId="77777777" w:rsidR="003734EC" w:rsidRDefault="003734EC">
            <w:pPr>
              <w:rPr>
                <w:rFonts w:ascii="宋体"/>
              </w:rPr>
            </w:pPr>
          </w:p>
        </w:tc>
        <w:tc>
          <w:tcPr>
            <w:tcW w:w="0" w:type="auto"/>
            <w:shd w:val="clear" w:color="auto" w:fill="auto"/>
            <w:vAlign w:val="center"/>
          </w:tcPr>
          <w:p w14:paraId="3693F319" w14:textId="77777777" w:rsidR="003734EC" w:rsidRDefault="003734EC">
            <w:pPr>
              <w:rPr>
                <w:rFonts w:ascii="宋体"/>
              </w:rPr>
            </w:pPr>
          </w:p>
        </w:tc>
        <w:tc>
          <w:tcPr>
            <w:tcW w:w="0" w:type="auto"/>
            <w:shd w:val="clear" w:color="auto" w:fill="auto"/>
            <w:vAlign w:val="center"/>
          </w:tcPr>
          <w:p w14:paraId="3693F31A" w14:textId="77777777" w:rsidR="003734EC" w:rsidRDefault="003734EC">
            <w:pPr>
              <w:rPr>
                <w:rFonts w:ascii="宋体"/>
              </w:rPr>
            </w:pPr>
          </w:p>
        </w:tc>
        <w:tc>
          <w:tcPr>
            <w:tcW w:w="0" w:type="auto"/>
            <w:shd w:val="clear" w:color="auto" w:fill="auto"/>
            <w:vAlign w:val="center"/>
          </w:tcPr>
          <w:p w14:paraId="3693F31B" w14:textId="77777777" w:rsidR="003734EC" w:rsidRDefault="003734EC">
            <w:pPr>
              <w:rPr>
                <w:rFonts w:ascii="宋体"/>
              </w:rPr>
            </w:pPr>
          </w:p>
        </w:tc>
        <w:tc>
          <w:tcPr>
            <w:tcW w:w="0" w:type="auto"/>
            <w:shd w:val="clear" w:color="auto" w:fill="auto"/>
            <w:vAlign w:val="center"/>
          </w:tcPr>
          <w:p w14:paraId="3693F31C" w14:textId="77777777" w:rsidR="003734EC" w:rsidRDefault="003734EC">
            <w:pPr>
              <w:rPr>
                <w:rFonts w:ascii="宋体"/>
              </w:rPr>
            </w:pPr>
          </w:p>
        </w:tc>
        <w:tc>
          <w:tcPr>
            <w:tcW w:w="0" w:type="auto"/>
            <w:shd w:val="clear" w:color="auto" w:fill="auto"/>
            <w:vAlign w:val="center"/>
          </w:tcPr>
          <w:p w14:paraId="3693F31D" w14:textId="77777777" w:rsidR="003734EC" w:rsidRDefault="003734EC">
            <w:pPr>
              <w:rPr>
                <w:rFonts w:ascii="宋体"/>
              </w:rPr>
            </w:pPr>
          </w:p>
        </w:tc>
      </w:tr>
    </w:tbl>
    <w:p w14:paraId="3693F31F" w14:textId="77777777" w:rsidR="003734EC" w:rsidRDefault="003734EC">
      <w:pPr>
        <w:jc w:val="both"/>
      </w:pPr>
    </w:p>
    <w:p w14:paraId="3693F320" w14:textId="77777777" w:rsidR="003734EC" w:rsidRDefault="000E364E">
      <w:pPr>
        <w:spacing w:after="180"/>
        <w:jc w:val="both"/>
      </w:pPr>
      <w:r>
        <w:rPr>
          <w:rFonts w:ascii="sans-serif" w:eastAsia="sans-serif" w:hAnsi="sans-serif" w:cs="sans-serif"/>
          <w:color w:val="000000"/>
          <w:sz w:val="20"/>
          <w:szCs w:val="20"/>
        </w:rPr>
        <w:t>The Notes require the Company to comply with certain covenants for which the Company was in compliance as of April 26, 2020.</w:t>
      </w:r>
    </w:p>
    <w:p w14:paraId="3693F321" w14:textId="77777777" w:rsidR="003734EC" w:rsidRDefault="000E364E">
      <w:pPr>
        <w:spacing w:before="240" w:after="60"/>
        <w:jc w:val="both"/>
      </w:pPr>
      <w:r>
        <w:rPr>
          <w:rFonts w:ascii="sans-serif" w:eastAsia="sans-serif" w:hAnsi="sans-serif" w:cs="sans-serif"/>
          <w:b/>
          <w:bCs/>
          <w:color w:val="76B900"/>
          <w:sz w:val="20"/>
          <w:szCs w:val="20"/>
        </w:rPr>
        <w:t>Revolving Credit Facility</w:t>
      </w:r>
    </w:p>
    <w:p w14:paraId="3693F322" w14:textId="77777777" w:rsidR="003734EC" w:rsidRDefault="000E364E">
      <w:pPr>
        <w:spacing w:after="180"/>
        <w:jc w:val="both"/>
      </w:pPr>
      <w:r>
        <w:rPr>
          <w:rFonts w:ascii="sans-serif" w:eastAsia="sans-serif" w:hAnsi="sans-serif" w:cs="sans-serif"/>
          <w:color w:val="000000"/>
          <w:sz w:val="20"/>
          <w:szCs w:val="20"/>
        </w:rPr>
        <w:t xml:space="preserve">We have a Credit Agreement under which we may borrow up to $575 million for </w:t>
      </w:r>
      <w:r>
        <w:rPr>
          <w:rFonts w:ascii="sans-serif" w:eastAsia="sans-serif" w:hAnsi="sans-serif" w:cs="sans-serif"/>
          <w:color w:val="000000"/>
          <w:sz w:val="20"/>
          <w:szCs w:val="20"/>
        </w:rPr>
        <w:t>general corporate purposes and can obtain revolving loan commitments up to $425 million. As of April 26, 2020, we had not borrowed any amounts under this agreement.</w:t>
      </w:r>
    </w:p>
    <w:p w14:paraId="3693F323" w14:textId="77777777" w:rsidR="003734EC" w:rsidRDefault="000E364E">
      <w:pPr>
        <w:spacing w:after="180"/>
        <w:jc w:val="both"/>
      </w:pPr>
      <w:r>
        <w:rPr>
          <w:rFonts w:ascii="sans-serif" w:eastAsia="sans-serif" w:hAnsi="sans-serif" w:cs="sans-serif"/>
          <w:color w:val="000000"/>
          <w:sz w:val="20"/>
          <w:szCs w:val="20"/>
        </w:rPr>
        <w:t>The Credit Agreement governing the revolving credit facility requires the Company to comply</w:t>
      </w:r>
      <w:r>
        <w:rPr>
          <w:rFonts w:ascii="sans-serif" w:eastAsia="sans-serif" w:hAnsi="sans-serif" w:cs="sans-serif"/>
          <w:color w:val="000000"/>
          <w:sz w:val="20"/>
          <w:szCs w:val="20"/>
        </w:rPr>
        <w:t xml:space="preserve"> with a leverage ratio covenant. As of April 26, 2020, the Company was in compliance with this financial covenant.</w:t>
      </w:r>
    </w:p>
    <w:p w14:paraId="3693F324" w14:textId="77777777" w:rsidR="003734EC" w:rsidRDefault="003734EC">
      <w:pPr>
        <w:spacing w:before="240" w:after="60"/>
        <w:jc w:val="both"/>
      </w:pPr>
    </w:p>
    <w:p w14:paraId="3693F325" w14:textId="77777777" w:rsidR="003734EC" w:rsidRDefault="000E364E">
      <w:pPr>
        <w:spacing w:after="180"/>
        <w:jc w:val="center"/>
      </w:pPr>
      <w:r>
        <w:rPr>
          <w:rFonts w:ascii="sans-serif" w:eastAsia="sans-serif" w:hAnsi="sans-serif" w:cs="sans-serif"/>
          <w:color w:val="000000"/>
          <w:sz w:val="20"/>
          <w:szCs w:val="20"/>
        </w:rPr>
        <w:t>16</w:t>
      </w:r>
    </w:p>
    <w:p w14:paraId="3693F326" w14:textId="77777777" w:rsidR="003734EC" w:rsidRDefault="000E364E">
      <w:r>
        <w:pict w14:anchorId="3693FF59">
          <v:rect id="_x0000_i1039" style="width:415.3pt;height:1.5pt" o:hralign="center" o:hrstd="t" o:hr="t" fillcolor="#a0a0a0" stroked="f"/>
        </w:pict>
      </w:r>
    </w:p>
    <w:p w14:paraId="3693F327" w14:textId="77777777" w:rsidR="003734EC" w:rsidRDefault="000E364E">
      <w:pPr>
        <w:jc w:val="center"/>
      </w:pPr>
      <w:r>
        <w:rPr>
          <w:rFonts w:ascii="sans-serif" w:eastAsia="sans-serif" w:hAnsi="sans-serif" w:cs="sans-serif"/>
          <w:b/>
          <w:bCs/>
          <w:color w:val="000000"/>
          <w:sz w:val="20"/>
          <w:szCs w:val="20"/>
        </w:rPr>
        <w:t>NVIDIA CORPORATION AND SUBSIDIARIES</w:t>
      </w:r>
    </w:p>
    <w:p w14:paraId="3693F328"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329" w14:textId="77777777" w:rsidR="003734EC" w:rsidRDefault="000E364E">
      <w:pPr>
        <w:jc w:val="center"/>
      </w:pPr>
      <w:r>
        <w:rPr>
          <w:rFonts w:ascii="sans-serif" w:eastAsia="sans-serif" w:hAnsi="sans-serif" w:cs="sans-serif"/>
          <w:b/>
          <w:bCs/>
          <w:color w:val="000000"/>
          <w:sz w:val="20"/>
          <w:szCs w:val="20"/>
        </w:rPr>
        <w:t>(Unaudited)</w:t>
      </w:r>
    </w:p>
    <w:p w14:paraId="3693F32A" w14:textId="77777777" w:rsidR="003734EC" w:rsidRDefault="003734EC">
      <w:pPr>
        <w:spacing w:after="180"/>
        <w:jc w:val="both"/>
      </w:pPr>
    </w:p>
    <w:p w14:paraId="3693F32B" w14:textId="77777777" w:rsidR="003734EC" w:rsidRDefault="003734EC">
      <w:pPr>
        <w:spacing w:after="180"/>
        <w:jc w:val="both"/>
      </w:pPr>
    </w:p>
    <w:p w14:paraId="3693F32C" w14:textId="77777777" w:rsidR="003734EC" w:rsidRDefault="000E364E">
      <w:pPr>
        <w:spacing w:before="240" w:after="60"/>
        <w:jc w:val="both"/>
      </w:pPr>
      <w:r>
        <w:rPr>
          <w:rFonts w:ascii="sans-serif" w:eastAsia="sans-serif" w:hAnsi="sans-serif" w:cs="sans-serif"/>
          <w:b/>
          <w:bCs/>
          <w:color w:val="76B900"/>
          <w:sz w:val="20"/>
          <w:szCs w:val="20"/>
        </w:rPr>
        <w:t xml:space="preserve">Commercial </w:t>
      </w:r>
      <w:r>
        <w:rPr>
          <w:rFonts w:ascii="sans-serif" w:eastAsia="sans-serif" w:hAnsi="sans-serif" w:cs="sans-serif"/>
          <w:b/>
          <w:bCs/>
          <w:color w:val="76B900"/>
          <w:sz w:val="20"/>
          <w:szCs w:val="20"/>
        </w:rPr>
        <w:t>Paper</w:t>
      </w:r>
    </w:p>
    <w:p w14:paraId="3693F32D" w14:textId="77777777" w:rsidR="003734EC" w:rsidRDefault="000E364E">
      <w:pPr>
        <w:spacing w:after="180"/>
        <w:jc w:val="both"/>
      </w:pPr>
      <w:r>
        <w:rPr>
          <w:rFonts w:ascii="sans-serif" w:eastAsia="sans-serif" w:hAnsi="sans-serif" w:cs="sans-serif"/>
          <w:color w:val="000000"/>
          <w:sz w:val="20"/>
          <w:szCs w:val="20"/>
        </w:rPr>
        <w:t>We have a $575 million commercial paper program to support general corporate purposes. As of April 26, 2020, we had not issued any commercial paper.</w:t>
      </w:r>
    </w:p>
    <w:p w14:paraId="3693F32E" w14:textId="77777777" w:rsidR="003734EC" w:rsidRDefault="000E364E">
      <w:pPr>
        <w:spacing w:before="240" w:after="120"/>
        <w:jc w:val="both"/>
      </w:pPr>
      <w:r>
        <w:rPr>
          <w:rFonts w:ascii="sans-serif" w:eastAsia="sans-serif" w:hAnsi="sans-serif" w:cs="sans-serif"/>
          <w:b/>
          <w:bCs/>
          <w:color w:val="76B900"/>
          <w:sz w:val="22"/>
          <w:szCs w:val="22"/>
        </w:rPr>
        <w:t>Note 13 - Commitments and Contingencies</w:t>
      </w:r>
    </w:p>
    <w:p w14:paraId="3693F32F" w14:textId="77777777" w:rsidR="003734EC" w:rsidRDefault="000E364E">
      <w:pPr>
        <w:spacing w:before="240" w:after="60"/>
        <w:jc w:val="both"/>
      </w:pPr>
      <w:r>
        <w:rPr>
          <w:rFonts w:ascii="sans-serif" w:eastAsia="sans-serif" w:hAnsi="sans-serif" w:cs="sans-serif"/>
          <w:b/>
          <w:bCs/>
          <w:color w:val="76B900"/>
          <w:sz w:val="20"/>
          <w:szCs w:val="20"/>
        </w:rPr>
        <w:t>Purchase Obligations</w:t>
      </w:r>
    </w:p>
    <w:p w14:paraId="3693F330" w14:textId="77777777" w:rsidR="003734EC" w:rsidRDefault="000E364E">
      <w:pPr>
        <w:spacing w:after="120"/>
        <w:jc w:val="both"/>
      </w:pPr>
      <w:r>
        <w:rPr>
          <w:rFonts w:ascii="sans-serif" w:eastAsia="sans-serif" w:hAnsi="sans-serif" w:cs="sans-serif"/>
          <w:color w:val="000000"/>
          <w:sz w:val="20"/>
          <w:szCs w:val="20"/>
        </w:rPr>
        <w:t>As of April 26, 2020, we had outstanding</w:t>
      </w:r>
      <w:r>
        <w:rPr>
          <w:rFonts w:ascii="sans-serif" w:eastAsia="sans-serif" w:hAnsi="sans-serif" w:cs="sans-serif"/>
          <w:color w:val="000000"/>
          <w:sz w:val="20"/>
          <w:szCs w:val="20"/>
        </w:rPr>
        <w:t xml:space="preserve"> inventory purchase obligations totaling $1.76 billion and other purchase obligations totaling $287 million.</w:t>
      </w:r>
    </w:p>
    <w:p w14:paraId="3693F331" w14:textId="77777777" w:rsidR="003734EC" w:rsidRDefault="000E364E">
      <w:pPr>
        <w:spacing w:before="240" w:after="60"/>
        <w:jc w:val="both"/>
      </w:pPr>
      <w:r>
        <w:rPr>
          <w:rFonts w:ascii="sans-serif" w:eastAsia="sans-serif" w:hAnsi="sans-serif" w:cs="sans-serif"/>
          <w:b/>
          <w:bCs/>
          <w:color w:val="76B900"/>
          <w:sz w:val="20"/>
          <w:szCs w:val="20"/>
        </w:rPr>
        <w:t>Accrual for Product Warranty Liabilities</w:t>
      </w:r>
    </w:p>
    <w:p w14:paraId="3693F332" w14:textId="77777777" w:rsidR="003734EC" w:rsidRDefault="000E364E">
      <w:pPr>
        <w:spacing w:after="180"/>
        <w:jc w:val="both"/>
      </w:pPr>
      <w:r>
        <w:rPr>
          <w:rFonts w:ascii="sans-serif" w:eastAsia="sans-serif" w:hAnsi="sans-serif" w:cs="sans-serif"/>
          <w:color w:val="000000"/>
          <w:sz w:val="20"/>
          <w:szCs w:val="20"/>
        </w:rPr>
        <w:t>The estimated amount of product returns and warranty liabilities was $16 million and $15 million as of Apr</w:t>
      </w:r>
      <w:r>
        <w:rPr>
          <w:rFonts w:ascii="sans-serif" w:eastAsia="sans-serif" w:hAnsi="sans-serif" w:cs="sans-serif"/>
          <w:color w:val="000000"/>
          <w:sz w:val="20"/>
          <w:szCs w:val="20"/>
        </w:rPr>
        <w:t>il 26, 2020 and January 26, 2020, respectively, and the activities related to the warranty liabilities were not significant.</w:t>
      </w:r>
    </w:p>
    <w:p w14:paraId="3693F333" w14:textId="77777777" w:rsidR="003734EC" w:rsidRDefault="000E364E">
      <w:pPr>
        <w:jc w:val="both"/>
      </w:pPr>
      <w:r>
        <w:rPr>
          <w:rFonts w:ascii="sans-serif" w:eastAsia="sans-serif" w:hAnsi="sans-serif" w:cs="sans-serif"/>
          <w:color w:val="000000"/>
          <w:sz w:val="20"/>
          <w:szCs w:val="20"/>
        </w:rPr>
        <w:t>In connection with certain agreements that we have entered in the past, we have provided indemnities to cover the indemnified party</w:t>
      </w:r>
      <w:r>
        <w:rPr>
          <w:rFonts w:ascii="sans-serif" w:eastAsia="sans-serif" w:hAnsi="sans-serif" w:cs="sans-serif"/>
          <w:color w:val="000000"/>
          <w:sz w:val="20"/>
          <w:szCs w:val="20"/>
        </w:rPr>
        <w:t xml:space="preserve"> for matters such as tax, product, and employee liabilities. We have included intellectual property indemnification provisions in our technology related agreements with third parties. Maximum potential future payments cannot be estimated because many of th</w:t>
      </w:r>
      <w:r>
        <w:rPr>
          <w:rFonts w:ascii="sans-serif" w:eastAsia="sans-serif" w:hAnsi="sans-serif" w:cs="sans-serif"/>
          <w:color w:val="000000"/>
          <w:sz w:val="20"/>
          <w:szCs w:val="20"/>
        </w:rPr>
        <w:t>ese agreements do not have a maximum stated liability. We have not recorded any liability in our Condensed Consolidated Financial Statements for such indemnifications.</w:t>
      </w:r>
    </w:p>
    <w:p w14:paraId="3693F334" w14:textId="77777777" w:rsidR="003734EC" w:rsidRDefault="000E364E">
      <w:pPr>
        <w:spacing w:before="240" w:after="60"/>
        <w:jc w:val="both"/>
      </w:pPr>
      <w:r>
        <w:rPr>
          <w:rFonts w:ascii="sans-serif" w:eastAsia="sans-serif" w:hAnsi="sans-serif" w:cs="sans-serif"/>
          <w:b/>
          <w:bCs/>
          <w:color w:val="76B900"/>
          <w:sz w:val="20"/>
          <w:szCs w:val="20"/>
        </w:rPr>
        <w:t>Litigation</w:t>
      </w:r>
    </w:p>
    <w:p w14:paraId="3693F335" w14:textId="77777777" w:rsidR="003734EC" w:rsidRDefault="000E364E">
      <w:pPr>
        <w:spacing w:before="120" w:after="120"/>
        <w:jc w:val="both"/>
      </w:pPr>
      <w:r>
        <w:rPr>
          <w:rFonts w:ascii="sans-serif" w:eastAsia="sans-serif" w:hAnsi="sans-serif" w:cs="sans-serif"/>
          <w:b/>
          <w:bCs/>
          <w:color w:val="000000"/>
          <w:sz w:val="20"/>
          <w:szCs w:val="20"/>
        </w:rPr>
        <w:t>Securities Class Action and Derivative Lawsuits</w:t>
      </w:r>
    </w:p>
    <w:p w14:paraId="3693F336" w14:textId="77777777" w:rsidR="003734EC" w:rsidRDefault="000E364E">
      <w:pPr>
        <w:spacing w:after="180"/>
        <w:jc w:val="both"/>
      </w:pPr>
      <w:r>
        <w:rPr>
          <w:rFonts w:ascii="sans-serif" w:eastAsia="sans-serif" w:hAnsi="sans-serif" w:cs="sans-serif"/>
          <w:color w:val="000000"/>
          <w:sz w:val="20"/>
          <w:szCs w:val="20"/>
        </w:rPr>
        <w:t>On December 21, 2018, a purported securities class action lawsuit was filed in the United States District Court for the Northern District of California, captioned Iron Workers Joint Funds v. Nvidia Corporation, et al. (Case No. 18-cv-7669), naming as defen</w:t>
      </w:r>
      <w:r>
        <w:rPr>
          <w:rFonts w:ascii="sans-serif" w:eastAsia="sans-serif" w:hAnsi="sans-serif" w:cs="sans-serif"/>
          <w:color w:val="000000"/>
          <w:sz w:val="20"/>
          <w:szCs w:val="20"/>
        </w:rPr>
        <w:t xml:space="preserve">dants NVIDIA and certain of NVIDIA’s officers. On December 28, 2018, a substantially similar purported securities class action was commenced in the Northern District of California, captioned Oto v. Nvidia Corporation, et al. (Case No. 18-cv-07783), naming </w:t>
      </w:r>
      <w:r>
        <w:rPr>
          <w:rFonts w:ascii="sans-serif" w:eastAsia="sans-serif" w:hAnsi="sans-serif" w:cs="sans-serif"/>
          <w:color w:val="000000"/>
          <w:sz w:val="20"/>
          <w:szCs w:val="20"/>
        </w:rPr>
        <w:t>the same defendants, and seeking substantially similar relief. On February 19, 2019, a number of shareholders filed motions to consolidate the two cases and to be appointed lead plaintiff and for their respective counsel to be appointed lead counsel. On Ma</w:t>
      </w:r>
      <w:r>
        <w:rPr>
          <w:rFonts w:ascii="sans-serif" w:eastAsia="sans-serif" w:hAnsi="sans-serif" w:cs="sans-serif"/>
          <w:color w:val="000000"/>
          <w:sz w:val="20"/>
          <w:szCs w:val="20"/>
        </w:rPr>
        <w:t>rch 12, 2019, the two cases were consolidated under case number 4:18-cv-07669-HSG and titled In Re NVIDIA Corporation Securities Litigation. On May 2, 2019, the Court appointed lead plaintiffs and lead counsel. On June 21, 2019, the lead plaintiffs filed a</w:t>
      </w:r>
      <w:r>
        <w:rPr>
          <w:rFonts w:ascii="sans-serif" w:eastAsia="sans-serif" w:hAnsi="sans-serif" w:cs="sans-serif"/>
          <w:color w:val="000000"/>
          <w:sz w:val="20"/>
          <w:szCs w:val="20"/>
        </w:rPr>
        <w:t xml:space="preserve"> consolidated class action complaint. The consolidated complaint asserts that the defendants violated Section 10(b) of the Securities Exchange Act of 1934, as amended, or the Exchange Act, and SEC Rule 10b-5, by making materially false or misleading statem</w:t>
      </w:r>
      <w:r>
        <w:rPr>
          <w:rFonts w:ascii="sans-serif" w:eastAsia="sans-serif" w:hAnsi="sans-serif" w:cs="sans-serif"/>
          <w:color w:val="000000"/>
          <w:sz w:val="20"/>
          <w:szCs w:val="20"/>
        </w:rPr>
        <w:t>ents related to channel inventory and the impact of cryptocurrency mining on GPU demand between May 10, 2017 and November 14, 2018. The plaintiffs also allege that the NVIDIA executives who they named as defendants violated Section 20(a) of the Exchange Ac</w:t>
      </w:r>
      <w:r>
        <w:rPr>
          <w:rFonts w:ascii="sans-serif" w:eastAsia="sans-serif" w:hAnsi="sans-serif" w:cs="sans-serif"/>
          <w:color w:val="000000"/>
          <w:sz w:val="20"/>
          <w:szCs w:val="20"/>
        </w:rPr>
        <w:t>t. The plaintiffs seek class certification, an award of unspecified compensatory damages, an award of reasonable costs and expenses, including attorneys’ fees and expert fees, and further relief as the Court may deem just and proper. On August 2, 2019, NVI</w:t>
      </w:r>
      <w:r>
        <w:rPr>
          <w:rFonts w:ascii="sans-serif" w:eastAsia="sans-serif" w:hAnsi="sans-serif" w:cs="sans-serif"/>
          <w:color w:val="000000"/>
          <w:sz w:val="20"/>
          <w:szCs w:val="20"/>
        </w:rPr>
        <w:t>DIA moved to dismiss the consolidated class action complaint on the basis that plaintiffs failed to state any claims for violations of the securities laws by NVIDIA or the named defendants. On March 16, 2020, the Court issued an order dismissing the consol</w:t>
      </w:r>
      <w:r>
        <w:rPr>
          <w:rFonts w:ascii="sans-serif" w:eastAsia="sans-serif" w:hAnsi="sans-serif" w:cs="sans-serif"/>
          <w:color w:val="000000"/>
          <w:sz w:val="20"/>
          <w:szCs w:val="20"/>
        </w:rPr>
        <w:t xml:space="preserve">idated class action complaint with leave to amend. The plaintiffs filed an amended complaint on May 13, 2020. </w:t>
      </w:r>
    </w:p>
    <w:p w14:paraId="3693F337" w14:textId="77777777" w:rsidR="003734EC" w:rsidRDefault="000E364E">
      <w:pPr>
        <w:spacing w:after="180"/>
        <w:jc w:val="both"/>
      </w:pPr>
      <w:r>
        <w:rPr>
          <w:rFonts w:ascii="sans-serif" w:eastAsia="sans-serif" w:hAnsi="sans-serif" w:cs="sans-serif"/>
          <w:color w:val="000000"/>
          <w:sz w:val="20"/>
          <w:szCs w:val="20"/>
        </w:rPr>
        <w:t>On January 18, 2019, a shareholder, purporting to act on behalf of NVIDIA, filed a derivative lawsuit in the Northern District of California, cap</w:t>
      </w:r>
      <w:r>
        <w:rPr>
          <w:rFonts w:ascii="sans-serif" w:eastAsia="sans-serif" w:hAnsi="sans-serif" w:cs="sans-serif"/>
          <w:color w:val="000000"/>
          <w:sz w:val="20"/>
          <w:szCs w:val="20"/>
        </w:rPr>
        <w:t>tioned Han v. Huang, et al. (Case No. 19-cv-00341), seeking to assert claims on behalf of NVIDIA against the members of NVIDIA’s board of directors and certain officers. The lawsuit asserts claims for breach of fiduciary duty, unjust enrichment, waste of c</w:t>
      </w:r>
      <w:r>
        <w:rPr>
          <w:rFonts w:ascii="sans-serif" w:eastAsia="sans-serif" w:hAnsi="sans-serif" w:cs="sans-serif"/>
          <w:color w:val="000000"/>
          <w:sz w:val="20"/>
          <w:szCs w:val="20"/>
        </w:rPr>
        <w:t>orporate assets, and violations of Sections 14(a), 10(b), and 20(a) of the Exchange Act based on the dissemination of allegedly false and misleading statements related to channel inventory and the impact of cryptocurrency mining on GPU demand. The plaintif</w:t>
      </w:r>
      <w:r>
        <w:rPr>
          <w:rFonts w:ascii="sans-serif" w:eastAsia="sans-serif" w:hAnsi="sans-serif" w:cs="sans-serif"/>
          <w:color w:val="000000"/>
          <w:sz w:val="20"/>
          <w:szCs w:val="20"/>
        </w:rPr>
        <w:t>f is seeking unspecified damages and other relief, including reforms and improvements to NVIDIA’s corporate governance and internal procedures. On February 12, 2019, a substantially similar derivative lawsuit was filed in the Northern District of Californi</w:t>
      </w:r>
      <w:r>
        <w:rPr>
          <w:rFonts w:ascii="sans-serif" w:eastAsia="sans-serif" w:hAnsi="sans-serif" w:cs="sans-serif"/>
          <w:color w:val="000000"/>
          <w:sz w:val="20"/>
          <w:szCs w:val="20"/>
        </w:rPr>
        <w:t xml:space="preserve">a captioned Yang v. Huang, et. al. (Case No. 19-cv-00766), naming the same named defendants, and seeking the same relief. On February 19, 2019, a third substantially similar derivative lawsuit was filed in the Northern District of California captioned The </w:t>
      </w:r>
      <w:r>
        <w:rPr>
          <w:rFonts w:ascii="sans-serif" w:eastAsia="sans-serif" w:hAnsi="sans-serif" w:cs="sans-serif"/>
          <w:color w:val="000000"/>
          <w:sz w:val="20"/>
          <w:szCs w:val="20"/>
        </w:rPr>
        <w:t>Booth Family Trust v. Huang, et. al. (Case No. 3:19-cv-00876), naming the same named defendants, and seeking substantially the same relief. On March 12, 2019, the three derivative actions were consolidated under case number 4:19-cv-00341-HSG, and titled In</w:t>
      </w:r>
      <w:r>
        <w:rPr>
          <w:rFonts w:ascii="sans-serif" w:eastAsia="sans-serif" w:hAnsi="sans-serif" w:cs="sans-serif"/>
          <w:color w:val="000000"/>
          <w:sz w:val="20"/>
          <w:szCs w:val="20"/>
        </w:rPr>
        <w:t xml:space="preserve"> re NVIDIA Corporation Consolidated Derivative Litigation. The Court approved the parties’ stipulation to stay the </w:t>
      </w:r>
    </w:p>
    <w:p w14:paraId="3693F338" w14:textId="77777777" w:rsidR="003734EC" w:rsidRDefault="000E364E">
      <w:pPr>
        <w:spacing w:after="180"/>
        <w:jc w:val="center"/>
      </w:pPr>
      <w:r>
        <w:rPr>
          <w:rFonts w:ascii="sans-serif" w:eastAsia="sans-serif" w:hAnsi="sans-serif" w:cs="sans-serif"/>
          <w:color w:val="000000"/>
          <w:sz w:val="20"/>
          <w:szCs w:val="20"/>
        </w:rPr>
        <w:t>17</w:t>
      </w:r>
    </w:p>
    <w:p w14:paraId="3693F339" w14:textId="77777777" w:rsidR="003734EC" w:rsidRDefault="000E364E">
      <w:r>
        <w:pict w14:anchorId="3693FF5A">
          <v:rect id="_x0000_i1040" style="width:415.3pt;height:1.5pt" o:hralign="center" o:hrstd="t" o:hr="t" fillcolor="#a0a0a0" stroked="f"/>
        </w:pict>
      </w:r>
    </w:p>
    <w:p w14:paraId="3693F33A" w14:textId="77777777" w:rsidR="003734EC" w:rsidRDefault="000E364E">
      <w:pPr>
        <w:jc w:val="center"/>
      </w:pPr>
      <w:r>
        <w:rPr>
          <w:rFonts w:ascii="sans-serif" w:eastAsia="sans-serif" w:hAnsi="sans-serif" w:cs="sans-serif"/>
          <w:b/>
          <w:bCs/>
          <w:color w:val="000000"/>
          <w:sz w:val="20"/>
          <w:szCs w:val="20"/>
        </w:rPr>
        <w:t>NVIDIA CORPORATION AND SUBSIDIARIES</w:t>
      </w:r>
    </w:p>
    <w:p w14:paraId="3693F33B"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33C" w14:textId="77777777" w:rsidR="003734EC" w:rsidRDefault="000E364E">
      <w:pPr>
        <w:jc w:val="center"/>
      </w:pPr>
      <w:r>
        <w:rPr>
          <w:rFonts w:ascii="sans-serif" w:eastAsia="sans-serif" w:hAnsi="sans-serif" w:cs="sans-serif"/>
          <w:b/>
          <w:bCs/>
          <w:color w:val="000000"/>
          <w:sz w:val="20"/>
          <w:szCs w:val="20"/>
        </w:rPr>
        <w:t>(Unaudited)</w:t>
      </w:r>
    </w:p>
    <w:p w14:paraId="3693F33D" w14:textId="77777777" w:rsidR="003734EC" w:rsidRDefault="003734EC">
      <w:pPr>
        <w:spacing w:after="180"/>
        <w:jc w:val="both"/>
      </w:pPr>
    </w:p>
    <w:p w14:paraId="3693F33E" w14:textId="77777777" w:rsidR="003734EC" w:rsidRDefault="003734EC">
      <w:pPr>
        <w:spacing w:after="180"/>
        <w:jc w:val="both"/>
      </w:pPr>
    </w:p>
    <w:p w14:paraId="3693F33F" w14:textId="77777777" w:rsidR="003734EC" w:rsidRDefault="000E364E">
      <w:pPr>
        <w:spacing w:after="180"/>
        <w:jc w:val="both"/>
      </w:pPr>
      <w:r>
        <w:rPr>
          <w:rFonts w:ascii="sans-serif" w:eastAsia="sans-serif" w:hAnsi="sans-serif" w:cs="sans-serif"/>
          <w:color w:val="000000"/>
          <w:sz w:val="20"/>
          <w:szCs w:val="20"/>
        </w:rPr>
        <w:t>In Re NVIDIA Corpora</w:t>
      </w:r>
      <w:r>
        <w:rPr>
          <w:rFonts w:ascii="sans-serif" w:eastAsia="sans-serif" w:hAnsi="sans-serif" w:cs="sans-serif"/>
          <w:color w:val="000000"/>
          <w:sz w:val="20"/>
          <w:szCs w:val="20"/>
        </w:rPr>
        <w:t>tion Consolidated Derivative Litigation pending resolution of any motion to dismiss that NVIDIA may file in the In Re NVIDIA Corporation Securities Litigation.</w:t>
      </w:r>
    </w:p>
    <w:p w14:paraId="3693F340" w14:textId="77777777" w:rsidR="003734EC" w:rsidRDefault="000E364E">
      <w:pPr>
        <w:spacing w:after="180"/>
        <w:jc w:val="both"/>
      </w:pPr>
      <w:r>
        <w:rPr>
          <w:rFonts w:ascii="sans-serif" w:eastAsia="sans-serif" w:hAnsi="sans-serif" w:cs="sans-serif"/>
          <w:color w:val="000000"/>
          <w:sz w:val="20"/>
          <w:szCs w:val="20"/>
        </w:rPr>
        <w:t>On September 24, 2019, two shareholders, purporting to act on behalf of NVIDIA, filed two identi</w:t>
      </w:r>
      <w:r>
        <w:rPr>
          <w:rFonts w:ascii="sans-serif" w:eastAsia="sans-serif" w:hAnsi="sans-serif" w:cs="sans-serif"/>
          <w:color w:val="000000"/>
          <w:sz w:val="20"/>
          <w:szCs w:val="20"/>
        </w:rPr>
        <w:t>cal lawsuits in the District of Delaware. One is captioned Lipchitz v. Huang, et al. (Case No. 1:19-cv-01795-UNA) and the other is captioned Nelson v. Huang, et. al. (Case No. 1:19-cv-01798- UNA). The lawsuits assert claims for breach of fiduciary duty, un</w:t>
      </w:r>
      <w:r>
        <w:rPr>
          <w:rFonts w:ascii="sans-serif" w:eastAsia="sans-serif" w:hAnsi="sans-serif" w:cs="sans-serif"/>
          <w:color w:val="000000"/>
          <w:sz w:val="20"/>
          <w:szCs w:val="20"/>
        </w:rPr>
        <w:t xml:space="preserve">just enrichment, insider trading, misappropriation of information, corporate waste and violations of Sections 14(a), 10(b), and 20(a) of the Exchange Act based on the dissemination of allegedly false, and misleading statements related to channel inventory </w:t>
      </w:r>
      <w:r>
        <w:rPr>
          <w:rFonts w:ascii="sans-serif" w:eastAsia="sans-serif" w:hAnsi="sans-serif" w:cs="sans-serif"/>
          <w:color w:val="000000"/>
          <w:sz w:val="20"/>
          <w:szCs w:val="20"/>
        </w:rPr>
        <w:t xml:space="preserve">and the impact of cryptocurrency mining on GPU demand. The plaintiffs seek unspecified damages and other relief, including disgorgement of profits from the sale of NVIDIA stock and unspecified corporate governance measures. On December 11, 2019, the Court </w:t>
      </w:r>
      <w:r>
        <w:rPr>
          <w:rFonts w:ascii="sans-serif" w:eastAsia="sans-serif" w:hAnsi="sans-serif" w:cs="sans-serif"/>
          <w:color w:val="000000"/>
          <w:sz w:val="20"/>
          <w:szCs w:val="20"/>
        </w:rPr>
        <w:t>approved the parties’ stipulation to stay the Lipchitz and Huang actions pending resolution of the motion to dismiss filed by NVIDIA in the In Re NVIDIA Corporation Securities Litigation.</w:t>
      </w:r>
    </w:p>
    <w:p w14:paraId="3693F341" w14:textId="77777777" w:rsidR="003734EC" w:rsidRDefault="000E364E">
      <w:pPr>
        <w:spacing w:after="180"/>
        <w:jc w:val="both"/>
      </w:pPr>
      <w:r>
        <w:rPr>
          <w:rFonts w:ascii="sans-serif" w:eastAsia="sans-serif" w:hAnsi="sans-serif" w:cs="sans-serif"/>
          <w:color w:val="000000"/>
          <w:sz w:val="20"/>
          <w:szCs w:val="20"/>
        </w:rPr>
        <w:t>It is possible that additional suits will be filed, or allegations r</w:t>
      </w:r>
      <w:r>
        <w:rPr>
          <w:rFonts w:ascii="sans-serif" w:eastAsia="sans-serif" w:hAnsi="sans-serif" w:cs="sans-serif"/>
          <w:color w:val="000000"/>
          <w:sz w:val="20"/>
          <w:szCs w:val="20"/>
        </w:rPr>
        <w:t>eceived from shareholders, with respect to these same or other matters, naming NVIDIA and/or its officers and directors as defendants.</w:t>
      </w:r>
    </w:p>
    <w:p w14:paraId="3693F342" w14:textId="77777777" w:rsidR="003734EC" w:rsidRDefault="000E364E">
      <w:pPr>
        <w:spacing w:before="120" w:after="120"/>
        <w:jc w:val="both"/>
      </w:pPr>
      <w:r>
        <w:rPr>
          <w:rFonts w:ascii="sans-serif" w:eastAsia="sans-serif" w:hAnsi="sans-serif" w:cs="sans-serif"/>
          <w:b/>
          <w:bCs/>
          <w:color w:val="000000"/>
          <w:sz w:val="20"/>
          <w:szCs w:val="20"/>
        </w:rPr>
        <w:t>Accounting for Loss Contingencies</w:t>
      </w:r>
    </w:p>
    <w:p w14:paraId="3693F343" w14:textId="77777777" w:rsidR="003734EC" w:rsidRDefault="000E364E">
      <w:pPr>
        <w:spacing w:after="180"/>
        <w:jc w:val="both"/>
      </w:pPr>
      <w:r>
        <w:rPr>
          <w:rFonts w:ascii="sans-serif" w:eastAsia="sans-serif" w:hAnsi="sans-serif" w:cs="sans-serif"/>
          <w:color w:val="000000"/>
          <w:sz w:val="20"/>
          <w:szCs w:val="20"/>
        </w:rPr>
        <w:t>We are engaged in legal actions not described above arising in the ordinary course of b</w:t>
      </w:r>
      <w:r>
        <w:rPr>
          <w:rFonts w:ascii="sans-serif" w:eastAsia="sans-serif" w:hAnsi="sans-serif" w:cs="sans-serif"/>
          <w:color w:val="000000"/>
          <w:sz w:val="20"/>
          <w:szCs w:val="20"/>
        </w:rPr>
        <w:t>usiness and, while there can be no assurance of favorable outcomes, we believe that the ultimate outcome of these actions will not have a material adverse effect on our operating results, liquidity or financial position. As of April 26, 2020, we have not r</w:t>
      </w:r>
      <w:r>
        <w:rPr>
          <w:rFonts w:ascii="sans-serif" w:eastAsia="sans-serif" w:hAnsi="sans-serif" w:cs="sans-serif"/>
          <w:color w:val="000000"/>
          <w:sz w:val="20"/>
          <w:szCs w:val="20"/>
        </w:rPr>
        <w:t>ecorded any accrual for contingent liabilities associated with the legal proceedings described above based on our belief that liabilities, while possible, are not probable. Further, except as specifically described above, any possible loss or range of loss</w:t>
      </w:r>
      <w:r>
        <w:rPr>
          <w:rFonts w:ascii="sans-serif" w:eastAsia="sans-serif" w:hAnsi="sans-serif" w:cs="sans-serif"/>
          <w:color w:val="000000"/>
          <w:sz w:val="20"/>
          <w:szCs w:val="20"/>
        </w:rPr>
        <w:t xml:space="preserve"> in these matters cannot be reasonably estimated at this time.</w:t>
      </w:r>
    </w:p>
    <w:p w14:paraId="3693F344" w14:textId="77777777" w:rsidR="003734EC" w:rsidRDefault="000E364E">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3693F345" w14:textId="77777777" w:rsidR="003734EC" w:rsidRDefault="000E364E">
      <w:pPr>
        <w:spacing w:before="240" w:after="60"/>
        <w:jc w:val="both"/>
      </w:pPr>
      <w:r>
        <w:rPr>
          <w:rFonts w:ascii="sans-serif" w:eastAsia="sans-serif" w:hAnsi="sans-serif" w:cs="sans-serif"/>
          <w:b/>
          <w:bCs/>
          <w:color w:val="76B900"/>
          <w:sz w:val="20"/>
          <w:szCs w:val="20"/>
        </w:rPr>
        <w:t>Capital Return Program </w:t>
      </w:r>
    </w:p>
    <w:p w14:paraId="3693F346" w14:textId="77777777" w:rsidR="003734EC" w:rsidRDefault="000E364E">
      <w:pPr>
        <w:spacing w:after="180"/>
        <w:jc w:val="both"/>
      </w:pPr>
      <w:r>
        <w:rPr>
          <w:rFonts w:ascii="sans-serif" w:eastAsia="sans-serif" w:hAnsi="sans-serif" w:cs="sans-serif"/>
          <w:color w:val="000000"/>
          <w:sz w:val="20"/>
          <w:szCs w:val="20"/>
        </w:rPr>
        <w:t>Beginning August 2004, our Board of Directors authorized us to repurchase our stock.</w:t>
      </w:r>
    </w:p>
    <w:p w14:paraId="3693F347" w14:textId="77777777" w:rsidR="003734EC" w:rsidRDefault="000E364E">
      <w:pPr>
        <w:spacing w:after="180"/>
        <w:jc w:val="both"/>
      </w:pPr>
      <w:r>
        <w:rPr>
          <w:rFonts w:ascii="sans-serif" w:eastAsia="sans-serif" w:hAnsi="sans-serif" w:cs="sans-serif"/>
          <w:color w:val="000000"/>
          <w:sz w:val="20"/>
          <w:szCs w:val="20"/>
        </w:rPr>
        <w:t>Through April 26, 2020, we have repurchased an aggre</w:t>
      </w:r>
      <w:r>
        <w:rPr>
          <w:rFonts w:ascii="sans-serif" w:eastAsia="sans-serif" w:hAnsi="sans-serif" w:cs="sans-serif"/>
          <w:color w:val="000000"/>
          <w:sz w:val="20"/>
          <w:szCs w:val="20"/>
        </w:rPr>
        <w:t xml:space="preserve">gate of 260 million shares under our share repurchase program for a total cost of $7.08 billion. All shares delivered from these repurchases have been placed into treasury stock. As of April 26, 2020, we were authorized, subject to certain specifications, </w:t>
      </w:r>
      <w:r>
        <w:rPr>
          <w:rFonts w:ascii="sans-serif" w:eastAsia="sans-serif" w:hAnsi="sans-serif" w:cs="sans-serif"/>
          <w:color w:val="000000"/>
          <w:sz w:val="20"/>
          <w:szCs w:val="20"/>
        </w:rPr>
        <w:t>to repurchase additional shares of our common stock up to $7.24 billion through December 2022.</w:t>
      </w:r>
    </w:p>
    <w:p w14:paraId="3693F348" w14:textId="77777777" w:rsidR="003734EC" w:rsidRDefault="000E364E">
      <w:pPr>
        <w:spacing w:after="180"/>
        <w:jc w:val="both"/>
      </w:pPr>
      <w:r>
        <w:rPr>
          <w:rFonts w:ascii="sans-serif" w:eastAsia="sans-serif" w:hAnsi="sans-serif" w:cs="sans-serif"/>
          <w:color w:val="000000"/>
          <w:sz w:val="20"/>
          <w:szCs w:val="20"/>
        </w:rPr>
        <w:t>During the first quarter of fiscal year 2021, we paid $98 million in cash dividends to our shareholders.</w:t>
      </w:r>
    </w:p>
    <w:p w14:paraId="3693F349" w14:textId="77777777" w:rsidR="003734EC" w:rsidRDefault="000E364E">
      <w:pPr>
        <w:spacing w:before="240" w:after="120"/>
        <w:jc w:val="both"/>
      </w:pPr>
      <w:r>
        <w:rPr>
          <w:rFonts w:ascii="sans-serif" w:eastAsia="sans-serif" w:hAnsi="sans-serif" w:cs="sans-serif"/>
          <w:b/>
          <w:bCs/>
          <w:color w:val="76B900"/>
          <w:sz w:val="22"/>
          <w:szCs w:val="22"/>
        </w:rPr>
        <w:t>Note 15 - Segment Information</w:t>
      </w:r>
    </w:p>
    <w:p w14:paraId="3693F34A" w14:textId="77777777" w:rsidR="003734EC" w:rsidRDefault="000E364E">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performance. Previously, we had</w:t>
      </w:r>
      <w:r>
        <w:rPr>
          <w:rFonts w:ascii="sans-serif" w:eastAsia="sans-serif" w:hAnsi="sans-serif" w:cs="sans-serif"/>
          <w:color w:val="000000"/>
          <w:sz w:val="20"/>
          <w:szCs w:val="20"/>
        </w:rPr>
        <w:t xml:space="preserve"> reported two operating segments: GPU and Tegra Processor. During the first quarter of fiscal year 2021, we changed our operating segments to be consistent with the revised manner in which our CODM reviews our financial performance and allocates resources.</w:t>
      </w:r>
      <w:r>
        <w:rPr>
          <w:rFonts w:ascii="sans-serif" w:eastAsia="sans-serif" w:hAnsi="sans-serif" w:cs="sans-serif"/>
          <w:color w:val="000000"/>
          <w:sz w:val="20"/>
          <w:szCs w:val="20"/>
        </w:rPr>
        <w:t xml:space="preserve"> The two new operating segments are "Graphics" and "Compute &amp; Networking". Comparative periods presented reflect this change. Our operating segments are equivalent to our reportable segments. </w:t>
      </w:r>
    </w:p>
    <w:p w14:paraId="3693F34B" w14:textId="77777777" w:rsidR="003734EC" w:rsidRDefault="000E364E">
      <w:pPr>
        <w:spacing w:after="180"/>
        <w:jc w:val="both"/>
      </w:pPr>
      <w:r>
        <w:rPr>
          <w:rFonts w:ascii="sans-serif" w:eastAsia="sans-serif" w:hAnsi="sans-serif" w:cs="sans-serif"/>
          <w:color w:val="000000"/>
          <w:sz w:val="20"/>
          <w:szCs w:val="20"/>
        </w:rPr>
        <w:t xml:space="preserve">Our Graphics segment includes GeForce GPUs for gaming and PCs, </w:t>
      </w:r>
      <w:r>
        <w:rPr>
          <w:rFonts w:ascii="sans-serif" w:eastAsia="sans-serif" w:hAnsi="sans-serif" w:cs="sans-serif"/>
          <w:color w:val="000000"/>
          <w:sz w:val="20"/>
          <w:szCs w:val="20"/>
        </w:rPr>
        <w:t>the GeForce NOW game streaming service and related infrastructure, and solutions for gaming platforms; Quadro GPUs for enterprise design; GRID software for cloud-based visual and virtual computing; and automotive platforms for infotainment systems. Our Com</w:t>
      </w:r>
      <w:r>
        <w:rPr>
          <w:rFonts w:ascii="sans-serif" w:eastAsia="sans-serif" w:hAnsi="sans-serif" w:cs="sans-serif"/>
          <w:color w:val="000000"/>
          <w:sz w:val="20"/>
          <w:szCs w:val="20"/>
        </w:rPr>
        <w:t xml:space="preserve">pute &amp; Networking segment includes Data Center platforms and systems for artificial intelligence, or AI, high performance computing, or HPC, and accelerated computing; DRIVE for autonomous vehicles; and Jetson for robotics and other embedded platforms. </w:t>
      </w:r>
    </w:p>
    <w:p w14:paraId="3693F34C" w14:textId="77777777" w:rsidR="003734EC" w:rsidRDefault="000E364E">
      <w:pPr>
        <w:spacing w:after="180"/>
        <w:jc w:val="both"/>
      </w:pPr>
      <w:r>
        <w:rPr>
          <w:rFonts w:ascii="sans-serif" w:eastAsia="sans-serif" w:hAnsi="sans-serif" w:cs="sans-serif"/>
          <w:color w:val="000000"/>
          <w:sz w:val="20"/>
          <w:szCs w:val="20"/>
        </w:rPr>
        <w:t>Op</w:t>
      </w:r>
      <w:r>
        <w:rPr>
          <w:rFonts w:ascii="sans-serif" w:eastAsia="sans-serif" w:hAnsi="sans-serif" w:cs="sans-serif"/>
          <w:color w:val="000000"/>
          <w:sz w:val="20"/>
          <w:szCs w:val="20"/>
        </w:rPr>
        <w:t>erating results by segment include costs or expenses that are directly attributable to each segment, and costs or expenses that are leveraged across our unified architecture and therefore allocated between our two segments.</w:t>
      </w:r>
    </w:p>
    <w:p w14:paraId="3693F34D" w14:textId="77777777" w:rsidR="003734EC" w:rsidRDefault="000E364E">
      <w:pPr>
        <w:spacing w:after="180"/>
        <w:jc w:val="center"/>
      </w:pPr>
      <w:r>
        <w:rPr>
          <w:rFonts w:ascii="sans-serif" w:eastAsia="sans-serif" w:hAnsi="sans-serif" w:cs="sans-serif"/>
          <w:color w:val="000000"/>
          <w:sz w:val="20"/>
          <w:szCs w:val="20"/>
        </w:rPr>
        <w:t>18</w:t>
      </w:r>
    </w:p>
    <w:p w14:paraId="3693F34E" w14:textId="77777777" w:rsidR="003734EC" w:rsidRDefault="000E364E">
      <w:r>
        <w:pict w14:anchorId="3693FF5B">
          <v:rect id="_x0000_i1041" style="width:415.3pt;height:1.5pt" o:hralign="center" o:hrstd="t" o:hr="t" fillcolor="#a0a0a0" stroked="f"/>
        </w:pict>
      </w:r>
    </w:p>
    <w:p w14:paraId="3693F34F" w14:textId="77777777" w:rsidR="003734EC" w:rsidRDefault="000E364E">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3693F350"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351" w14:textId="77777777" w:rsidR="003734EC" w:rsidRDefault="000E364E">
      <w:pPr>
        <w:jc w:val="center"/>
      </w:pPr>
      <w:r>
        <w:rPr>
          <w:rFonts w:ascii="sans-serif" w:eastAsia="sans-serif" w:hAnsi="sans-serif" w:cs="sans-serif"/>
          <w:b/>
          <w:bCs/>
          <w:color w:val="000000"/>
          <w:sz w:val="20"/>
          <w:szCs w:val="20"/>
        </w:rPr>
        <w:t>(Unaudited)</w:t>
      </w:r>
    </w:p>
    <w:p w14:paraId="3693F352" w14:textId="77777777" w:rsidR="003734EC" w:rsidRDefault="003734EC">
      <w:pPr>
        <w:spacing w:after="180"/>
        <w:jc w:val="both"/>
      </w:pPr>
    </w:p>
    <w:p w14:paraId="3693F353" w14:textId="77777777" w:rsidR="003734EC" w:rsidRDefault="003734EC">
      <w:pPr>
        <w:spacing w:after="180"/>
        <w:jc w:val="both"/>
      </w:pPr>
    </w:p>
    <w:p w14:paraId="3693F354" w14:textId="77777777" w:rsidR="003734EC" w:rsidRDefault="000E364E">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w:t>
      </w:r>
      <w:r>
        <w:rPr>
          <w:rFonts w:ascii="sans-serif" w:eastAsia="sans-serif" w:hAnsi="sans-serif" w:cs="sans-serif"/>
          <w:color w:val="000000"/>
          <w:sz w:val="20"/>
          <w:szCs w:val="20"/>
        </w:rPr>
        <w:t>ting decisions or assessing financial performance. The expenses include stock-based compensation expense, corporate infrastructure and support costs, acquisition-related costs, legal settlement costs, and other non-recurring charges and benefits that our C</w:t>
      </w:r>
      <w:r>
        <w:rPr>
          <w:rFonts w:ascii="sans-serif" w:eastAsia="sans-serif" w:hAnsi="sans-serif" w:cs="sans-serif"/>
          <w:color w:val="000000"/>
          <w:sz w:val="20"/>
          <w:szCs w:val="20"/>
        </w:rPr>
        <w:t xml:space="preserve">ODM deems to be enterprise in nature. </w:t>
      </w:r>
    </w:p>
    <w:p w14:paraId="3693F355" w14:textId="77777777" w:rsidR="003734EC" w:rsidRDefault="000E364E">
      <w:pPr>
        <w:spacing w:after="180"/>
        <w:jc w:val="both"/>
      </w:pPr>
      <w:r>
        <w:rPr>
          <w:rFonts w:ascii="sans-serif" w:eastAsia="sans-serif" w:hAnsi="sans-serif" w:cs="sans-serif"/>
          <w:color w:val="000000"/>
          <w:sz w:val="20"/>
          <w:szCs w:val="20"/>
        </w:rPr>
        <w:t>Our CODM does not review any information regarding total assets on a reportable segment basis. Depreciation and amortization expense directly attributable to each reportable segment is included in operating results fo</w:t>
      </w:r>
      <w:r>
        <w:rPr>
          <w:rFonts w:ascii="sans-serif" w:eastAsia="sans-serif" w:hAnsi="sans-serif" w:cs="sans-serif"/>
          <w:color w:val="000000"/>
          <w:sz w:val="20"/>
          <w:szCs w:val="20"/>
        </w:rPr>
        <w:t>r each segment. However, the CODM does not evaluate depreciation and amortization expense by operating segment and, therefore, it is not separately presented. There is no intersegment revenue. The accounting policies for segment reporting are the same as f</w:t>
      </w:r>
      <w:r>
        <w:rPr>
          <w:rFonts w:ascii="sans-serif" w:eastAsia="sans-serif" w:hAnsi="sans-serif" w:cs="sans-serif"/>
          <w:color w:val="000000"/>
          <w:sz w:val="20"/>
          <w:szCs w:val="20"/>
        </w:rPr>
        <w:t>or our consolidated financial statements. The table below presents details of our reportable segments and the “All Other” category.</w:t>
      </w:r>
    </w:p>
    <w:tbl>
      <w:tblPr>
        <w:tblW w:w="4993" w:type="pct"/>
        <w:tblCellMar>
          <w:top w:w="15" w:type="dxa"/>
          <w:left w:w="15" w:type="dxa"/>
          <w:bottom w:w="15" w:type="dxa"/>
          <w:right w:w="15" w:type="dxa"/>
        </w:tblCellMar>
        <w:tblLook w:val="04A0" w:firstRow="1" w:lastRow="0" w:firstColumn="1" w:lastColumn="0" w:noHBand="0" w:noVBand="1"/>
      </w:tblPr>
      <w:tblGrid>
        <w:gridCol w:w="39"/>
        <w:gridCol w:w="3309"/>
        <w:gridCol w:w="38"/>
        <w:gridCol w:w="138"/>
        <w:gridCol w:w="689"/>
        <w:gridCol w:w="81"/>
        <w:gridCol w:w="36"/>
        <w:gridCol w:w="36"/>
        <w:gridCol w:w="36"/>
        <w:gridCol w:w="138"/>
        <w:gridCol w:w="858"/>
        <w:gridCol w:w="81"/>
        <w:gridCol w:w="36"/>
        <w:gridCol w:w="36"/>
        <w:gridCol w:w="36"/>
        <w:gridCol w:w="137"/>
        <w:gridCol w:w="584"/>
        <w:gridCol w:w="81"/>
        <w:gridCol w:w="36"/>
        <w:gridCol w:w="36"/>
        <w:gridCol w:w="36"/>
        <w:gridCol w:w="138"/>
        <w:gridCol w:w="953"/>
        <w:gridCol w:w="88"/>
        <w:gridCol w:w="36"/>
        <w:gridCol w:w="36"/>
        <w:gridCol w:w="36"/>
        <w:gridCol w:w="36"/>
        <w:gridCol w:w="36"/>
        <w:gridCol w:w="36"/>
        <w:gridCol w:w="36"/>
        <w:gridCol w:w="36"/>
        <w:gridCol w:w="36"/>
        <w:gridCol w:w="36"/>
        <w:gridCol w:w="36"/>
        <w:gridCol w:w="36"/>
        <w:gridCol w:w="36"/>
        <w:gridCol w:w="36"/>
        <w:gridCol w:w="36"/>
        <w:gridCol w:w="36"/>
        <w:gridCol w:w="36"/>
        <w:gridCol w:w="36"/>
      </w:tblGrid>
      <w:tr w:rsidR="003734EC" w14:paraId="3693F36E" w14:textId="77777777">
        <w:trPr>
          <w:gridAfter w:val="18"/>
        </w:trPr>
        <w:tc>
          <w:tcPr>
            <w:tcW w:w="50" w:type="pct"/>
            <w:shd w:val="clear" w:color="auto" w:fill="auto"/>
            <w:vAlign w:val="center"/>
          </w:tcPr>
          <w:p w14:paraId="3693F356" w14:textId="77777777" w:rsidR="003734EC" w:rsidRDefault="003734EC">
            <w:pPr>
              <w:rPr>
                <w:rFonts w:ascii="宋体"/>
              </w:rPr>
            </w:pPr>
          </w:p>
        </w:tc>
        <w:tc>
          <w:tcPr>
            <w:tcW w:w="2242" w:type="pct"/>
            <w:shd w:val="clear" w:color="auto" w:fill="auto"/>
            <w:vAlign w:val="center"/>
          </w:tcPr>
          <w:p w14:paraId="3693F357" w14:textId="77777777" w:rsidR="003734EC" w:rsidRDefault="003734EC">
            <w:pPr>
              <w:rPr>
                <w:rFonts w:ascii="宋体"/>
              </w:rPr>
            </w:pPr>
          </w:p>
        </w:tc>
        <w:tc>
          <w:tcPr>
            <w:tcW w:w="50" w:type="pct"/>
            <w:shd w:val="clear" w:color="auto" w:fill="auto"/>
            <w:vAlign w:val="center"/>
          </w:tcPr>
          <w:p w14:paraId="3693F358" w14:textId="77777777" w:rsidR="003734EC" w:rsidRDefault="003734EC">
            <w:pPr>
              <w:rPr>
                <w:rFonts w:ascii="宋体"/>
              </w:rPr>
            </w:pPr>
          </w:p>
        </w:tc>
        <w:tc>
          <w:tcPr>
            <w:tcW w:w="50" w:type="pct"/>
            <w:shd w:val="clear" w:color="auto" w:fill="auto"/>
            <w:vAlign w:val="center"/>
          </w:tcPr>
          <w:p w14:paraId="3693F359" w14:textId="77777777" w:rsidR="003734EC" w:rsidRDefault="003734EC">
            <w:pPr>
              <w:rPr>
                <w:rFonts w:ascii="宋体"/>
              </w:rPr>
            </w:pPr>
          </w:p>
        </w:tc>
        <w:tc>
          <w:tcPr>
            <w:tcW w:w="536" w:type="pct"/>
            <w:shd w:val="clear" w:color="auto" w:fill="auto"/>
            <w:vAlign w:val="center"/>
          </w:tcPr>
          <w:p w14:paraId="3693F35A" w14:textId="77777777" w:rsidR="003734EC" w:rsidRDefault="003734EC">
            <w:pPr>
              <w:rPr>
                <w:rFonts w:ascii="宋体"/>
              </w:rPr>
            </w:pPr>
          </w:p>
        </w:tc>
        <w:tc>
          <w:tcPr>
            <w:tcW w:w="50" w:type="pct"/>
            <w:shd w:val="clear" w:color="auto" w:fill="auto"/>
            <w:vAlign w:val="center"/>
          </w:tcPr>
          <w:p w14:paraId="3693F35B" w14:textId="77777777" w:rsidR="003734EC" w:rsidRDefault="003734EC">
            <w:pPr>
              <w:rPr>
                <w:rFonts w:ascii="宋体"/>
              </w:rPr>
            </w:pPr>
          </w:p>
        </w:tc>
        <w:tc>
          <w:tcPr>
            <w:tcW w:w="5" w:type="pct"/>
            <w:shd w:val="clear" w:color="auto" w:fill="auto"/>
            <w:vAlign w:val="center"/>
          </w:tcPr>
          <w:p w14:paraId="3693F35C" w14:textId="77777777" w:rsidR="003734EC" w:rsidRDefault="003734EC">
            <w:pPr>
              <w:rPr>
                <w:rFonts w:ascii="宋体"/>
              </w:rPr>
            </w:pPr>
          </w:p>
        </w:tc>
        <w:tc>
          <w:tcPr>
            <w:tcW w:w="26" w:type="pct"/>
            <w:shd w:val="clear" w:color="auto" w:fill="auto"/>
            <w:vAlign w:val="center"/>
          </w:tcPr>
          <w:p w14:paraId="3693F35D" w14:textId="77777777" w:rsidR="003734EC" w:rsidRDefault="003734EC">
            <w:pPr>
              <w:rPr>
                <w:rFonts w:ascii="宋体"/>
              </w:rPr>
            </w:pPr>
          </w:p>
        </w:tc>
        <w:tc>
          <w:tcPr>
            <w:tcW w:w="5" w:type="pct"/>
            <w:shd w:val="clear" w:color="auto" w:fill="auto"/>
            <w:vAlign w:val="center"/>
          </w:tcPr>
          <w:p w14:paraId="3693F35E" w14:textId="77777777" w:rsidR="003734EC" w:rsidRDefault="003734EC">
            <w:pPr>
              <w:rPr>
                <w:rFonts w:ascii="宋体"/>
              </w:rPr>
            </w:pPr>
          </w:p>
        </w:tc>
        <w:tc>
          <w:tcPr>
            <w:tcW w:w="50" w:type="pct"/>
            <w:shd w:val="clear" w:color="auto" w:fill="auto"/>
            <w:vAlign w:val="center"/>
          </w:tcPr>
          <w:p w14:paraId="3693F35F" w14:textId="77777777" w:rsidR="003734EC" w:rsidRDefault="003734EC">
            <w:pPr>
              <w:rPr>
                <w:rFonts w:ascii="宋体"/>
              </w:rPr>
            </w:pPr>
          </w:p>
        </w:tc>
        <w:tc>
          <w:tcPr>
            <w:tcW w:w="536" w:type="pct"/>
            <w:shd w:val="clear" w:color="auto" w:fill="auto"/>
            <w:vAlign w:val="center"/>
          </w:tcPr>
          <w:p w14:paraId="3693F360" w14:textId="77777777" w:rsidR="003734EC" w:rsidRDefault="003734EC">
            <w:pPr>
              <w:rPr>
                <w:rFonts w:ascii="宋体"/>
              </w:rPr>
            </w:pPr>
          </w:p>
        </w:tc>
        <w:tc>
          <w:tcPr>
            <w:tcW w:w="50" w:type="pct"/>
            <w:shd w:val="clear" w:color="auto" w:fill="auto"/>
            <w:vAlign w:val="center"/>
          </w:tcPr>
          <w:p w14:paraId="3693F361" w14:textId="77777777" w:rsidR="003734EC" w:rsidRDefault="003734EC">
            <w:pPr>
              <w:rPr>
                <w:rFonts w:ascii="宋体"/>
              </w:rPr>
            </w:pPr>
          </w:p>
        </w:tc>
        <w:tc>
          <w:tcPr>
            <w:tcW w:w="5" w:type="pct"/>
            <w:shd w:val="clear" w:color="auto" w:fill="auto"/>
            <w:vAlign w:val="center"/>
          </w:tcPr>
          <w:p w14:paraId="3693F362" w14:textId="77777777" w:rsidR="003734EC" w:rsidRDefault="003734EC">
            <w:pPr>
              <w:rPr>
                <w:rFonts w:ascii="宋体"/>
              </w:rPr>
            </w:pPr>
          </w:p>
        </w:tc>
        <w:tc>
          <w:tcPr>
            <w:tcW w:w="26" w:type="pct"/>
            <w:shd w:val="clear" w:color="auto" w:fill="auto"/>
            <w:vAlign w:val="center"/>
          </w:tcPr>
          <w:p w14:paraId="3693F363" w14:textId="77777777" w:rsidR="003734EC" w:rsidRDefault="003734EC">
            <w:pPr>
              <w:rPr>
                <w:rFonts w:ascii="宋体"/>
              </w:rPr>
            </w:pPr>
          </w:p>
        </w:tc>
        <w:tc>
          <w:tcPr>
            <w:tcW w:w="5" w:type="pct"/>
            <w:shd w:val="clear" w:color="auto" w:fill="auto"/>
            <w:vAlign w:val="center"/>
          </w:tcPr>
          <w:p w14:paraId="3693F364" w14:textId="77777777" w:rsidR="003734EC" w:rsidRDefault="003734EC">
            <w:pPr>
              <w:rPr>
                <w:rFonts w:ascii="宋体"/>
              </w:rPr>
            </w:pPr>
          </w:p>
        </w:tc>
        <w:tc>
          <w:tcPr>
            <w:tcW w:w="50" w:type="pct"/>
            <w:shd w:val="clear" w:color="auto" w:fill="auto"/>
            <w:vAlign w:val="center"/>
          </w:tcPr>
          <w:p w14:paraId="3693F365" w14:textId="77777777" w:rsidR="003734EC" w:rsidRDefault="003734EC">
            <w:pPr>
              <w:rPr>
                <w:rFonts w:ascii="宋体"/>
              </w:rPr>
            </w:pPr>
          </w:p>
        </w:tc>
        <w:tc>
          <w:tcPr>
            <w:tcW w:w="536" w:type="pct"/>
            <w:shd w:val="clear" w:color="auto" w:fill="auto"/>
            <w:vAlign w:val="center"/>
          </w:tcPr>
          <w:p w14:paraId="3693F366" w14:textId="77777777" w:rsidR="003734EC" w:rsidRDefault="003734EC">
            <w:pPr>
              <w:rPr>
                <w:rFonts w:ascii="宋体"/>
              </w:rPr>
            </w:pPr>
          </w:p>
        </w:tc>
        <w:tc>
          <w:tcPr>
            <w:tcW w:w="50" w:type="pct"/>
            <w:shd w:val="clear" w:color="auto" w:fill="auto"/>
            <w:vAlign w:val="center"/>
          </w:tcPr>
          <w:p w14:paraId="3693F367" w14:textId="77777777" w:rsidR="003734EC" w:rsidRDefault="003734EC">
            <w:pPr>
              <w:rPr>
                <w:rFonts w:ascii="宋体"/>
              </w:rPr>
            </w:pPr>
          </w:p>
        </w:tc>
        <w:tc>
          <w:tcPr>
            <w:tcW w:w="5" w:type="pct"/>
            <w:shd w:val="clear" w:color="auto" w:fill="auto"/>
            <w:vAlign w:val="center"/>
          </w:tcPr>
          <w:p w14:paraId="3693F368" w14:textId="77777777" w:rsidR="003734EC" w:rsidRDefault="003734EC">
            <w:pPr>
              <w:rPr>
                <w:rFonts w:ascii="宋体"/>
              </w:rPr>
            </w:pPr>
          </w:p>
        </w:tc>
        <w:tc>
          <w:tcPr>
            <w:tcW w:w="26" w:type="pct"/>
            <w:shd w:val="clear" w:color="auto" w:fill="auto"/>
            <w:vAlign w:val="center"/>
          </w:tcPr>
          <w:p w14:paraId="3693F369" w14:textId="77777777" w:rsidR="003734EC" w:rsidRDefault="003734EC">
            <w:pPr>
              <w:rPr>
                <w:rFonts w:ascii="宋体"/>
              </w:rPr>
            </w:pPr>
          </w:p>
        </w:tc>
        <w:tc>
          <w:tcPr>
            <w:tcW w:w="5" w:type="pct"/>
            <w:shd w:val="clear" w:color="auto" w:fill="auto"/>
            <w:vAlign w:val="center"/>
          </w:tcPr>
          <w:p w14:paraId="3693F36A" w14:textId="77777777" w:rsidR="003734EC" w:rsidRDefault="003734EC">
            <w:pPr>
              <w:rPr>
                <w:rFonts w:ascii="宋体"/>
              </w:rPr>
            </w:pPr>
          </w:p>
        </w:tc>
        <w:tc>
          <w:tcPr>
            <w:tcW w:w="50" w:type="pct"/>
            <w:shd w:val="clear" w:color="auto" w:fill="auto"/>
            <w:vAlign w:val="center"/>
          </w:tcPr>
          <w:p w14:paraId="3693F36B" w14:textId="77777777" w:rsidR="003734EC" w:rsidRDefault="003734EC">
            <w:pPr>
              <w:rPr>
                <w:rFonts w:ascii="宋体"/>
              </w:rPr>
            </w:pPr>
          </w:p>
        </w:tc>
        <w:tc>
          <w:tcPr>
            <w:tcW w:w="537" w:type="pct"/>
            <w:shd w:val="clear" w:color="auto" w:fill="auto"/>
            <w:vAlign w:val="center"/>
          </w:tcPr>
          <w:p w14:paraId="3693F36C" w14:textId="77777777" w:rsidR="003734EC" w:rsidRDefault="003734EC">
            <w:pPr>
              <w:rPr>
                <w:rFonts w:ascii="宋体"/>
              </w:rPr>
            </w:pPr>
          </w:p>
        </w:tc>
        <w:tc>
          <w:tcPr>
            <w:tcW w:w="50" w:type="pct"/>
            <w:shd w:val="clear" w:color="auto" w:fill="auto"/>
            <w:vAlign w:val="center"/>
          </w:tcPr>
          <w:p w14:paraId="3693F36D" w14:textId="77777777" w:rsidR="003734EC" w:rsidRDefault="003734EC">
            <w:pPr>
              <w:rPr>
                <w:rFonts w:ascii="宋体"/>
              </w:rPr>
            </w:pPr>
          </w:p>
        </w:tc>
      </w:tr>
      <w:tr w:rsidR="003734EC" w14:paraId="3693F377" w14:textId="77777777">
        <w:trPr>
          <w:gridAfter w:val="18"/>
        </w:trPr>
        <w:tc>
          <w:tcPr>
            <w:tcW w:w="0" w:type="auto"/>
            <w:gridSpan w:val="3"/>
            <w:shd w:val="clear" w:color="auto" w:fill="auto"/>
            <w:tcMar>
              <w:top w:w="40" w:type="dxa"/>
              <w:left w:w="20" w:type="dxa"/>
              <w:bottom w:w="40" w:type="dxa"/>
              <w:right w:w="20" w:type="dxa"/>
            </w:tcMar>
            <w:vAlign w:val="bottom"/>
          </w:tcPr>
          <w:p w14:paraId="3693F36F"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370" w14:textId="77777777" w:rsidR="003734EC" w:rsidRDefault="000E364E">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left w:w="20" w:type="dxa"/>
              <w:right w:w="20" w:type="dxa"/>
            </w:tcMar>
            <w:vAlign w:val="bottom"/>
          </w:tcPr>
          <w:p w14:paraId="3693F371"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372" w14:textId="77777777" w:rsidR="003734EC" w:rsidRDefault="000E364E">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left w:w="20" w:type="dxa"/>
              <w:right w:w="20" w:type="dxa"/>
            </w:tcMar>
            <w:vAlign w:val="bottom"/>
          </w:tcPr>
          <w:p w14:paraId="3693F373"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374" w14:textId="77777777" w:rsidR="003734EC" w:rsidRDefault="000E364E">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left w:w="20" w:type="dxa"/>
              <w:right w:w="20" w:type="dxa"/>
            </w:tcMar>
            <w:vAlign w:val="bottom"/>
          </w:tcPr>
          <w:p w14:paraId="3693F375"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376" w14:textId="77777777" w:rsidR="003734EC" w:rsidRDefault="000E364E">
            <w:pPr>
              <w:jc w:val="center"/>
              <w:textAlignment w:val="bottom"/>
            </w:pPr>
            <w:r>
              <w:rPr>
                <w:rFonts w:ascii="sans-serif" w:eastAsia="sans-serif" w:hAnsi="sans-serif" w:cs="sans-serif"/>
                <w:b/>
                <w:bCs/>
                <w:color w:val="000000"/>
                <w:sz w:val="20"/>
                <w:szCs w:val="20"/>
              </w:rPr>
              <w:t>Consolidated</w:t>
            </w:r>
          </w:p>
        </w:tc>
      </w:tr>
      <w:tr w:rsidR="003734EC" w14:paraId="3693F380" w14:textId="77777777">
        <w:tc>
          <w:tcPr>
            <w:tcW w:w="0" w:type="auto"/>
            <w:gridSpan w:val="3"/>
            <w:shd w:val="clear" w:color="auto" w:fill="auto"/>
            <w:tcMar>
              <w:top w:w="40" w:type="dxa"/>
              <w:left w:w="20" w:type="dxa"/>
              <w:bottom w:w="40" w:type="dxa"/>
              <w:right w:w="20" w:type="dxa"/>
            </w:tcMar>
            <w:vAlign w:val="bottom"/>
          </w:tcPr>
          <w:p w14:paraId="3693F378" w14:textId="77777777" w:rsidR="003734EC" w:rsidRDefault="000E364E">
            <w:pPr>
              <w:textAlignment w:val="bottom"/>
            </w:pPr>
            <w:r>
              <w:rPr>
                <w:rFonts w:ascii="sans-serif" w:eastAsia="sans-serif" w:hAnsi="sans-serif" w:cs="sans-serif"/>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693F379"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37A" w14:textId="77777777" w:rsidR="003734EC" w:rsidRDefault="003734EC">
            <w:pPr>
              <w:rPr>
                <w:rFonts w:ascii="宋体"/>
                <w:vanish/>
              </w:rPr>
            </w:pPr>
          </w:p>
        </w:tc>
        <w:tc>
          <w:tcPr>
            <w:tcW w:w="0" w:type="auto"/>
            <w:gridSpan w:val="3"/>
            <w:shd w:val="clear" w:color="auto" w:fill="auto"/>
            <w:vAlign w:val="center"/>
          </w:tcPr>
          <w:p w14:paraId="3693F37B" w14:textId="77777777" w:rsidR="003734EC" w:rsidRDefault="003734EC">
            <w:pPr>
              <w:rPr>
                <w:rFonts w:ascii="宋体"/>
                <w:vanish/>
              </w:rPr>
            </w:pPr>
          </w:p>
        </w:tc>
        <w:tc>
          <w:tcPr>
            <w:tcW w:w="0" w:type="auto"/>
            <w:gridSpan w:val="3"/>
            <w:shd w:val="clear" w:color="auto" w:fill="auto"/>
            <w:vAlign w:val="center"/>
          </w:tcPr>
          <w:p w14:paraId="3693F37C" w14:textId="77777777" w:rsidR="003734EC" w:rsidRDefault="003734EC">
            <w:pPr>
              <w:rPr>
                <w:rFonts w:ascii="宋体"/>
                <w:vanish/>
              </w:rPr>
            </w:pPr>
          </w:p>
        </w:tc>
        <w:tc>
          <w:tcPr>
            <w:tcW w:w="0" w:type="auto"/>
            <w:gridSpan w:val="3"/>
            <w:shd w:val="clear" w:color="auto" w:fill="auto"/>
            <w:vAlign w:val="center"/>
          </w:tcPr>
          <w:p w14:paraId="3693F37D" w14:textId="77777777" w:rsidR="003734EC" w:rsidRDefault="003734EC">
            <w:pPr>
              <w:rPr>
                <w:rFonts w:ascii="宋体"/>
                <w:vanish/>
              </w:rPr>
            </w:pPr>
          </w:p>
        </w:tc>
        <w:tc>
          <w:tcPr>
            <w:tcW w:w="0" w:type="auto"/>
            <w:gridSpan w:val="3"/>
            <w:shd w:val="clear" w:color="auto" w:fill="auto"/>
            <w:vAlign w:val="center"/>
          </w:tcPr>
          <w:p w14:paraId="3693F37E" w14:textId="77777777" w:rsidR="003734EC" w:rsidRDefault="003734EC">
            <w:pPr>
              <w:rPr>
                <w:rFonts w:ascii="宋体"/>
                <w:vanish/>
              </w:rPr>
            </w:pPr>
          </w:p>
        </w:tc>
        <w:tc>
          <w:tcPr>
            <w:tcW w:w="0" w:type="auto"/>
            <w:gridSpan w:val="3"/>
            <w:shd w:val="clear" w:color="auto" w:fill="auto"/>
            <w:vAlign w:val="center"/>
          </w:tcPr>
          <w:p w14:paraId="3693F37F" w14:textId="77777777" w:rsidR="003734EC" w:rsidRDefault="003734EC">
            <w:pPr>
              <w:rPr>
                <w:rFonts w:ascii="宋体"/>
                <w:vanish/>
              </w:rPr>
            </w:pPr>
          </w:p>
        </w:tc>
      </w:tr>
      <w:tr w:rsidR="003734EC" w14:paraId="3693F39B" w14:textId="77777777">
        <w:tc>
          <w:tcPr>
            <w:tcW w:w="0" w:type="auto"/>
            <w:gridSpan w:val="3"/>
            <w:shd w:val="clear" w:color="auto" w:fill="E2EFD9"/>
            <w:tcMar>
              <w:top w:w="40" w:type="dxa"/>
              <w:left w:w="20" w:type="dxa"/>
              <w:bottom w:w="40" w:type="dxa"/>
              <w:right w:w="20" w:type="dxa"/>
            </w:tcMar>
            <w:vAlign w:val="bottom"/>
          </w:tcPr>
          <w:p w14:paraId="3693F381" w14:textId="77777777" w:rsidR="003734EC" w:rsidRDefault="000E364E">
            <w:pPr>
              <w:textAlignment w:val="bottom"/>
            </w:pPr>
            <w:r>
              <w:rPr>
                <w:rFonts w:ascii="sans-serif" w:eastAsia="sans-serif" w:hAnsi="sans-serif" w:cs="sans-serif"/>
                <w:b/>
                <w:bCs/>
                <w:color w:val="000000"/>
                <w:sz w:val="20"/>
                <w:szCs w:val="20"/>
              </w:rPr>
              <w:t>Three Months Ended April 26, 2020</w:t>
            </w:r>
          </w:p>
        </w:tc>
        <w:tc>
          <w:tcPr>
            <w:tcW w:w="0" w:type="auto"/>
            <w:gridSpan w:val="3"/>
            <w:shd w:val="clear" w:color="auto" w:fill="E2EFD9"/>
            <w:tcMar>
              <w:top w:w="40" w:type="dxa"/>
              <w:left w:w="20" w:type="dxa"/>
              <w:bottom w:w="40" w:type="dxa"/>
              <w:right w:w="20" w:type="dxa"/>
            </w:tcMar>
            <w:vAlign w:val="bottom"/>
          </w:tcPr>
          <w:p w14:paraId="3693F382"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83"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384"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85"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386"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87" w14:textId="77777777" w:rsidR="003734EC" w:rsidRDefault="003734EC">
            <w:pPr>
              <w:rPr>
                <w:rFonts w:ascii="宋体"/>
              </w:rPr>
            </w:pPr>
          </w:p>
        </w:tc>
        <w:tc>
          <w:tcPr>
            <w:tcW w:w="0" w:type="auto"/>
            <w:gridSpan w:val="3"/>
            <w:shd w:val="clear" w:color="auto" w:fill="E2EFD9"/>
            <w:tcMar>
              <w:top w:w="40" w:type="dxa"/>
              <w:left w:w="20" w:type="dxa"/>
              <w:bottom w:w="40" w:type="dxa"/>
              <w:right w:w="20" w:type="dxa"/>
            </w:tcMar>
            <w:vAlign w:val="bottom"/>
          </w:tcPr>
          <w:p w14:paraId="3693F388"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389" w14:textId="77777777" w:rsidR="003734EC" w:rsidRDefault="003734EC">
            <w:pPr>
              <w:rPr>
                <w:rFonts w:ascii="宋体"/>
              </w:rPr>
            </w:pPr>
          </w:p>
        </w:tc>
        <w:tc>
          <w:tcPr>
            <w:tcW w:w="0" w:type="auto"/>
            <w:shd w:val="clear" w:color="auto" w:fill="auto"/>
            <w:vAlign w:val="center"/>
          </w:tcPr>
          <w:p w14:paraId="3693F38A" w14:textId="77777777" w:rsidR="003734EC" w:rsidRDefault="003734EC">
            <w:pPr>
              <w:rPr>
                <w:rFonts w:ascii="宋体"/>
              </w:rPr>
            </w:pPr>
          </w:p>
        </w:tc>
        <w:tc>
          <w:tcPr>
            <w:tcW w:w="0" w:type="auto"/>
            <w:shd w:val="clear" w:color="auto" w:fill="auto"/>
            <w:vAlign w:val="center"/>
          </w:tcPr>
          <w:p w14:paraId="3693F38B" w14:textId="77777777" w:rsidR="003734EC" w:rsidRDefault="003734EC">
            <w:pPr>
              <w:rPr>
                <w:rFonts w:ascii="宋体"/>
              </w:rPr>
            </w:pPr>
          </w:p>
        </w:tc>
        <w:tc>
          <w:tcPr>
            <w:tcW w:w="0" w:type="auto"/>
            <w:shd w:val="clear" w:color="auto" w:fill="auto"/>
            <w:vAlign w:val="center"/>
          </w:tcPr>
          <w:p w14:paraId="3693F38C" w14:textId="77777777" w:rsidR="003734EC" w:rsidRDefault="003734EC">
            <w:pPr>
              <w:rPr>
                <w:rFonts w:ascii="宋体"/>
              </w:rPr>
            </w:pPr>
          </w:p>
        </w:tc>
        <w:tc>
          <w:tcPr>
            <w:tcW w:w="0" w:type="auto"/>
            <w:shd w:val="clear" w:color="auto" w:fill="auto"/>
            <w:vAlign w:val="center"/>
          </w:tcPr>
          <w:p w14:paraId="3693F38D" w14:textId="77777777" w:rsidR="003734EC" w:rsidRDefault="003734EC">
            <w:pPr>
              <w:rPr>
                <w:rFonts w:ascii="宋体"/>
              </w:rPr>
            </w:pPr>
          </w:p>
        </w:tc>
        <w:tc>
          <w:tcPr>
            <w:tcW w:w="0" w:type="auto"/>
            <w:shd w:val="clear" w:color="auto" w:fill="auto"/>
            <w:vAlign w:val="center"/>
          </w:tcPr>
          <w:p w14:paraId="3693F38E" w14:textId="77777777" w:rsidR="003734EC" w:rsidRDefault="003734EC">
            <w:pPr>
              <w:rPr>
                <w:rFonts w:ascii="宋体"/>
              </w:rPr>
            </w:pPr>
          </w:p>
        </w:tc>
        <w:tc>
          <w:tcPr>
            <w:tcW w:w="0" w:type="auto"/>
            <w:shd w:val="clear" w:color="auto" w:fill="auto"/>
            <w:vAlign w:val="center"/>
          </w:tcPr>
          <w:p w14:paraId="3693F38F" w14:textId="77777777" w:rsidR="003734EC" w:rsidRDefault="003734EC">
            <w:pPr>
              <w:rPr>
                <w:rFonts w:ascii="宋体"/>
              </w:rPr>
            </w:pPr>
          </w:p>
        </w:tc>
        <w:tc>
          <w:tcPr>
            <w:tcW w:w="0" w:type="auto"/>
            <w:shd w:val="clear" w:color="auto" w:fill="auto"/>
            <w:vAlign w:val="center"/>
          </w:tcPr>
          <w:p w14:paraId="3693F390" w14:textId="77777777" w:rsidR="003734EC" w:rsidRDefault="003734EC">
            <w:pPr>
              <w:rPr>
                <w:rFonts w:ascii="宋体"/>
              </w:rPr>
            </w:pPr>
          </w:p>
        </w:tc>
        <w:tc>
          <w:tcPr>
            <w:tcW w:w="0" w:type="auto"/>
            <w:shd w:val="clear" w:color="auto" w:fill="auto"/>
            <w:vAlign w:val="center"/>
          </w:tcPr>
          <w:p w14:paraId="3693F391" w14:textId="77777777" w:rsidR="003734EC" w:rsidRDefault="003734EC">
            <w:pPr>
              <w:rPr>
                <w:rFonts w:ascii="宋体"/>
              </w:rPr>
            </w:pPr>
          </w:p>
        </w:tc>
        <w:tc>
          <w:tcPr>
            <w:tcW w:w="0" w:type="auto"/>
            <w:shd w:val="clear" w:color="auto" w:fill="auto"/>
            <w:vAlign w:val="center"/>
          </w:tcPr>
          <w:p w14:paraId="3693F392" w14:textId="77777777" w:rsidR="003734EC" w:rsidRDefault="003734EC">
            <w:pPr>
              <w:rPr>
                <w:rFonts w:ascii="宋体"/>
              </w:rPr>
            </w:pPr>
          </w:p>
        </w:tc>
        <w:tc>
          <w:tcPr>
            <w:tcW w:w="0" w:type="auto"/>
            <w:shd w:val="clear" w:color="auto" w:fill="auto"/>
            <w:vAlign w:val="center"/>
          </w:tcPr>
          <w:p w14:paraId="3693F393" w14:textId="77777777" w:rsidR="003734EC" w:rsidRDefault="003734EC">
            <w:pPr>
              <w:rPr>
                <w:rFonts w:ascii="宋体"/>
              </w:rPr>
            </w:pPr>
          </w:p>
        </w:tc>
        <w:tc>
          <w:tcPr>
            <w:tcW w:w="0" w:type="auto"/>
            <w:shd w:val="clear" w:color="auto" w:fill="auto"/>
            <w:vAlign w:val="center"/>
          </w:tcPr>
          <w:p w14:paraId="3693F394" w14:textId="77777777" w:rsidR="003734EC" w:rsidRDefault="003734EC">
            <w:pPr>
              <w:rPr>
                <w:rFonts w:ascii="宋体"/>
              </w:rPr>
            </w:pPr>
          </w:p>
        </w:tc>
        <w:tc>
          <w:tcPr>
            <w:tcW w:w="0" w:type="auto"/>
            <w:shd w:val="clear" w:color="auto" w:fill="auto"/>
            <w:vAlign w:val="center"/>
          </w:tcPr>
          <w:p w14:paraId="3693F395" w14:textId="77777777" w:rsidR="003734EC" w:rsidRDefault="003734EC">
            <w:pPr>
              <w:rPr>
                <w:rFonts w:ascii="宋体"/>
              </w:rPr>
            </w:pPr>
          </w:p>
        </w:tc>
        <w:tc>
          <w:tcPr>
            <w:tcW w:w="0" w:type="auto"/>
            <w:shd w:val="clear" w:color="auto" w:fill="auto"/>
            <w:vAlign w:val="center"/>
          </w:tcPr>
          <w:p w14:paraId="3693F396" w14:textId="77777777" w:rsidR="003734EC" w:rsidRDefault="003734EC">
            <w:pPr>
              <w:rPr>
                <w:rFonts w:ascii="宋体"/>
              </w:rPr>
            </w:pPr>
          </w:p>
        </w:tc>
        <w:tc>
          <w:tcPr>
            <w:tcW w:w="0" w:type="auto"/>
            <w:shd w:val="clear" w:color="auto" w:fill="auto"/>
            <w:vAlign w:val="center"/>
          </w:tcPr>
          <w:p w14:paraId="3693F397" w14:textId="77777777" w:rsidR="003734EC" w:rsidRDefault="003734EC">
            <w:pPr>
              <w:rPr>
                <w:rFonts w:ascii="宋体"/>
              </w:rPr>
            </w:pPr>
          </w:p>
        </w:tc>
        <w:tc>
          <w:tcPr>
            <w:tcW w:w="0" w:type="auto"/>
            <w:shd w:val="clear" w:color="auto" w:fill="auto"/>
            <w:vAlign w:val="center"/>
          </w:tcPr>
          <w:p w14:paraId="3693F398" w14:textId="77777777" w:rsidR="003734EC" w:rsidRDefault="003734EC">
            <w:pPr>
              <w:rPr>
                <w:rFonts w:ascii="宋体"/>
              </w:rPr>
            </w:pPr>
          </w:p>
        </w:tc>
        <w:tc>
          <w:tcPr>
            <w:tcW w:w="0" w:type="auto"/>
            <w:shd w:val="clear" w:color="auto" w:fill="auto"/>
            <w:vAlign w:val="center"/>
          </w:tcPr>
          <w:p w14:paraId="3693F399" w14:textId="77777777" w:rsidR="003734EC" w:rsidRDefault="003734EC">
            <w:pPr>
              <w:rPr>
                <w:rFonts w:ascii="宋体"/>
              </w:rPr>
            </w:pPr>
          </w:p>
        </w:tc>
        <w:tc>
          <w:tcPr>
            <w:tcW w:w="0" w:type="auto"/>
            <w:shd w:val="clear" w:color="auto" w:fill="auto"/>
            <w:vAlign w:val="center"/>
          </w:tcPr>
          <w:p w14:paraId="3693F39A" w14:textId="77777777" w:rsidR="003734EC" w:rsidRDefault="003734EC">
            <w:pPr>
              <w:rPr>
                <w:rFonts w:ascii="宋体"/>
              </w:rPr>
            </w:pPr>
          </w:p>
        </w:tc>
      </w:tr>
      <w:tr w:rsidR="003734EC" w14:paraId="3693F3BE" w14:textId="77777777">
        <w:tc>
          <w:tcPr>
            <w:tcW w:w="0" w:type="auto"/>
            <w:gridSpan w:val="3"/>
            <w:shd w:val="clear" w:color="auto" w:fill="FFFFFF"/>
            <w:tcMar>
              <w:top w:w="40" w:type="dxa"/>
              <w:left w:w="20" w:type="dxa"/>
              <w:bottom w:w="40" w:type="dxa"/>
              <w:right w:w="20" w:type="dxa"/>
            </w:tcMar>
            <w:vAlign w:val="bottom"/>
          </w:tcPr>
          <w:p w14:paraId="3693F39C" w14:textId="77777777" w:rsidR="003734EC" w:rsidRDefault="000E364E">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3693F39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39E" w14:textId="77777777" w:rsidR="003734EC" w:rsidRDefault="000E364E">
            <w:pPr>
              <w:jc w:val="right"/>
              <w:textAlignment w:val="bottom"/>
            </w:pPr>
            <w:r>
              <w:rPr>
                <w:rFonts w:ascii="sans-serif" w:eastAsia="sans-serif" w:hAnsi="sans-serif" w:cs="sans-serif"/>
                <w:color w:val="000000"/>
                <w:sz w:val="20"/>
                <w:szCs w:val="20"/>
              </w:rPr>
              <w:t>1,906 </w:t>
            </w:r>
          </w:p>
        </w:tc>
        <w:tc>
          <w:tcPr>
            <w:tcW w:w="0" w:type="auto"/>
            <w:shd w:val="clear" w:color="auto" w:fill="FFFFFF"/>
            <w:tcMar>
              <w:top w:w="40" w:type="dxa"/>
              <w:bottom w:w="40" w:type="dxa"/>
              <w:right w:w="20" w:type="dxa"/>
            </w:tcMar>
            <w:vAlign w:val="bottom"/>
          </w:tcPr>
          <w:p w14:paraId="3693F39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3A0"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3A1"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3A2" w14:textId="77777777" w:rsidR="003734EC" w:rsidRDefault="000E364E">
            <w:pPr>
              <w:jc w:val="right"/>
              <w:textAlignment w:val="bottom"/>
            </w:pPr>
            <w:r>
              <w:rPr>
                <w:rFonts w:ascii="sans-serif" w:eastAsia="sans-serif" w:hAnsi="sans-serif" w:cs="sans-serif"/>
                <w:color w:val="000000"/>
                <w:sz w:val="20"/>
                <w:szCs w:val="20"/>
              </w:rPr>
              <w:t>1,174 </w:t>
            </w:r>
          </w:p>
        </w:tc>
        <w:tc>
          <w:tcPr>
            <w:tcW w:w="0" w:type="auto"/>
            <w:shd w:val="clear" w:color="auto" w:fill="FFFFFF"/>
            <w:tcMar>
              <w:top w:w="40" w:type="dxa"/>
              <w:bottom w:w="40" w:type="dxa"/>
              <w:right w:w="20" w:type="dxa"/>
            </w:tcMar>
            <w:vAlign w:val="bottom"/>
          </w:tcPr>
          <w:p w14:paraId="3693F3A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3A4"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3A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3A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F3A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3A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3A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3AA"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shd w:val="clear" w:color="auto" w:fill="FFFFFF"/>
            <w:tcMar>
              <w:top w:w="40" w:type="dxa"/>
              <w:bottom w:w="40" w:type="dxa"/>
              <w:right w:w="20" w:type="dxa"/>
            </w:tcMar>
            <w:vAlign w:val="bottom"/>
          </w:tcPr>
          <w:p w14:paraId="3693F3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3AC" w14:textId="77777777" w:rsidR="003734EC" w:rsidRDefault="003734EC">
            <w:pPr>
              <w:rPr>
                <w:rFonts w:ascii="宋体"/>
              </w:rPr>
            </w:pPr>
          </w:p>
        </w:tc>
        <w:tc>
          <w:tcPr>
            <w:tcW w:w="0" w:type="auto"/>
            <w:shd w:val="clear" w:color="auto" w:fill="auto"/>
            <w:vAlign w:val="center"/>
          </w:tcPr>
          <w:p w14:paraId="3693F3AD" w14:textId="77777777" w:rsidR="003734EC" w:rsidRDefault="003734EC">
            <w:pPr>
              <w:rPr>
                <w:rFonts w:ascii="宋体"/>
              </w:rPr>
            </w:pPr>
          </w:p>
        </w:tc>
        <w:tc>
          <w:tcPr>
            <w:tcW w:w="0" w:type="auto"/>
            <w:shd w:val="clear" w:color="auto" w:fill="auto"/>
            <w:vAlign w:val="center"/>
          </w:tcPr>
          <w:p w14:paraId="3693F3AE" w14:textId="77777777" w:rsidR="003734EC" w:rsidRDefault="003734EC">
            <w:pPr>
              <w:rPr>
                <w:rFonts w:ascii="宋体"/>
              </w:rPr>
            </w:pPr>
          </w:p>
        </w:tc>
        <w:tc>
          <w:tcPr>
            <w:tcW w:w="0" w:type="auto"/>
            <w:shd w:val="clear" w:color="auto" w:fill="auto"/>
            <w:vAlign w:val="center"/>
          </w:tcPr>
          <w:p w14:paraId="3693F3AF" w14:textId="77777777" w:rsidR="003734EC" w:rsidRDefault="003734EC">
            <w:pPr>
              <w:rPr>
                <w:rFonts w:ascii="宋体"/>
              </w:rPr>
            </w:pPr>
          </w:p>
        </w:tc>
        <w:tc>
          <w:tcPr>
            <w:tcW w:w="0" w:type="auto"/>
            <w:shd w:val="clear" w:color="auto" w:fill="auto"/>
            <w:vAlign w:val="center"/>
          </w:tcPr>
          <w:p w14:paraId="3693F3B0" w14:textId="77777777" w:rsidR="003734EC" w:rsidRDefault="003734EC">
            <w:pPr>
              <w:rPr>
                <w:rFonts w:ascii="宋体"/>
              </w:rPr>
            </w:pPr>
          </w:p>
        </w:tc>
        <w:tc>
          <w:tcPr>
            <w:tcW w:w="0" w:type="auto"/>
            <w:shd w:val="clear" w:color="auto" w:fill="auto"/>
            <w:vAlign w:val="center"/>
          </w:tcPr>
          <w:p w14:paraId="3693F3B1" w14:textId="77777777" w:rsidR="003734EC" w:rsidRDefault="003734EC">
            <w:pPr>
              <w:rPr>
                <w:rFonts w:ascii="宋体"/>
              </w:rPr>
            </w:pPr>
          </w:p>
        </w:tc>
        <w:tc>
          <w:tcPr>
            <w:tcW w:w="0" w:type="auto"/>
            <w:shd w:val="clear" w:color="auto" w:fill="auto"/>
            <w:vAlign w:val="center"/>
          </w:tcPr>
          <w:p w14:paraId="3693F3B2" w14:textId="77777777" w:rsidR="003734EC" w:rsidRDefault="003734EC">
            <w:pPr>
              <w:rPr>
                <w:rFonts w:ascii="宋体"/>
              </w:rPr>
            </w:pPr>
          </w:p>
        </w:tc>
        <w:tc>
          <w:tcPr>
            <w:tcW w:w="0" w:type="auto"/>
            <w:shd w:val="clear" w:color="auto" w:fill="auto"/>
            <w:vAlign w:val="center"/>
          </w:tcPr>
          <w:p w14:paraId="3693F3B3" w14:textId="77777777" w:rsidR="003734EC" w:rsidRDefault="003734EC">
            <w:pPr>
              <w:rPr>
                <w:rFonts w:ascii="宋体"/>
              </w:rPr>
            </w:pPr>
          </w:p>
        </w:tc>
        <w:tc>
          <w:tcPr>
            <w:tcW w:w="0" w:type="auto"/>
            <w:shd w:val="clear" w:color="auto" w:fill="auto"/>
            <w:vAlign w:val="center"/>
          </w:tcPr>
          <w:p w14:paraId="3693F3B4" w14:textId="77777777" w:rsidR="003734EC" w:rsidRDefault="003734EC">
            <w:pPr>
              <w:rPr>
                <w:rFonts w:ascii="宋体"/>
              </w:rPr>
            </w:pPr>
          </w:p>
        </w:tc>
        <w:tc>
          <w:tcPr>
            <w:tcW w:w="0" w:type="auto"/>
            <w:shd w:val="clear" w:color="auto" w:fill="auto"/>
            <w:vAlign w:val="center"/>
          </w:tcPr>
          <w:p w14:paraId="3693F3B5" w14:textId="77777777" w:rsidR="003734EC" w:rsidRDefault="003734EC">
            <w:pPr>
              <w:rPr>
                <w:rFonts w:ascii="宋体"/>
              </w:rPr>
            </w:pPr>
          </w:p>
        </w:tc>
        <w:tc>
          <w:tcPr>
            <w:tcW w:w="0" w:type="auto"/>
            <w:shd w:val="clear" w:color="auto" w:fill="auto"/>
            <w:vAlign w:val="center"/>
          </w:tcPr>
          <w:p w14:paraId="3693F3B6" w14:textId="77777777" w:rsidR="003734EC" w:rsidRDefault="003734EC">
            <w:pPr>
              <w:rPr>
                <w:rFonts w:ascii="宋体"/>
              </w:rPr>
            </w:pPr>
          </w:p>
        </w:tc>
        <w:tc>
          <w:tcPr>
            <w:tcW w:w="0" w:type="auto"/>
            <w:shd w:val="clear" w:color="auto" w:fill="auto"/>
            <w:vAlign w:val="center"/>
          </w:tcPr>
          <w:p w14:paraId="3693F3B7" w14:textId="77777777" w:rsidR="003734EC" w:rsidRDefault="003734EC">
            <w:pPr>
              <w:rPr>
                <w:rFonts w:ascii="宋体"/>
              </w:rPr>
            </w:pPr>
          </w:p>
        </w:tc>
        <w:tc>
          <w:tcPr>
            <w:tcW w:w="0" w:type="auto"/>
            <w:shd w:val="clear" w:color="auto" w:fill="auto"/>
            <w:vAlign w:val="center"/>
          </w:tcPr>
          <w:p w14:paraId="3693F3B8" w14:textId="77777777" w:rsidR="003734EC" w:rsidRDefault="003734EC">
            <w:pPr>
              <w:rPr>
                <w:rFonts w:ascii="宋体"/>
              </w:rPr>
            </w:pPr>
          </w:p>
        </w:tc>
        <w:tc>
          <w:tcPr>
            <w:tcW w:w="0" w:type="auto"/>
            <w:shd w:val="clear" w:color="auto" w:fill="auto"/>
            <w:vAlign w:val="center"/>
          </w:tcPr>
          <w:p w14:paraId="3693F3B9" w14:textId="77777777" w:rsidR="003734EC" w:rsidRDefault="003734EC">
            <w:pPr>
              <w:rPr>
                <w:rFonts w:ascii="宋体"/>
              </w:rPr>
            </w:pPr>
          </w:p>
        </w:tc>
        <w:tc>
          <w:tcPr>
            <w:tcW w:w="0" w:type="auto"/>
            <w:shd w:val="clear" w:color="auto" w:fill="auto"/>
            <w:vAlign w:val="center"/>
          </w:tcPr>
          <w:p w14:paraId="3693F3BA" w14:textId="77777777" w:rsidR="003734EC" w:rsidRDefault="003734EC">
            <w:pPr>
              <w:rPr>
                <w:rFonts w:ascii="宋体"/>
              </w:rPr>
            </w:pPr>
          </w:p>
        </w:tc>
        <w:tc>
          <w:tcPr>
            <w:tcW w:w="0" w:type="auto"/>
            <w:shd w:val="clear" w:color="auto" w:fill="auto"/>
            <w:vAlign w:val="center"/>
          </w:tcPr>
          <w:p w14:paraId="3693F3BB" w14:textId="77777777" w:rsidR="003734EC" w:rsidRDefault="003734EC">
            <w:pPr>
              <w:rPr>
                <w:rFonts w:ascii="宋体"/>
              </w:rPr>
            </w:pPr>
          </w:p>
        </w:tc>
        <w:tc>
          <w:tcPr>
            <w:tcW w:w="0" w:type="auto"/>
            <w:shd w:val="clear" w:color="auto" w:fill="auto"/>
            <w:vAlign w:val="center"/>
          </w:tcPr>
          <w:p w14:paraId="3693F3BC" w14:textId="77777777" w:rsidR="003734EC" w:rsidRDefault="003734EC">
            <w:pPr>
              <w:rPr>
                <w:rFonts w:ascii="宋体"/>
              </w:rPr>
            </w:pPr>
          </w:p>
        </w:tc>
        <w:tc>
          <w:tcPr>
            <w:tcW w:w="0" w:type="auto"/>
            <w:shd w:val="clear" w:color="auto" w:fill="auto"/>
            <w:vAlign w:val="center"/>
          </w:tcPr>
          <w:p w14:paraId="3693F3BD" w14:textId="77777777" w:rsidR="003734EC" w:rsidRDefault="003734EC">
            <w:pPr>
              <w:rPr>
                <w:rFonts w:ascii="宋体"/>
              </w:rPr>
            </w:pPr>
          </w:p>
        </w:tc>
      </w:tr>
      <w:tr w:rsidR="003734EC" w14:paraId="3693F3D9" w14:textId="77777777">
        <w:trPr>
          <w:hidden/>
        </w:trPr>
        <w:tc>
          <w:tcPr>
            <w:tcW w:w="0" w:type="auto"/>
            <w:gridSpan w:val="3"/>
            <w:shd w:val="clear" w:color="auto" w:fill="auto"/>
            <w:vAlign w:val="center"/>
          </w:tcPr>
          <w:p w14:paraId="3693F3BF" w14:textId="77777777" w:rsidR="003734EC" w:rsidRDefault="003734EC">
            <w:pPr>
              <w:rPr>
                <w:rFonts w:ascii="宋体"/>
                <w:vanish/>
              </w:rPr>
            </w:pPr>
          </w:p>
        </w:tc>
        <w:tc>
          <w:tcPr>
            <w:tcW w:w="0" w:type="auto"/>
            <w:gridSpan w:val="3"/>
            <w:shd w:val="clear" w:color="auto" w:fill="auto"/>
            <w:vAlign w:val="center"/>
          </w:tcPr>
          <w:p w14:paraId="3693F3C0" w14:textId="77777777" w:rsidR="003734EC" w:rsidRDefault="003734EC">
            <w:pPr>
              <w:rPr>
                <w:rFonts w:ascii="宋体"/>
                <w:vanish/>
              </w:rPr>
            </w:pPr>
          </w:p>
        </w:tc>
        <w:tc>
          <w:tcPr>
            <w:tcW w:w="0" w:type="auto"/>
            <w:gridSpan w:val="3"/>
            <w:shd w:val="clear" w:color="auto" w:fill="auto"/>
            <w:vAlign w:val="center"/>
          </w:tcPr>
          <w:p w14:paraId="3693F3C1" w14:textId="77777777" w:rsidR="003734EC" w:rsidRDefault="003734EC">
            <w:pPr>
              <w:rPr>
                <w:rFonts w:ascii="宋体"/>
                <w:vanish/>
              </w:rPr>
            </w:pPr>
          </w:p>
        </w:tc>
        <w:tc>
          <w:tcPr>
            <w:tcW w:w="0" w:type="auto"/>
            <w:gridSpan w:val="3"/>
            <w:shd w:val="clear" w:color="auto" w:fill="auto"/>
            <w:vAlign w:val="center"/>
          </w:tcPr>
          <w:p w14:paraId="3693F3C2" w14:textId="77777777" w:rsidR="003734EC" w:rsidRDefault="003734EC">
            <w:pPr>
              <w:rPr>
                <w:rFonts w:ascii="宋体"/>
                <w:vanish/>
              </w:rPr>
            </w:pPr>
          </w:p>
        </w:tc>
        <w:tc>
          <w:tcPr>
            <w:tcW w:w="0" w:type="auto"/>
            <w:gridSpan w:val="3"/>
            <w:shd w:val="clear" w:color="auto" w:fill="auto"/>
            <w:vAlign w:val="center"/>
          </w:tcPr>
          <w:p w14:paraId="3693F3C3" w14:textId="77777777" w:rsidR="003734EC" w:rsidRDefault="003734EC">
            <w:pPr>
              <w:rPr>
                <w:rFonts w:ascii="宋体"/>
                <w:vanish/>
              </w:rPr>
            </w:pPr>
          </w:p>
        </w:tc>
        <w:tc>
          <w:tcPr>
            <w:tcW w:w="0" w:type="auto"/>
            <w:gridSpan w:val="3"/>
            <w:shd w:val="clear" w:color="auto" w:fill="auto"/>
            <w:vAlign w:val="center"/>
          </w:tcPr>
          <w:p w14:paraId="3693F3C4" w14:textId="77777777" w:rsidR="003734EC" w:rsidRDefault="003734EC">
            <w:pPr>
              <w:rPr>
                <w:rFonts w:ascii="宋体"/>
                <w:vanish/>
              </w:rPr>
            </w:pPr>
          </w:p>
        </w:tc>
        <w:tc>
          <w:tcPr>
            <w:tcW w:w="0" w:type="auto"/>
            <w:gridSpan w:val="3"/>
            <w:shd w:val="clear" w:color="auto" w:fill="auto"/>
            <w:vAlign w:val="center"/>
          </w:tcPr>
          <w:p w14:paraId="3693F3C5" w14:textId="77777777" w:rsidR="003734EC" w:rsidRDefault="003734EC">
            <w:pPr>
              <w:rPr>
                <w:rFonts w:ascii="宋体"/>
                <w:vanish/>
              </w:rPr>
            </w:pPr>
          </w:p>
        </w:tc>
        <w:tc>
          <w:tcPr>
            <w:tcW w:w="0" w:type="auto"/>
            <w:gridSpan w:val="3"/>
            <w:shd w:val="clear" w:color="auto" w:fill="auto"/>
            <w:vAlign w:val="center"/>
          </w:tcPr>
          <w:p w14:paraId="3693F3C6" w14:textId="77777777" w:rsidR="003734EC" w:rsidRDefault="003734EC">
            <w:pPr>
              <w:rPr>
                <w:rFonts w:ascii="宋体"/>
                <w:vanish/>
              </w:rPr>
            </w:pPr>
          </w:p>
        </w:tc>
        <w:tc>
          <w:tcPr>
            <w:tcW w:w="0" w:type="auto"/>
            <w:shd w:val="clear" w:color="auto" w:fill="auto"/>
            <w:vAlign w:val="center"/>
          </w:tcPr>
          <w:p w14:paraId="3693F3C7" w14:textId="77777777" w:rsidR="003734EC" w:rsidRDefault="003734EC">
            <w:pPr>
              <w:rPr>
                <w:rFonts w:ascii="宋体"/>
              </w:rPr>
            </w:pPr>
          </w:p>
        </w:tc>
        <w:tc>
          <w:tcPr>
            <w:tcW w:w="0" w:type="auto"/>
            <w:shd w:val="clear" w:color="auto" w:fill="auto"/>
            <w:vAlign w:val="center"/>
          </w:tcPr>
          <w:p w14:paraId="3693F3C8" w14:textId="77777777" w:rsidR="003734EC" w:rsidRDefault="003734EC">
            <w:pPr>
              <w:rPr>
                <w:rFonts w:ascii="宋体"/>
              </w:rPr>
            </w:pPr>
          </w:p>
        </w:tc>
        <w:tc>
          <w:tcPr>
            <w:tcW w:w="0" w:type="auto"/>
            <w:shd w:val="clear" w:color="auto" w:fill="auto"/>
            <w:vAlign w:val="center"/>
          </w:tcPr>
          <w:p w14:paraId="3693F3C9" w14:textId="77777777" w:rsidR="003734EC" w:rsidRDefault="003734EC">
            <w:pPr>
              <w:rPr>
                <w:rFonts w:ascii="宋体"/>
              </w:rPr>
            </w:pPr>
          </w:p>
        </w:tc>
        <w:tc>
          <w:tcPr>
            <w:tcW w:w="0" w:type="auto"/>
            <w:shd w:val="clear" w:color="auto" w:fill="auto"/>
            <w:vAlign w:val="center"/>
          </w:tcPr>
          <w:p w14:paraId="3693F3CA" w14:textId="77777777" w:rsidR="003734EC" w:rsidRDefault="003734EC">
            <w:pPr>
              <w:rPr>
                <w:rFonts w:ascii="宋体"/>
              </w:rPr>
            </w:pPr>
          </w:p>
        </w:tc>
        <w:tc>
          <w:tcPr>
            <w:tcW w:w="0" w:type="auto"/>
            <w:shd w:val="clear" w:color="auto" w:fill="auto"/>
            <w:vAlign w:val="center"/>
          </w:tcPr>
          <w:p w14:paraId="3693F3CB" w14:textId="77777777" w:rsidR="003734EC" w:rsidRDefault="003734EC">
            <w:pPr>
              <w:rPr>
                <w:rFonts w:ascii="宋体"/>
              </w:rPr>
            </w:pPr>
          </w:p>
        </w:tc>
        <w:tc>
          <w:tcPr>
            <w:tcW w:w="0" w:type="auto"/>
            <w:shd w:val="clear" w:color="auto" w:fill="auto"/>
            <w:vAlign w:val="center"/>
          </w:tcPr>
          <w:p w14:paraId="3693F3CC" w14:textId="77777777" w:rsidR="003734EC" w:rsidRDefault="003734EC">
            <w:pPr>
              <w:rPr>
                <w:rFonts w:ascii="宋体"/>
              </w:rPr>
            </w:pPr>
          </w:p>
        </w:tc>
        <w:tc>
          <w:tcPr>
            <w:tcW w:w="0" w:type="auto"/>
            <w:shd w:val="clear" w:color="auto" w:fill="auto"/>
            <w:vAlign w:val="center"/>
          </w:tcPr>
          <w:p w14:paraId="3693F3CD" w14:textId="77777777" w:rsidR="003734EC" w:rsidRDefault="003734EC">
            <w:pPr>
              <w:rPr>
                <w:rFonts w:ascii="宋体"/>
              </w:rPr>
            </w:pPr>
          </w:p>
        </w:tc>
        <w:tc>
          <w:tcPr>
            <w:tcW w:w="0" w:type="auto"/>
            <w:shd w:val="clear" w:color="auto" w:fill="auto"/>
            <w:vAlign w:val="center"/>
          </w:tcPr>
          <w:p w14:paraId="3693F3CE" w14:textId="77777777" w:rsidR="003734EC" w:rsidRDefault="003734EC">
            <w:pPr>
              <w:rPr>
                <w:rFonts w:ascii="宋体"/>
              </w:rPr>
            </w:pPr>
          </w:p>
        </w:tc>
        <w:tc>
          <w:tcPr>
            <w:tcW w:w="0" w:type="auto"/>
            <w:shd w:val="clear" w:color="auto" w:fill="auto"/>
            <w:vAlign w:val="center"/>
          </w:tcPr>
          <w:p w14:paraId="3693F3CF" w14:textId="77777777" w:rsidR="003734EC" w:rsidRDefault="003734EC">
            <w:pPr>
              <w:rPr>
                <w:rFonts w:ascii="宋体"/>
              </w:rPr>
            </w:pPr>
          </w:p>
        </w:tc>
        <w:tc>
          <w:tcPr>
            <w:tcW w:w="0" w:type="auto"/>
            <w:shd w:val="clear" w:color="auto" w:fill="auto"/>
            <w:vAlign w:val="center"/>
          </w:tcPr>
          <w:p w14:paraId="3693F3D0" w14:textId="77777777" w:rsidR="003734EC" w:rsidRDefault="003734EC">
            <w:pPr>
              <w:rPr>
                <w:rFonts w:ascii="宋体"/>
              </w:rPr>
            </w:pPr>
          </w:p>
        </w:tc>
        <w:tc>
          <w:tcPr>
            <w:tcW w:w="0" w:type="auto"/>
            <w:shd w:val="clear" w:color="auto" w:fill="auto"/>
            <w:vAlign w:val="center"/>
          </w:tcPr>
          <w:p w14:paraId="3693F3D1" w14:textId="77777777" w:rsidR="003734EC" w:rsidRDefault="003734EC">
            <w:pPr>
              <w:rPr>
                <w:rFonts w:ascii="宋体"/>
              </w:rPr>
            </w:pPr>
          </w:p>
        </w:tc>
        <w:tc>
          <w:tcPr>
            <w:tcW w:w="0" w:type="auto"/>
            <w:shd w:val="clear" w:color="auto" w:fill="auto"/>
            <w:vAlign w:val="center"/>
          </w:tcPr>
          <w:p w14:paraId="3693F3D2" w14:textId="77777777" w:rsidR="003734EC" w:rsidRDefault="003734EC">
            <w:pPr>
              <w:rPr>
                <w:rFonts w:ascii="宋体"/>
              </w:rPr>
            </w:pPr>
          </w:p>
        </w:tc>
        <w:tc>
          <w:tcPr>
            <w:tcW w:w="0" w:type="auto"/>
            <w:shd w:val="clear" w:color="auto" w:fill="auto"/>
            <w:vAlign w:val="center"/>
          </w:tcPr>
          <w:p w14:paraId="3693F3D3" w14:textId="77777777" w:rsidR="003734EC" w:rsidRDefault="003734EC">
            <w:pPr>
              <w:rPr>
                <w:rFonts w:ascii="宋体"/>
              </w:rPr>
            </w:pPr>
          </w:p>
        </w:tc>
        <w:tc>
          <w:tcPr>
            <w:tcW w:w="0" w:type="auto"/>
            <w:shd w:val="clear" w:color="auto" w:fill="auto"/>
            <w:vAlign w:val="center"/>
          </w:tcPr>
          <w:p w14:paraId="3693F3D4" w14:textId="77777777" w:rsidR="003734EC" w:rsidRDefault="003734EC">
            <w:pPr>
              <w:rPr>
                <w:rFonts w:ascii="宋体"/>
              </w:rPr>
            </w:pPr>
          </w:p>
        </w:tc>
        <w:tc>
          <w:tcPr>
            <w:tcW w:w="0" w:type="auto"/>
            <w:shd w:val="clear" w:color="auto" w:fill="auto"/>
            <w:vAlign w:val="center"/>
          </w:tcPr>
          <w:p w14:paraId="3693F3D5" w14:textId="77777777" w:rsidR="003734EC" w:rsidRDefault="003734EC">
            <w:pPr>
              <w:rPr>
                <w:rFonts w:ascii="宋体"/>
              </w:rPr>
            </w:pPr>
          </w:p>
        </w:tc>
        <w:tc>
          <w:tcPr>
            <w:tcW w:w="0" w:type="auto"/>
            <w:shd w:val="clear" w:color="auto" w:fill="auto"/>
            <w:vAlign w:val="center"/>
          </w:tcPr>
          <w:p w14:paraId="3693F3D6" w14:textId="77777777" w:rsidR="003734EC" w:rsidRDefault="003734EC">
            <w:pPr>
              <w:rPr>
                <w:rFonts w:ascii="宋体"/>
              </w:rPr>
            </w:pPr>
          </w:p>
        </w:tc>
        <w:tc>
          <w:tcPr>
            <w:tcW w:w="0" w:type="auto"/>
            <w:shd w:val="clear" w:color="auto" w:fill="auto"/>
            <w:vAlign w:val="center"/>
          </w:tcPr>
          <w:p w14:paraId="3693F3D7" w14:textId="77777777" w:rsidR="003734EC" w:rsidRDefault="003734EC">
            <w:pPr>
              <w:rPr>
                <w:rFonts w:ascii="宋体"/>
              </w:rPr>
            </w:pPr>
          </w:p>
        </w:tc>
        <w:tc>
          <w:tcPr>
            <w:tcW w:w="0" w:type="auto"/>
            <w:shd w:val="clear" w:color="auto" w:fill="auto"/>
            <w:vAlign w:val="center"/>
          </w:tcPr>
          <w:p w14:paraId="3693F3D8" w14:textId="77777777" w:rsidR="003734EC" w:rsidRDefault="003734EC">
            <w:pPr>
              <w:rPr>
                <w:rFonts w:ascii="宋体"/>
              </w:rPr>
            </w:pPr>
          </w:p>
        </w:tc>
      </w:tr>
      <w:tr w:rsidR="003734EC" w14:paraId="3693F3FC" w14:textId="77777777">
        <w:tc>
          <w:tcPr>
            <w:tcW w:w="0" w:type="auto"/>
            <w:gridSpan w:val="3"/>
            <w:shd w:val="clear" w:color="auto" w:fill="E2EFD9"/>
            <w:tcMar>
              <w:top w:w="40" w:type="dxa"/>
              <w:left w:w="20" w:type="dxa"/>
              <w:bottom w:w="40" w:type="dxa"/>
              <w:right w:w="20" w:type="dxa"/>
            </w:tcMar>
            <w:vAlign w:val="bottom"/>
          </w:tcPr>
          <w:p w14:paraId="3693F3DA" w14:textId="77777777" w:rsidR="003734EC" w:rsidRDefault="000E364E">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3693F3D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3DC" w14:textId="77777777" w:rsidR="003734EC" w:rsidRDefault="000E364E">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bottom w:w="40" w:type="dxa"/>
              <w:right w:w="20" w:type="dxa"/>
            </w:tcMar>
            <w:vAlign w:val="bottom"/>
          </w:tcPr>
          <w:p w14:paraId="3693F3D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DE"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3DF"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3E0" w14:textId="77777777" w:rsidR="003734EC" w:rsidRDefault="000E364E">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bottom w:w="40" w:type="dxa"/>
              <w:right w:w="20" w:type="dxa"/>
            </w:tcMar>
            <w:vAlign w:val="bottom"/>
          </w:tcPr>
          <w:p w14:paraId="3693F3E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E2"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3E3"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3E4" w14:textId="77777777" w:rsidR="003734EC" w:rsidRDefault="000E364E">
            <w:pPr>
              <w:jc w:val="right"/>
              <w:textAlignment w:val="bottom"/>
            </w:pPr>
            <w:r>
              <w:rPr>
                <w:rFonts w:ascii="sans-serif" w:eastAsia="sans-serif" w:hAnsi="sans-serif" w:cs="sans-serif"/>
                <w:color w:val="000000"/>
                <w:sz w:val="20"/>
                <w:szCs w:val="20"/>
              </w:rPr>
              <w:t>(311)</w:t>
            </w:r>
          </w:p>
        </w:tc>
        <w:tc>
          <w:tcPr>
            <w:tcW w:w="0" w:type="auto"/>
            <w:shd w:val="clear" w:color="auto" w:fill="E2EFD9"/>
            <w:tcMar>
              <w:top w:w="40" w:type="dxa"/>
              <w:bottom w:w="40" w:type="dxa"/>
              <w:right w:w="20" w:type="dxa"/>
            </w:tcMar>
            <w:vAlign w:val="bottom"/>
          </w:tcPr>
          <w:p w14:paraId="3693F3E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3E6"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3E7"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3E8" w14:textId="77777777" w:rsidR="003734EC" w:rsidRDefault="000E364E">
            <w:pPr>
              <w:jc w:val="right"/>
              <w:textAlignment w:val="bottom"/>
            </w:pPr>
            <w:r>
              <w:rPr>
                <w:rFonts w:ascii="sans-serif" w:eastAsia="sans-serif" w:hAnsi="sans-serif" w:cs="sans-serif"/>
                <w:color w:val="000000"/>
                <w:sz w:val="20"/>
                <w:szCs w:val="20"/>
              </w:rPr>
              <w:t>976 </w:t>
            </w:r>
          </w:p>
        </w:tc>
        <w:tc>
          <w:tcPr>
            <w:tcW w:w="0" w:type="auto"/>
            <w:shd w:val="clear" w:color="auto" w:fill="E2EFD9"/>
            <w:tcMar>
              <w:top w:w="40" w:type="dxa"/>
              <w:bottom w:w="40" w:type="dxa"/>
              <w:right w:w="20" w:type="dxa"/>
            </w:tcMar>
            <w:vAlign w:val="bottom"/>
          </w:tcPr>
          <w:p w14:paraId="3693F3E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3EA" w14:textId="77777777" w:rsidR="003734EC" w:rsidRDefault="003734EC">
            <w:pPr>
              <w:rPr>
                <w:rFonts w:ascii="宋体"/>
              </w:rPr>
            </w:pPr>
          </w:p>
        </w:tc>
        <w:tc>
          <w:tcPr>
            <w:tcW w:w="0" w:type="auto"/>
            <w:shd w:val="clear" w:color="auto" w:fill="auto"/>
            <w:vAlign w:val="center"/>
          </w:tcPr>
          <w:p w14:paraId="3693F3EB" w14:textId="77777777" w:rsidR="003734EC" w:rsidRDefault="003734EC">
            <w:pPr>
              <w:rPr>
                <w:rFonts w:ascii="宋体"/>
              </w:rPr>
            </w:pPr>
          </w:p>
        </w:tc>
        <w:tc>
          <w:tcPr>
            <w:tcW w:w="0" w:type="auto"/>
            <w:shd w:val="clear" w:color="auto" w:fill="auto"/>
            <w:vAlign w:val="center"/>
          </w:tcPr>
          <w:p w14:paraId="3693F3EC" w14:textId="77777777" w:rsidR="003734EC" w:rsidRDefault="003734EC">
            <w:pPr>
              <w:rPr>
                <w:rFonts w:ascii="宋体"/>
              </w:rPr>
            </w:pPr>
          </w:p>
        </w:tc>
        <w:tc>
          <w:tcPr>
            <w:tcW w:w="0" w:type="auto"/>
            <w:shd w:val="clear" w:color="auto" w:fill="auto"/>
            <w:vAlign w:val="center"/>
          </w:tcPr>
          <w:p w14:paraId="3693F3ED" w14:textId="77777777" w:rsidR="003734EC" w:rsidRDefault="003734EC">
            <w:pPr>
              <w:rPr>
                <w:rFonts w:ascii="宋体"/>
              </w:rPr>
            </w:pPr>
          </w:p>
        </w:tc>
        <w:tc>
          <w:tcPr>
            <w:tcW w:w="0" w:type="auto"/>
            <w:shd w:val="clear" w:color="auto" w:fill="auto"/>
            <w:vAlign w:val="center"/>
          </w:tcPr>
          <w:p w14:paraId="3693F3EE" w14:textId="77777777" w:rsidR="003734EC" w:rsidRDefault="003734EC">
            <w:pPr>
              <w:rPr>
                <w:rFonts w:ascii="宋体"/>
              </w:rPr>
            </w:pPr>
          </w:p>
        </w:tc>
        <w:tc>
          <w:tcPr>
            <w:tcW w:w="0" w:type="auto"/>
            <w:shd w:val="clear" w:color="auto" w:fill="auto"/>
            <w:vAlign w:val="center"/>
          </w:tcPr>
          <w:p w14:paraId="3693F3EF" w14:textId="77777777" w:rsidR="003734EC" w:rsidRDefault="003734EC">
            <w:pPr>
              <w:rPr>
                <w:rFonts w:ascii="宋体"/>
              </w:rPr>
            </w:pPr>
          </w:p>
        </w:tc>
        <w:tc>
          <w:tcPr>
            <w:tcW w:w="0" w:type="auto"/>
            <w:shd w:val="clear" w:color="auto" w:fill="auto"/>
            <w:vAlign w:val="center"/>
          </w:tcPr>
          <w:p w14:paraId="3693F3F0" w14:textId="77777777" w:rsidR="003734EC" w:rsidRDefault="003734EC">
            <w:pPr>
              <w:rPr>
                <w:rFonts w:ascii="宋体"/>
              </w:rPr>
            </w:pPr>
          </w:p>
        </w:tc>
        <w:tc>
          <w:tcPr>
            <w:tcW w:w="0" w:type="auto"/>
            <w:shd w:val="clear" w:color="auto" w:fill="auto"/>
            <w:vAlign w:val="center"/>
          </w:tcPr>
          <w:p w14:paraId="3693F3F1" w14:textId="77777777" w:rsidR="003734EC" w:rsidRDefault="003734EC">
            <w:pPr>
              <w:rPr>
                <w:rFonts w:ascii="宋体"/>
              </w:rPr>
            </w:pPr>
          </w:p>
        </w:tc>
        <w:tc>
          <w:tcPr>
            <w:tcW w:w="0" w:type="auto"/>
            <w:shd w:val="clear" w:color="auto" w:fill="auto"/>
            <w:vAlign w:val="center"/>
          </w:tcPr>
          <w:p w14:paraId="3693F3F2" w14:textId="77777777" w:rsidR="003734EC" w:rsidRDefault="003734EC">
            <w:pPr>
              <w:rPr>
                <w:rFonts w:ascii="宋体"/>
              </w:rPr>
            </w:pPr>
          </w:p>
        </w:tc>
        <w:tc>
          <w:tcPr>
            <w:tcW w:w="0" w:type="auto"/>
            <w:shd w:val="clear" w:color="auto" w:fill="auto"/>
            <w:vAlign w:val="center"/>
          </w:tcPr>
          <w:p w14:paraId="3693F3F3" w14:textId="77777777" w:rsidR="003734EC" w:rsidRDefault="003734EC">
            <w:pPr>
              <w:rPr>
                <w:rFonts w:ascii="宋体"/>
              </w:rPr>
            </w:pPr>
          </w:p>
        </w:tc>
        <w:tc>
          <w:tcPr>
            <w:tcW w:w="0" w:type="auto"/>
            <w:shd w:val="clear" w:color="auto" w:fill="auto"/>
            <w:vAlign w:val="center"/>
          </w:tcPr>
          <w:p w14:paraId="3693F3F4" w14:textId="77777777" w:rsidR="003734EC" w:rsidRDefault="003734EC">
            <w:pPr>
              <w:rPr>
                <w:rFonts w:ascii="宋体"/>
              </w:rPr>
            </w:pPr>
          </w:p>
        </w:tc>
        <w:tc>
          <w:tcPr>
            <w:tcW w:w="0" w:type="auto"/>
            <w:shd w:val="clear" w:color="auto" w:fill="auto"/>
            <w:vAlign w:val="center"/>
          </w:tcPr>
          <w:p w14:paraId="3693F3F5" w14:textId="77777777" w:rsidR="003734EC" w:rsidRDefault="003734EC">
            <w:pPr>
              <w:rPr>
                <w:rFonts w:ascii="宋体"/>
              </w:rPr>
            </w:pPr>
          </w:p>
        </w:tc>
        <w:tc>
          <w:tcPr>
            <w:tcW w:w="0" w:type="auto"/>
            <w:shd w:val="clear" w:color="auto" w:fill="auto"/>
            <w:vAlign w:val="center"/>
          </w:tcPr>
          <w:p w14:paraId="3693F3F6" w14:textId="77777777" w:rsidR="003734EC" w:rsidRDefault="003734EC">
            <w:pPr>
              <w:rPr>
                <w:rFonts w:ascii="宋体"/>
              </w:rPr>
            </w:pPr>
          </w:p>
        </w:tc>
        <w:tc>
          <w:tcPr>
            <w:tcW w:w="0" w:type="auto"/>
            <w:shd w:val="clear" w:color="auto" w:fill="auto"/>
            <w:vAlign w:val="center"/>
          </w:tcPr>
          <w:p w14:paraId="3693F3F7" w14:textId="77777777" w:rsidR="003734EC" w:rsidRDefault="003734EC">
            <w:pPr>
              <w:rPr>
                <w:rFonts w:ascii="宋体"/>
              </w:rPr>
            </w:pPr>
          </w:p>
        </w:tc>
        <w:tc>
          <w:tcPr>
            <w:tcW w:w="0" w:type="auto"/>
            <w:shd w:val="clear" w:color="auto" w:fill="auto"/>
            <w:vAlign w:val="center"/>
          </w:tcPr>
          <w:p w14:paraId="3693F3F8" w14:textId="77777777" w:rsidR="003734EC" w:rsidRDefault="003734EC">
            <w:pPr>
              <w:rPr>
                <w:rFonts w:ascii="宋体"/>
              </w:rPr>
            </w:pPr>
          </w:p>
        </w:tc>
        <w:tc>
          <w:tcPr>
            <w:tcW w:w="0" w:type="auto"/>
            <w:shd w:val="clear" w:color="auto" w:fill="auto"/>
            <w:vAlign w:val="center"/>
          </w:tcPr>
          <w:p w14:paraId="3693F3F9" w14:textId="77777777" w:rsidR="003734EC" w:rsidRDefault="003734EC">
            <w:pPr>
              <w:rPr>
                <w:rFonts w:ascii="宋体"/>
              </w:rPr>
            </w:pPr>
          </w:p>
        </w:tc>
        <w:tc>
          <w:tcPr>
            <w:tcW w:w="0" w:type="auto"/>
            <w:shd w:val="clear" w:color="auto" w:fill="auto"/>
            <w:vAlign w:val="center"/>
          </w:tcPr>
          <w:p w14:paraId="3693F3FA" w14:textId="77777777" w:rsidR="003734EC" w:rsidRDefault="003734EC">
            <w:pPr>
              <w:rPr>
                <w:rFonts w:ascii="宋体"/>
              </w:rPr>
            </w:pPr>
          </w:p>
        </w:tc>
        <w:tc>
          <w:tcPr>
            <w:tcW w:w="0" w:type="auto"/>
            <w:shd w:val="clear" w:color="auto" w:fill="auto"/>
            <w:vAlign w:val="center"/>
          </w:tcPr>
          <w:p w14:paraId="3693F3FB" w14:textId="77777777" w:rsidR="003734EC" w:rsidRDefault="003734EC">
            <w:pPr>
              <w:rPr>
                <w:rFonts w:ascii="宋体"/>
              </w:rPr>
            </w:pPr>
          </w:p>
        </w:tc>
      </w:tr>
      <w:tr w:rsidR="003734EC" w14:paraId="3693F417" w14:textId="77777777">
        <w:trPr>
          <w:trHeight w:val="300"/>
        </w:trPr>
        <w:tc>
          <w:tcPr>
            <w:tcW w:w="0" w:type="auto"/>
            <w:gridSpan w:val="3"/>
            <w:shd w:val="clear" w:color="auto" w:fill="FFFFFF"/>
            <w:tcMar>
              <w:left w:w="20" w:type="dxa"/>
              <w:right w:w="20" w:type="dxa"/>
            </w:tcMar>
            <w:vAlign w:val="bottom"/>
          </w:tcPr>
          <w:p w14:paraId="3693F3F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F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3FF"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400"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401"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402"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403"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404" w14:textId="77777777" w:rsidR="003734EC" w:rsidRDefault="003734EC">
            <w:pPr>
              <w:rPr>
                <w:rFonts w:ascii="宋体"/>
              </w:rPr>
            </w:pPr>
          </w:p>
        </w:tc>
        <w:tc>
          <w:tcPr>
            <w:tcW w:w="0" w:type="auto"/>
            <w:shd w:val="clear" w:color="auto" w:fill="auto"/>
            <w:vAlign w:val="center"/>
          </w:tcPr>
          <w:p w14:paraId="3693F405" w14:textId="77777777" w:rsidR="003734EC" w:rsidRDefault="003734EC">
            <w:pPr>
              <w:rPr>
                <w:rFonts w:ascii="宋体"/>
              </w:rPr>
            </w:pPr>
          </w:p>
        </w:tc>
        <w:tc>
          <w:tcPr>
            <w:tcW w:w="0" w:type="auto"/>
            <w:shd w:val="clear" w:color="auto" w:fill="auto"/>
            <w:vAlign w:val="center"/>
          </w:tcPr>
          <w:p w14:paraId="3693F406" w14:textId="77777777" w:rsidR="003734EC" w:rsidRDefault="003734EC">
            <w:pPr>
              <w:rPr>
                <w:rFonts w:ascii="宋体"/>
              </w:rPr>
            </w:pPr>
          </w:p>
        </w:tc>
        <w:tc>
          <w:tcPr>
            <w:tcW w:w="0" w:type="auto"/>
            <w:shd w:val="clear" w:color="auto" w:fill="auto"/>
            <w:vAlign w:val="center"/>
          </w:tcPr>
          <w:p w14:paraId="3693F407" w14:textId="77777777" w:rsidR="003734EC" w:rsidRDefault="003734EC">
            <w:pPr>
              <w:rPr>
                <w:rFonts w:ascii="宋体"/>
              </w:rPr>
            </w:pPr>
          </w:p>
        </w:tc>
        <w:tc>
          <w:tcPr>
            <w:tcW w:w="0" w:type="auto"/>
            <w:shd w:val="clear" w:color="auto" w:fill="auto"/>
            <w:vAlign w:val="center"/>
          </w:tcPr>
          <w:p w14:paraId="3693F408" w14:textId="77777777" w:rsidR="003734EC" w:rsidRDefault="003734EC">
            <w:pPr>
              <w:rPr>
                <w:rFonts w:ascii="宋体"/>
              </w:rPr>
            </w:pPr>
          </w:p>
        </w:tc>
        <w:tc>
          <w:tcPr>
            <w:tcW w:w="0" w:type="auto"/>
            <w:shd w:val="clear" w:color="auto" w:fill="auto"/>
            <w:vAlign w:val="center"/>
          </w:tcPr>
          <w:p w14:paraId="3693F409" w14:textId="77777777" w:rsidR="003734EC" w:rsidRDefault="003734EC">
            <w:pPr>
              <w:rPr>
                <w:rFonts w:ascii="宋体"/>
              </w:rPr>
            </w:pPr>
          </w:p>
        </w:tc>
        <w:tc>
          <w:tcPr>
            <w:tcW w:w="0" w:type="auto"/>
            <w:shd w:val="clear" w:color="auto" w:fill="auto"/>
            <w:vAlign w:val="center"/>
          </w:tcPr>
          <w:p w14:paraId="3693F40A" w14:textId="77777777" w:rsidR="003734EC" w:rsidRDefault="003734EC">
            <w:pPr>
              <w:rPr>
                <w:rFonts w:ascii="宋体"/>
              </w:rPr>
            </w:pPr>
          </w:p>
        </w:tc>
        <w:tc>
          <w:tcPr>
            <w:tcW w:w="0" w:type="auto"/>
            <w:shd w:val="clear" w:color="auto" w:fill="auto"/>
            <w:vAlign w:val="center"/>
          </w:tcPr>
          <w:p w14:paraId="3693F40B" w14:textId="77777777" w:rsidR="003734EC" w:rsidRDefault="003734EC">
            <w:pPr>
              <w:rPr>
                <w:rFonts w:ascii="宋体"/>
              </w:rPr>
            </w:pPr>
          </w:p>
        </w:tc>
        <w:tc>
          <w:tcPr>
            <w:tcW w:w="0" w:type="auto"/>
            <w:shd w:val="clear" w:color="auto" w:fill="auto"/>
            <w:vAlign w:val="center"/>
          </w:tcPr>
          <w:p w14:paraId="3693F40C" w14:textId="77777777" w:rsidR="003734EC" w:rsidRDefault="003734EC">
            <w:pPr>
              <w:rPr>
                <w:rFonts w:ascii="宋体"/>
              </w:rPr>
            </w:pPr>
          </w:p>
        </w:tc>
        <w:tc>
          <w:tcPr>
            <w:tcW w:w="0" w:type="auto"/>
            <w:shd w:val="clear" w:color="auto" w:fill="auto"/>
            <w:vAlign w:val="center"/>
          </w:tcPr>
          <w:p w14:paraId="3693F40D" w14:textId="77777777" w:rsidR="003734EC" w:rsidRDefault="003734EC">
            <w:pPr>
              <w:rPr>
                <w:rFonts w:ascii="宋体"/>
              </w:rPr>
            </w:pPr>
          </w:p>
        </w:tc>
        <w:tc>
          <w:tcPr>
            <w:tcW w:w="0" w:type="auto"/>
            <w:shd w:val="clear" w:color="auto" w:fill="auto"/>
            <w:vAlign w:val="center"/>
          </w:tcPr>
          <w:p w14:paraId="3693F40E" w14:textId="77777777" w:rsidR="003734EC" w:rsidRDefault="003734EC">
            <w:pPr>
              <w:rPr>
                <w:rFonts w:ascii="宋体"/>
              </w:rPr>
            </w:pPr>
          </w:p>
        </w:tc>
        <w:tc>
          <w:tcPr>
            <w:tcW w:w="0" w:type="auto"/>
            <w:shd w:val="clear" w:color="auto" w:fill="auto"/>
            <w:vAlign w:val="center"/>
          </w:tcPr>
          <w:p w14:paraId="3693F40F" w14:textId="77777777" w:rsidR="003734EC" w:rsidRDefault="003734EC">
            <w:pPr>
              <w:rPr>
                <w:rFonts w:ascii="宋体"/>
              </w:rPr>
            </w:pPr>
          </w:p>
        </w:tc>
        <w:tc>
          <w:tcPr>
            <w:tcW w:w="0" w:type="auto"/>
            <w:shd w:val="clear" w:color="auto" w:fill="auto"/>
            <w:vAlign w:val="center"/>
          </w:tcPr>
          <w:p w14:paraId="3693F410" w14:textId="77777777" w:rsidR="003734EC" w:rsidRDefault="003734EC">
            <w:pPr>
              <w:rPr>
                <w:rFonts w:ascii="宋体"/>
              </w:rPr>
            </w:pPr>
          </w:p>
        </w:tc>
        <w:tc>
          <w:tcPr>
            <w:tcW w:w="0" w:type="auto"/>
            <w:shd w:val="clear" w:color="auto" w:fill="auto"/>
            <w:vAlign w:val="center"/>
          </w:tcPr>
          <w:p w14:paraId="3693F411" w14:textId="77777777" w:rsidR="003734EC" w:rsidRDefault="003734EC">
            <w:pPr>
              <w:rPr>
                <w:rFonts w:ascii="宋体"/>
              </w:rPr>
            </w:pPr>
          </w:p>
        </w:tc>
        <w:tc>
          <w:tcPr>
            <w:tcW w:w="0" w:type="auto"/>
            <w:shd w:val="clear" w:color="auto" w:fill="auto"/>
            <w:vAlign w:val="center"/>
          </w:tcPr>
          <w:p w14:paraId="3693F412" w14:textId="77777777" w:rsidR="003734EC" w:rsidRDefault="003734EC">
            <w:pPr>
              <w:rPr>
                <w:rFonts w:ascii="宋体"/>
              </w:rPr>
            </w:pPr>
          </w:p>
        </w:tc>
        <w:tc>
          <w:tcPr>
            <w:tcW w:w="0" w:type="auto"/>
            <w:shd w:val="clear" w:color="auto" w:fill="auto"/>
            <w:vAlign w:val="center"/>
          </w:tcPr>
          <w:p w14:paraId="3693F413" w14:textId="77777777" w:rsidR="003734EC" w:rsidRDefault="003734EC">
            <w:pPr>
              <w:rPr>
                <w:rFonts w:ascii="宋体"/>
              </w:rPr>
            </w:pPr>
          </w:p>
        </w:tc>
        <w:tc>
          <w:tcPr>
            <w:tcW w:w="0" w:type="auto"/>
            <w:shd w:val="clear" w:color="auto" w:fill="auto"/>
            <w:vAlign w:val="center"/>
          </w:tcPr>
          <w:p w14:paraId="3693F414" w14:textId="77777777" w:rsidR="003734EC" w:rsidRDefault="003734EC">
            <w:pPr>
              <w:rPr>
                <w:rFonts w:ascii="宋体"/>
              </w:rPr>
            </w:pPr>
          </w:p>
        </w:tc>
        <w:tc>
          <w:tcPr>
            <w:tcW w:w="0" w:type="auto"/>
            <w:shd w:val="clear" w:color="auto" w:fill="auto"/>
            <w:vAlign w:val="center"/>
          </w:tcPr>
          <w:p w14:paraId="3693F415" w14:textId="77777777" w:rsidR="003734EC" w:rsidRDefault="003734EC">
            <w:pPr>
              <w:rPr>
                <w:rFonts w:ascii="宋体"/>
              </w:rPr>
            </w:pPr>
          </w:p>
        </w:tc>
        <w:tc>
          <w:tcPr>
            <w:tcW w:w="0" w:type="auto"/>
            <w:shd w:val="clear" w:color="auto" w:fill="auto"/>
            <w:vAlign w:val="center"/>
          </w:tcPr>
          <w:p w14:paraId="3693F416" w14:textId="77777777" w:rsidR="003734EC" w:rsidRDefault="003734EC">
            <w:pPr>
              <w:rPr>
                <w:rFonts w:ascii="宋体"/>
              </w:rPr>
            </w:pPr>
          </w:p>
        </w:tc>
      </w:tr>
      <w:tr w:rsidR="003734EC" w14:paraId="3693F436" w14:textId="77777777">
        <w:tc>
          <w:tcPr>
            <w:tcW w:w="0" w:type="auto"/>
            <w:gridSpan w:val="3"/>
            <w:shd w:val="clear" w:color="auto" w:fill="E2EFD9"/>
            <w:tcMar>
              <w:top w:w="40" w:type="dxa"/>
              <w:left w:w="20" w:type="dxa"/>
              <w:bottom w:w="40" w:type="dxa"/>
              <w:right w:w="20" w:type="dxa"/>
            </w:tcMar>
            <w:vAlign w:val="bottom"/>
          </w:tcPr>
          <w:p w14:paraId="3693F418" w14:textId="77777777" w:rsidR="003734EC" w:rsidRDefault="000E364E">
            <w:pPr>
              <w:textAlignment w:val="bottom"/>
            </w:pPr>
            <w:r>
              <w:rPr>
                <w:rFonts w:ascii="sans-serif" w:eastAsia="sans-serif" w:hAnsi="sans-serif" w:cs="sans-serif"/>
                <w:b/>
                <w:bCs/>
                <w:color w:val="000000"/>
                <w:sz w:val="20"/>
                <w:szCs w:val="20"/>
              </w:rPr>
              <w:t>Three Months Ended April 28, 2019</w:t>
            </w:r>
          </w:p>
        </w:tc>
        <w:tc>
          <w:tcPr>
            <w:tcW w:w="0" w:type="auto"/>
            <w:gridSpan w:val="2"/>
            <w:shd w:val="clear" w:color="auto" w:fill="E2EFD9"/>
            <w:tcMar>
              <w:top w:w="40" w:type="dxa"/>
              <w:left w:w="20" w:type="dxa"/>
              <w:bottom w:w="40" w:type="dxa"/>
              <w:right w:w="0" w:type="dxa"/>
            </w:tcMar>
            <w:vAlign w:val="bottom"/>
          </w:tcPr>
          <w:p w14:paraId="3693F41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41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1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41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41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1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41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42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2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42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42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424" w14:textId="77777777" w:rsidR="003734EC" w:rsidRDefault="003734EC">
            <w:pPr>
              <w:rPr>
                <w:rFonts w:ascii="宋体"/>
              </w:rPr>
            </w:pPr>
          </w:p>
        </w:tc>
        <w:tc>
          <w:tcPr>
            <w:tcW w:w="0" w:type="auto"/>
            <w:shd w:val="clear" w:color="auto" w:fill="auto"/>
            <w:vAlign w:val="center"/>
          </w:tcPr>
          <w:p w14:paraId="3693F425" w14:textId="77777777" w:rsidR="003734EC" w:rsidRDefault="003734EC">
            <w:pPr>
              <w:rPr>
                <w:rFonts w:ascii="宋体"/>
              </w:rPr>
            </w:pPr>
          </w:p>
        </w:tc>
        <w:tc>
          <w:tcPr>
            <w:tcW w:w="0" w:type="auto"/>
            <w:shd w:val="clear" w:color="auto" w:fill="auto"/>
            <w:vAlign w:val="center"/>
          </w:tcPr>
          <w:p w14:paraId="3693F426" w14:textId="77777777" w:rsidR="003734EC" w:rsidRDefault="003734EC">
            <w:pPr>
              <w:rPr>
                <w:rFonts w:ascii="宋体"/>
              </w:rPr>
            </w:pPr>
          </w:p>
        </w:tc>
        <w:tc>
          <w:tcPr>
            <w:tcW w:w="0" w:type="auto"/>
            <w:shd w:val="clear" w:color="auto" w:fill="auto"/>
            <w:vAlign w:val="center"/>
          </w:tcPr>
          <w:p w14:paraId="3693F427" w14:textId="77777777" w:rsidR="003734EC" w:rsidRDefault="003734EC">
            <w:pPr>
              <w:rPr>
                <w:rFonts w:ascii="宋体"/>
              </w:rPr>
            </w:pPr>
          </w:p>
        </w:tc>
        <w:tc>
          <w:tcPr>
            <w:tcW w:w="0" w:type="auto"/>
            <w:shd w:val="clear" w:color="auto" w:fill="auto"/>
            <w:vAlign w:val="center"/>
          </w:tcPr>
          <w:p w14:paraId="3693F428" w14:textId="77777777" w:rsidR="003734EC" w:rsidRDefault="003734EC">
            <w:pPr>
              <w:rPr>
                <w:rFonts w:ascii="宋体"/>
              </w:rPr>
            </w:pPr>
          </w:p>
        </w:tc>
        <w:tc>
          <w:tcPr>
            <w:tcW w:w="0" w:type="auto"/>
            <w:shd w:val="clear" w:color="auto" w:fill="auto"/>
            <w:vAlign w:val="center"/>
          </w:tcPr>
          <w:p w14:paraId="3693F429" w14:textId="77777777" w:rsidR="003734EC" w:rsidRDefault="003734EC">
            <w:pPr>
              <w:rPr>
                <w:rFonts w:ascii="宋体"/>
              </w:rPr>
            </w:pPr>
          </w:p>
        </w:tc>
        <w:tc>
          <w:tcPr>
            <w:tcW w:w="0" w:type="auto"/>
            <w:shd w:val="clear" w:color="auto" w:fill="auto"/>
            <w:vAlign w:val="center"/>
          </w:tcPr>
          <w:p w14:paraId="3693F42A" w14:textId="77777777" w:rsidR="003734EC" w:rsidRDefault="003734EC">
            <w:pPr>
              <w:rPr>
                <w:rFonts w:ascii="宋体"/>
              </w:rPr>
            </w:pPr>
          </w:p>
        </w:tc>
        <w:tc>
          <w:tcPr>
            <w:tcW w:w="0" w:type="auto"/>
            <w:shd w:val="clear" w:color="auto" w:fill="auto"/>
            <w:vAlign w:val="center"/>
          </w:tcPr>
          <w:p w14:paraId="3693F42B" w14:textId="77777777" w:rsidR="003734EC" w:rsidRDefault="003734EC">
            <w:pPr>
              <w:rPr>
                <w:rFonts w:ascii="宋体"/>
              </w:rPr>
            </w:pPr>
          </w:p>
        </w:tc>
        <w:tc>
          <w:tcPr>
            <w:tcW w:w="0" w:type="auto"/>
            <w:shd w:val="clear" w:color="auto" w:fill="auto"/>
            <w:vAlign w:val="center"/>
          </w:tcPr>
          <w:p w14:paraId="3693F42C" w14:textId="77777777" w:rsidR="003734EC" w:rsidRDefault="003734EC">
            <w:pPr>
              <w:rPr>
                <w:rFonts w:ascii="宋体"/>
              </w:rPr>
            </w:pPr>
          </w:p>
        </w:tc>
        <w:tc>
          <w:tcPr>
            <w:tcW w:w="0" w:type="auto"/>
            <w:shd w:val="clear" w:color="auto" w:fill="auto"/>
            <w:vAlign w:val="center"/>
          </w:tcPr>
          <w:p w14:paraId="3693F42D" w14:textId="77777777" w:rsidR="003734EC" w:rsidRDefault="003734EC">
            <w:pPr>
              <w:rPr>
                <w:rFonts w:ascii="宋体"/>
              </w:rPr>
            </w:pPr>
          </w:p>
        </w:tc>
        <w:tc>
          <w:tcPr>
            <w:tcW w:w="0" w:type="auto"/>
            <w:shd w:val="clear" w:color="auto" w:fill="auto"/>
            <w:vAlign w:val="center"/>
          </w:tcPr>
          <w:p w14:paraId="3693F42E" w14:textId="77777777" w:rsidR="003734EC" w:rsidRDefault="003734EC">
            <w:pPr>
              <w:rPr>
                <w:rFonts w:ascii="宋体"/>
              </w:rPr>
            </w:pPr>
          </w:p>
        </w:tc>
        <w:tc>
          <w:tcPr>
            <w:tcW w:w="0" w:type="auto"/>
            <w:shd w:val="clear" w:color="auto" w:fill="auto"/>
            <w:vAlign w:val="center"/>
          </w:tcPr>
          <w:p w14:paraId="3693F42F" w14:textId="77777777" w:rsidR="003734EC" w:rsidRDefault="003734EC">
            <w:pPr>
              <w:rPr>
                <w:rFonts w:ascii="宋体"/>
              </w:rPr>
            </w:pPr>
          </w:p>
        </w:tc>
        <w:tc>
          <w:tcPr>
            <w:tcW w:w="0" w:type="auto"/>
            <w:shd w:val="clear" w:color="auto" w:fill="auto"/>
            <w:vAlign w:val="center"/>
          </w:tcPr>
          <w:p w14:paraId="3693F430" w14:textId="77777777" w:rsidR="003734EC" w:rsidRDefault="003734EC">
            <w:pPr>
              <w:rPr>
                <w:rFonts w:ascii="宋体"/>
              </w:rPr>
            </w:pPr>
          </w:p>
        </w:tc>
        <w:tc>
          <w:tcPr>
            <w:tcW w:w="0" w:type="auto"/>
            <w:shd w:val="clear" w:color="auto" w:fill="auto"/>
            <w:vAlign w:val="center"/>
          </w:tcPr>
          <w:p w14:paraId="3693F431" w14:textId="77777777" w:rsidR="003734EC" w:rsidRDefault="003734EC">
            <w:pPr>
              <w:rPr>
                <w:rFonts w:ascii="宋体"/>
              </w:rPr>
            </w:pPr>
          </w:p>
        </w:tc>
        <w:tc>
          <w:tcPr>
            <w:tcW w:w="0" w:type="auto"/>
            <w:shd w:val="clear" w:color="auto" w:fill="auto"/>
            <w:vAlign w:val="center"/>
          </w:tcPr>
          <w:p w14:paraId="3693F432" w14:textId="77777777" w:rsidR="003734EC" w:rsidRDefault="003734EC">
            <w:pPr>
              <w:rPr>
                <w:rFonts w:ascii="宋体"/>
              </w:rPr>
            </w:pPr>
          </w:p>
        </w:tc>
        <w:tc>
          <w:tcPr>
            <w:tcW w:w="0" w:type="auto"/>
            <w:shd w:val="clear" w:color="auto" w:fill="auto"/>
            <w:vAlign w:val="center"/>
          </w:tcPr>
          <w:p w14:paraId="3693F433" w14:textId="77777777" w:rsidR="003734EC" w:rsidRDefault="003734EC">
            <w:pPr>
              <w:rPr>
                <w:rFonts w:ascii="宋体"/>
              </w:rPr>
            </w:pPr>
          </w:p>
        </w:tc>
        <w:tc>
          <w:tcPr>
            <w:tcW w:w="0" w:type="auto"/>
            <w:shd w:val="clear" w:color="auto" w:fill="auto"/>
            <w:vAlign w:val="center"/>
          </w:tcPr>
          <w:p w14:paraId="3693F434" w14:textId="77777777" w:rsidR="003734EC" w:rsidRDefault="003734EC">
            <w:pPr>
              <w:rPr>
                <w:rFonts w:ascii="宋体"/>
              </w:rPr>
            </w:pPr>
          </w:p>
        </w:tc>
        <w:tc>
          <w:tcPr>
            <w:tcW w:w="0" w:type="auto"/>
            <w:shd w:val="clear" w:color="auto" w:fill="auto"/>
            <w:vAlign w:val="center"/>
          </w:tcPr>
          <w:p w14:paraId="3693F435" w14:textId="77777777" w:rsidR="003734EC" w:rsidRDefault="003734EC">
            <w:pPr>
              <w:rPr>
                <w:rFonts w:ascii="宋体"/>
              </w:rPr>
            </w:pPr>
          </w:p>
        </w:tc>
      </w:tr>
      <w:tr w:rsidR="003734EC" w14:paraId="3693F459" w14:textId="77777777">
        <w:tc>
          <w:tcPr>
            <w:tcW w:w="0" w:type="auto"/>
            <w:gridSpan w:val="3"/>
            <w:shd w:val="clear" w:color="auto" w:fill="FFFFFF"/>
            <w:tcMar>
              <w:top w:w="40" w:type="dxa"/>
              <w:left w:w="20" w:type="dxa"/>
              <w:bottom w:w="40" w:type="dxa"/>
              <w:right w:w="20" w:type="dxa"/>
            </w:tcMar>
            <w:vAlign w:val="bottom"/>
          </w:tcPr>
          <w:p w14:paraId="3693F437" w14:textId="77777777" w:rsidR="003734EC" w:rsidRDefault="000E364E">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3693F43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439" w14:textId="77777777" w:rsidR="003734EC" w:rsidRDefault="000E364E">
            <w:pPr>
              <w:jc w:val="right"/>
              <w:textAlignment w:val="bottom"/>
            </w:pPr>
            <w:r>
              <w:rPr>
                <w:rFonts w:ascii="sans-serif" w:eastAsia="sans-serif" w:hAnsi="sans-serif" w:cs="sans-serif"/>
                <w:color w:val="000000"/>
                <w:sz w:val="20"/>
                <w:szCs w:val="20"/>
              </w:rPr>
              <w:t>1,526 </w:t>
            </w:r>
          </w:p>
        </w:tc>
        <w:tc>
          <w:tcPr>
            <w:tcW w:w="0" w:type="auto"/>
            <w:shd w:val="clear" w:color="auto" w:fill="FFFFFF"/>
            <w:tcMar>
              <w:top w:w="40" w:type="dxa"/>
              <w:bottom w:w="40" w:type="dxa"/>
              <w:right w:w="20" w:type="dxa"/>
            </w:tcMar>
            <w:vAlign w:val="bottom"/>
          </w:tcPr>
          <w:p w14:paraId="3693F43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43B"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43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43D" w14:textId="77777777" w:rsidR="003734EC" w:rsidRDefault="000E364E">
            <w:pPr>
              <w:jc w:val="right"/>
              <w:textAlignment w:val="bottom"/>
            </w:pPr>
            <w:r>
              <w:rPr>
                <w:rFonts w:ascii="sans-serif" w:eastAsia="sans-serif" w:hAnsi="sans-serif" w:cs="sans-serif"/>
                <w:color w:val="000000"/>
                <w:sz w:val="20"/>
                <w:szCs w:val="20"/>
              </w:rPr>
              <w:t>694 </w:t>
            </w:r>
          </w:p>
        </w:tc>
        <w:tc>
          <w:tcPr>
            <w:tcW w:w="0" w:type="auto"/>
            <w:shd w:val="clear" w:color="auto" w:fill="FFFFFF"/>
            <w:tcMar>
              <w:top w:w="40" w:type="dxa"/>
              <w:bottom w:w="40" w:type="dxa"/>
              <w:right w:w="20" w:type="dxa"/>
            </w:tcMar>
            <w:vAlign w:val="bottom"/>
          </w:tcPr>
          <w:p w14:paraId="3693F43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43F"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440"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44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F44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443"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44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445"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shd w:val="clear" w:color="auto" w:fill="FFFFFF"/>
            <w:tcMar>
              <w:top w:w="40" w:type="dxa"/>
              <w:bottom w:w="40" w:type="dxa"/>
              <w:right w:w="20" w:type="dxa"/>
            </w:tcMar>
            <w:vAlign w:val="bottom"/>
          </w:tcPr>
          <w:p w14:paraId="3693F44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447" w14:textId="77777777" w:rsidR="003734EC" w:rsidRDefault="003734EC">
            <w:pPr>
              <w:rPr>
                <w:rFonts w:ascii="宋体"/>
              </w:rPr>
            </w:pPr>
          </w:p>
        </w:tc>
        <w:tc>
          <w:tcPr>
            <w:tcW w:w="0" w:type="auto"/>
            <w:shd w:val="clear" w:color="auto" w:fill="auto"/>
            <w:vAlign w:val="center"/>
          </w:tcPr>
          <w:p w14:paraId="3693F448" w14:textId="77777777" w:rsidR="003734EC" w:rsidRDefault="003734EC">
            <w:pPr>
              <w:rPr>
                <w:rFonts w:ascii="宋体"/>
              </w:rPr>
            </w:pPr>
          </w:p>
        </w:tc>
        <w:tc>
          <w:tcPr>
            <w:tcW w:w="0" w:type="auto"/>
            <w:shd w:val="clear" w:color="auto" w:fill="auto"/>
            <w:vAlign w:val="center"/>
          </w:tcPr>
          <w:p w14:paraId="3693F449" w14:textId="77777777" w:rsidR="003734EC" w:rsidRDefault="003734EC">
            <w:pPr>
              <w:rPr>
                <w:rFonts w:ascii="宋体"/>
              </w:rPr>
            </w:pPr>
          </w:p>
        </w:tc>
        <w:tc>
          <w:tcPr>
            <w:tcW w:w="0" w:type="auto"/>
            <w:shd w:val="clear" w:color="auto" w:fill="auto"/>
            <w:vAlign w:val="center"/>
          </w:tcPr>
          <w:p w14:paraId="3693F44A" w14:textId="77777777" w:rsidR="003734EC" w:rsidRDefault="003734EC">
            <w:pPr>
              <w:rPr>
                <w:rFonts w:ascii="宋体"/>
              </w:rPr>
            </w:pPr>
          </w:p>
        </w:tc>
        <w:tc>
          <w:tcPr>
            <w:tcW w:w="0" w:type="auto"/>
            <w:shd w:val="clear" w:color="auto" w:fill="auto"/>
            <w:vAlign w:val="center"/>
          </w:tcPr>
          <w:p w14:paraId="3693F44B" w14:textId="77777777" w:rsidR="003734EC" w:rsidRDefault="003734EC">
            <w:pPr>
              <w:rPr>
                <w:rFonts w:ascii="宋体"/>
              </w:rPr>
            </w:pPr>
          </w:p>
        </w:tc>
        <w:tc>
          <w:tcPr>
            <w:tcW w:w="0" w:type="auto"/>
            <w:shd w:val="clear" w:color="auto" w:fill="auto"/>
            <w:vAlign w:val="center"/>
          </w:tcPr>
          <w:p w14:paraId="3693F44C" w14:textId="77777777" w:rsidR="003734EC" w:rsidRDefault="003734EC">
            <w:pPr>
              <w:rPr>
                <w:rFonts w:ascii="宋体"/>
              </w:rPr>
            </w:pPr>
          </w:p>
        </w:tc>
        <w:tc>
          <w:tcPr>
            <w:tcW w:w="0" w:type="auto"/>
            <w:shd w:val="clear" w:color="auto" w:fill="auto"/>
            <w:vAlign w:val="center"/>
          </w:tcPr>
          <w:p w14:paraId="3693F44D" w14:textId="77777777" w:rsidR="003734EC" w:rsidRDefault="003734EC">
            <w:pPr>
              <w:rPr>
                <w:rFonts w:ascii="宋体"/>
              </w:rPr>
            </w:pPr>
          </w:p>
        </w:tc>
        <w:tc>
          <w:tcPr>
            <w:tcW w:w="0" w:type="auto"/>
            <w:shd w:val="clear" w:color="auto" w:fill="auto"/>
            <w:vAlign w:val="center"/>
          </w:tcPr>
          <w:p w14:paraId="3693F44E" w14:textId="77777777" w:rsidR="003734EC" w:rsidRDefault="003734EC">
            <w:pPr>
              <w:rPr>
                <w:rFonts w:ascii="宋体"/>
              </w:rPr>
            </w:pPr>
          </w:p>
        </w:tc>
        <w:tc>
          <w:tcPr>
            <w:tcW w:w="0" w:type="auto"/>
            <w:shd w:val="clear" w:color="auto" w:fill="auto"/>
            <w:vAlign w:val="center"/>
          </w:tcPr>
          <w:p w14:paraId="3693F44F" w14:textId="77777777" w:rsidR="003734EC" w:rsidRDefault="003734EC">
            <w:pPr>
              <w:rPr>
                <w:rFonts w:ascii="宋体"/>
              </w:rPr>
            </w:pPr>
          </w:p>
        </w:tc>
        <w:tc>
          <w:tcPr>
            <w:tcW w:w="0" w:type="auto"/>
            <w:shd w:val="clear" w:color="auto" w:fill="auto"/>
            <w:vAlign w:val="center"/>
          </w:tcPr>
          <w:p w14:paraId="3693F450" w14:textId="77777777" w:rsidR="003734EC" w:rsidRDefault="003734EC">
            <w:pPr>
              <w:rPr>
                <w:rFonts w:ascii="宋体"/>
              </w:rPr>
            </w:pPr>
          </w:p>
        </w:tc>
        <w:tc>
          <w:tcPr>
            <w:tcW w:w="0" w:type="auto"/>
            <w:shd w:val="clear" w:color="auto" w:fill="auto"/>
            <w:vAlign w:val="center"/>
          </w:tcPr>
          <w:p w14:paraId="3693F451" w14:textId="77777777" w:rsidR="003734EC" w:rsidRDefault="003734EC">
            <w:pPr>
              <w:rPr>
                <w:rFonts w:ascii="宋体"/>
              </w:rPr>
            </w:pPr>
          </w:p>
        </w:tc>
        <w:tc>
          <w:tcPr>
            <w:tcW w:w="0" w:type="auto"/>
            <w:shd w:val="clear" w:color="auto" w:fill="auto"/>
            <w:vAlign w:val="center"/>
          </w:tcPr>
          <w:p w14:paraId="3693F452" w14:textId="77777777" w:rsidR="003734EC" w:rsidRDefault="003734EC">
            <w:pPr>
              <w:rPr>
                <w:rFonts w:ascii="宋体"/>
              </w:rPr>
            </w:pPr>
          </w:p>
        </w:tc>
        <w:tc>
          <w:tcPr>
            <w:tcW w:w="0" w:type="auto"/>
            <w:shd w:val="clear" w:color="auto" w:fill="auto"/>
            <w:vAlign w:val="center"/>
          </w:tcPr>
          <w:p w14:paraId="3693F453" w14:textId="77777777" w:rsidR="003734EC" w:rsidRDefault="003734EC">
            <w:pPr>
              <w:rPr>
                <w:rFonts w:ascii="宋体"/>
              </w:rPr>
            </w:pPr>
          </w:p>
        </w:tc>
        <w:tc>
          <w:tcPr>
            <w:tcW w:w="0" w:type="auto"/>
            <w:shd w:val="clear" w:color="auto" w:fill="auto"/>
            <w:vAlign w:val="center"/>
          </w:tcPr>
          <w:p w14:paraId="3693F454" w14:textId="77777777" w:rsidR="003734EC" w:rsidRDefault="003734EC">
            <w:pPr>
              <w:rPr>
                <w:rFonts w:ascii="宋体"/>
              </w:rPr>
            </w:pPr>
          </w:p>
        </w:tc>
        <w:tc>
          <w:tcPr>
            <w:tcW w:w="0" w:type="auto"/>
            <w:shd w:val="clear" w:color="auto" w:fill="auto"/>
            <w:vAlign w:val="center"/>
          </w:tcPr>
          <w:p w14:paraId="3693F455" w14:textId="77777777" w:rsidR="003734EC" w:rsidRDefault="003734EC">
            <w:pPr>
              <w:rPr>
                <w:rFonts w:ascii="宋体"/>
              </w:rPr>
            </w:pPr>
          </w:p>
        </w:tc>
        <w:tc>
          <w:tcPr>
            <w:tcW w:w="0" w:type="auto"/>
            <w:shd w:val="clear" w:color="auto" w:fill="auto"/>
            <w:vAlign w:val="center"/>
          </w:tcPr>
          <w:p w14:paraId="3693F456" w14:textId="77777777" w:rsidR="003734EC" w:rsidRDefault="003734EC">
            <w:pPr>
              <w:rPr>
                <w:rFonts w:ascii="宋体"/>
              </w:rPr>
            </w:pPr>
          </w:p>
        </w:tc>
        <w:tc>
          <w:tcPr>
            <w:tcW w:w="0" w:type="auto"/>
            <w:shd w:val="clear" w:color="auto" w:fill="auto"/>
            <w:vAlign w:val="center"/>
          </w:tcPr>
          <w:p w14:paraId="3693F457" w14:textId="77777777" w:rsidR="003734EC" w:rsidRDefault="003734EC">
            <w:pPr>
              <w:rPr>
                <w:rFonts w:ascii="宋体"/>
              </w:rPr>
            </w:pPr>
          </w:p>
        </w:tc>
        <w:tc>
          <w:tcPr>
            <w:tcW w:w="0" w:type="auto"/>
            <w:shd w:val="clear" w:color="auto" w:fill="auto"/>
            <w:vAlign w:val="center"/>
          </w:tcPr>
          <w:p w14:paraId="3693F458" w14:textId="77777777" w:rsidR="003734EC" w:rsidRDefault="003734EC">
            <w:pPr>
              <w:rPr>
                <w:rFonts w:ascii="宋体"/>
              </w:rPr>
            </w:pPr>
          </w:p>
        </w:tc>
      </w:tr>
      <w:tr w:rsidR="003734EC" w14:paraId="3693F474" w14:textId="77777777">
        <w:trPr>
          <w:hidden/>
        </w:trPr>
        <w:tc>
          <w:tcPr>
            <w:tcW w:w="0" w:type="auto"/>
            <w:gridSpan w:val="3"/>
            <w:shd w:val="clear" w:color="auto" w:fill="auto"/>
            <w:vAlign w:val="center"/>
          </w:tcPr>
          <w:p w14:paraId="3693F45A" w14:textId="77777777" w:rsidR="003734EC" w:rsidRDefault="003734EC">
            <w:pPr>
              <w:rPr>
                <w:rFonts w:ascii="宋体"/>
                <w:vanish/>
              </w:rPr>
            </w:pPr>
          </w:p>
        </w:tc>
        <w:tc>
          <w:tcPr>
            <w:tcW w:w="0" w:type="auto"/>
            <w:gridSpan w:val="3"/>
            <w:shd w:val="clear" w:color="auto" w:fill="auto"/>
            <w:vAlign w:val="center"/>
          </w:tcPr>
          <w:p w14:paraId="3693F45B" w14:textId="77777777" w:rsidR="003734EC" w:rsidRDefault="003734EC">
            <w:pPr>
              <w:rPr>
                <w:rFonts w:ascii="宋体"/>
                <w:vanish/>
              </w:rPr>
            </w:pPr>
          </w:p>
        </w:tc>
        <w:tc>
          <w:tcPr>
            <w:tcW w:w="0" w:type="auto"/>
            <w:gridSpan w:val="3"/>
            <w:shd w:val="clear" w:color="auto" w:fill="auto"/>
            <w:vAlign w:val="center"/>
          </w:tcPr>
          <w:p w14:paraId="3693F45C" w14:textId="77777777" w:rsidR="003734EC" w:rsidRDefault="003734EC">
            <w:pPr>
              <w:rPr>
                <w:rFonts w:ascii="宋体"/>
                <w:vanish/>
              </w:rPr>
            </w:pPr>
          </w:p>
        </w:tc>
        <w:tc>
          <w:tcPr>
            <w:tcW w:w="0" w:type="auto"/>
            <w:gridSpan w:val="3"/>
            <w:shd w:val="clear" w:color="auto" w:fill="auto"/>
            <w:vAlign w:val="center"/>
          </w:tcPr>
          <w:p w14:paraId="3693F45D" w14:textId="77777777" w:rsidR="003734EC" w:rsidRDefault="003734EC">
            <w:pPr>
              <w:rPr>
                <w:rFonts w:ascii="宋体"/>
                <w:vanish/>
              </w:rPr>
            </w:pPr>
          </w:p>
        </w:tc>
        <w:tc>
          <w:tcPr>
            <w:tcW w:w="0" w:type="auto"/>
            <w:gridSpan w:val="3"/>
            <w:shd w:val="clear" w:color="auto" w:fill="auto"/>
            <w:vAlign w:val="center"/>
          </w:tcPr>
          <w:p w14:paraId="3693F45E" w14:textId="77777777" w:rsidR="003734EC" w:rsidRDefault="003734EC">
            <w:pPr>
              <w:rPr>
                <w:rFonts w:ascii="宋体"/>
                <w:vanish/>
              </w:rPr>
            </w:pPr>
          </w:p>
        </w:tc>
        <w:tc>
          <w:tcPr>
            <w:tcW w:w="0" w:type="auto"/>
            <w:gridSpan w:val="3"/>
            <w:shd w:val="clear" w:color="auto" w:fill="auto"/>
            <w:vAlign w:val="center"/>
          </w:tcPr>
          <w:p w14:paraId="3693F45F" w14:textId="77777777" w:rsidR="003734EC" w:rsidRDefault="003734EC">
            <w:pPr>
              <w:rPr>
                <w:rFonts w:ascii="宋体"/>
                <w:vanish/>
              </w:rPr>
            </w:pPr>
          </w:p>
        </w:tc>
        <w:tc>
          <w:tcPr>
            <w:tcW w:w="0" w:type="auto"/>
            <w:gridSpan w:val="3"/>
            <w:shd w:val="clear" w:color="auto" w:fill="auto"/>
            <w:vAlign w:val="center"/>
          </w:tcPr>
          <w:p w14:paraId="3693F460" w14:textId="77777777" w:rsidR="003734EC" w:rsidRDefault="003734EC">
            <w:pPr>
              <w:rPr>
                <w:rFonts w:ascii="宋体"/>
                <w:vanish/>
              </w:rPr>
            </w:pPr>
          </w:p>
        </w:tc>
        <w:tc>
          <w:tcPr>
            <w:tcW w:w="0" w:type="auto"/>
            <w:gridSpan w:val="3"/>
            <w:shd w:val="clear" w:color="auto" w:fill="auto"/>
            <w:vAlign w:val="center"/>
          </w:tcPr>
          <w:p w14:paraId="3693F461" w14:textId="77777777" w:rsidR="003734EC" w:rsidRDefault="003734EC">
            <w:pPr>
              <w:rPr>
                <w:rFonts w:ascii="宋体"/>
                <w:vanish/>
              </w:rPr>
            </w:pPr>
          </w:p>
        </w:tc>
        <w:tc>
          <w:tcPr>
            <w:tcW w:w="0" w:type="auto"/>
            <w:shd w:val="clear" w:color="auto" w:fill="auto"/>
            <w:vAlign w:val="center"/>
          </w:tcPr>
          <w:p w14:paraId="3693F462" w14:textId="77777777" w:rsidR="003734EC" w:rsidRDefault="003734EC">
            <w:pPr>
              <w:rPr>
                <w:rFonts w:ascii="宋体"/>
              </w:rPr>
            </w:pPr>
          </w:p>
        </w:tc>
        <w:tc>
          <w:tcPr>
            <w:tcW w:w="0" w:type="auto"/>
            <w:shd w:val="clear" w:color="auto" w:fill="auto"/>
            <w:vAlign w:val="center"/>
          </w:tcPr>
          <w:p w14:paraId="3693F463" w14:textId="77777777" w:rsidR="003734EC" w:rsidRDefault="003734EC">
            <w:pPr>
              <w:rPr>
                <w:rFonts w:ascii="宋体"/>
              </w:rPr>
            </w:pPr>
          </w:p>
        </w:tc>
        <w:tc>
          <w:tcPr>
            <w:tcW w:w="0" w:type="auto"/>
            <w:shd w:val="clear" w:color="auto" w:fill="auto"/>
            <w:vAlign w:val="center"/>
          </w:tcPr>
          <w:p w14:paraId="3693F464" w14:textId="77777777" w:rsidR="003734EC" w:rsidRDefault="003734EC">
            <w:pPr>
              <w:rPr>
                <w:rFonts w:ascii="宋体"/>
              </w:rPr>
            </w:pPr>
          </w:p>
        </w:tc>
        <w:tc>
          <w:tcPr>
            <w:tcW w:w="0" w:type="auto"/>
            <w:shd w:val="clear" w:color="auto" w:fill="auto"/>
            <w:vAlign w:val="center"/>
          </w:tcPr>
          <w:p w14:paraId="3693F465" w14:textId="77777777" w:rsidR="003734EC" w:rsidRDefault="003734EC">
            <w:pPr>
              <w:rPr>
                <w:rFonts w:ascii="宋体"/>
              </w:rPr>
            </w:pPr>
          </w:p>
        </w:tc>
        <w:tc>
          <w:tcPr>
            <w:tcW w:w="0" w:type="auto"/>
            <w:shd w:val="clear" w:color="auto" w:fill="auto"/>
            <w:vAlign w:val="center"/>
          </w:tcPr>
          <w:p w14:paraId="3693F466" w14:textId="77777777" w:rsidR="003734EC" w:rsidRDefault="003734EC">
            <w:pPr>
              <w:rPr>
                <w:rFonts w:ascii="宋体"/>
              </w:rPr>
            </w:pPr>
          </w:p>
        </w:tc>
        <w:tc>
          <w:tcPr>
            <w:tcW w:w="0" w:type="auto"/>
            <w:shd w:val="clear" w:color="auto" w:fill="auto"/>
            <w:vAlign w:val="center"/>
          </w:tcPr>
          <w:p w14:paraId="3693F467" w14:textId="77777777" w:rsidR="003734EC" w:rsidRDefault="003734EC">
            <w:pPr>
              <w:rPr>
                <w:rFonts w:ascii="宋体"/>
              </w:rPr>
            </w:pPr>
          </w:p>
        </w:tc>
        <w:tc>
          <w:tcPr>
            <w:tcW w:w="0" w:type="auto"/>
            <w:shd w:val="clear" w:color="auto" w:fill="auto"/>
            <w:vAlign w:val="center"/>
          </w:tcPr>
          <w:p w14:paraId="3693F468" w14:textId="77777777" w:rsidR="003734EC" w:rsidRDefault="003734EC">
            <w:pPr>
              <w:rPr>
                <w:rFonts w:ascii="宋体"/>
              </w:rPr>
            </w:pPr>
          </w:p>
        </w:tc>
        <w:tc>
          <w:tcPr>
            <w:tcW w:w="0" w:type="auto"/>
            <w:shd w:val="clear" w:color="auto" w:fill="auto"/>
            <w:vAlign w:val="center"/>
          </w:tcPr>
          <w:p w14:paraId="3693F469" w14:textId="77777777" w:rsidR="003734EC" w:rsidRDefault="003734EC">
            <w:pPr>
              <w:rPr>
                <w:rFonts w:ascii="宋体"/>
              </w:rPr>
            </w:pPr>
          </w:p>
        </w:tc>
        <w:tc>
          <w:tcPr>
            <w:tcW w:w="0" w:type="auto"/>
            <w:shd w:val="clear" w:color="auto" w:fill="auto"/>
            <w:vAlign w:val="center"/>
          </w:tcPr>
          <w:p w14:paraId="3693F46A" w14:textId="77777777" w:rsidR="003734EC" w:rsidRDefault="003734EC">
            <w:pPr>
              <w:rPr>
                <w:rFonts w:ascii="宋体"/>
              </w:rPr>
            </w:pPr>
          </w:p>
        </w:tc>
        <w:tc>
          <w:tcPr>
            <w:tcW w:w="0" w:type="auto"/>
            <w:shd w:val="clear" w:color="auto" w:fill="auto"/>
            <w:vAlign w:val="center"/>
          </w:tcPr>
          <w:p w14:paraId="3693F46B" w14:textId="77777777" w:rsidR="003734EC" w:rsidRDefault="003734EC">
            <w:pPr>
              <w:rPr>
                <w:rFonts w:ascii="宋体"/>
              </w:rPr>
            </w:pPr>
          </w:p>
        </w:tc>
        <w:tc>
          <w:tcPr>
            <w:tcW w:w="0" w:type="auto"/>
            <w:shd w:val="clear" w:color="auto" w:fill="auto"/>
            <w:vAlign w:val="center"/>
          </w:tcPr>
          <w:p w14:paraId="3693F46C" w14:textId="77777777" w:rsidR="003734EC" w:rsidRDefault="003734EC">
            <w:pPr>
              <w:rPr>
                <w:rFonts w:ascii="宋体"/>
              </w:rPr>
            </w:pPr>
          </w:p>
        </w:tc>
        <w:tc>
          <w:tcPr>
            <w:tcW w:w="0" w:type="auto"/>
            <w:shd w:val="clear" w:color="auto" w:fill="auto"/>
            <w:vAlign w:val="center"/>
          </w:tcPr>
          <w:p w14:paraId="3693F46D" w14:textId="77777777" w:rsidR="003734EC" w:rsidRDefault="003734EC">
            <w:pPr>
              <w:rPr>
                <w:rFonts w:ascii="宋体"/>
              </w:rPr>
            </w:pPr>
          </w:p>
        </w:tc>
        <w:tc>
          <w:tcPr>
            <w:tcW w:w="0" w:type="auto"/>
            <w:shd w:val="clear" w:color="auto" w:fill="auto"/>
            <w:vAlign w:val="center"/>
          </w:tcPr>
          <w:p w14:paraId="3693F46E" w14:textId="77777777" w:rsidR="003734EC" w:rsidRDefault="003734EC">
            <w:pPr>
              <w:rPr>
                <w:rFonts w:ascii="宋体"/>
              </w:rPr>
            </w:pPr>
          </w:p>
        </w:tc>
        <w:tc>
          <w:tcPr>
            <w:tcW w:w="0" w:type="auto"/>
            <w:shd w:val="clear" w:color="auto" w:fill="auto"/>
            <w:vAlign w:val="center"/>
          </w:tcPr>
          <w:p w14:paraId="3693F46F" w14:textId="77777777" w:rsidR="003734EC" w:rsidRDefault="003734EC">
            <w:pPr>
              <w:rPr>
                <w:rFonts w:ascii="宋体"/>
              </w:rPr>
            </w:pPr>
          </w:p>
        </w:tc>
        <w:tc>
          <w:tcPr>
            <w:tcW w:w="0" w:type="auto"/>
            <w:shd w:val="clear" w:color="auto" w:fill="auto"/>
            <w:vAlign w:val="center"/>
          </w:tcPr>
          <w:p w14:paraId="3693F470" w14:textId="77777777" w:rsidR="003734EC" w:rsidRDefault="003734EC">
            <w:pPr>
              <w:rPr>
                <w:rFonts w:ascii="宋体"/>
              </w:rPr>
            </w:pPr>
          </w:p>
        </w:tc>
        <w:tc>
          <w:tcPr>
            <w:tcW w:w="0" w:type="auto"/>
            <w:shd w:val="clear" w:color="auto" w:fill="auto"/>
            <w:vAlign w:val="center"/>
          </w:tcPr>
          <w:p w14:paraId="3693F471" w14:textId="77777777" w:rsidR="003734EC" w:rsidRDefault="003734EC">
            <w:pPr>
              <w:rPr>
                <w:rFonts w:ascii="宋体"/>
              </w:rPr>
            </w:pPr>
          </w:p>
        </w:tc>
        <w:tc>
          <w:tcPr>
            <w:tcW w:w="0" w:type="auto"/>
            <w:shd w:val="clear" w:color="auto" w:fill="auto"/>
            <w:vAlign w:val="center"/>
          </w:tcPr>
          <w:p w14:paraId="3693F472" w14:textId="77777777" w:rsidR="003734EC" w:rsidRDefault="003734EC">
            <w:pPr>
              <w:rPr>
                <w:rFonts w:ascii="宋体"/>
              </w:rPr>
            </w:pPr>
          </w:p>
        </w:tc>
        <w:tc>
          <w:tcPr>
            <w:tcW w:w="0" w:type="auto"/>
            <w:shd w:val="clear" w:color="auto" w:fill="auto"/>
            <w:vAlign w:val="center"/>
          </w:tcPr>
          <w:p w14:paraId="3693F473" w14:textId="77777777" w:rsidR="003734EC" w:rsidRDefault="003734EC">
            <w:pPr>
              <w:rPr>
                <w:rFonts w:ascii="宋体"/>
              </w:rPr>
            </w:pPr>
          </w:p>
        </w:tc>
      </w:tr>
      <w:tr w:rsidR="003734EC" w14:paraId="3693F497" w14:textId="77777777">
        <w:tc>
          <w:tcPr>
            <w:tcW w:w="0" w:type="auto"/>
            <w:gridSpan w:val="3"/>
            <w:shd w:val="clear" w:color="auto" w:fill="E2EFD9"/>
            <w:tcMar>
              <w:top w:w="40" w:type="dxa"/>
              <w:left w:w="20" w:type="dxa"/>
              <w:bottom w:w="40" w:type="dxa"/>
              <w:right w:w="20" w:type="dxa"/>
            </w:tcMar>
            <w:vAlign w:val="bottom"/>
          </w:tcPr>
          <w:p w14:paraId="3693F475" w14:textId="77777777" w:rsidR="003734EC" w:rsidRDefault="000E364E">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3693F47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477" w14:textId="77777777" w:rsidR="003734EC" w:rsidRDefault="000E364E">
            <w:pPr>
              <w:jc w:val="right"/>
              <w:textAlignment w:val="bottom"/>
            </w:pPr>
            <w:r>
              <w:rPr>
                <w:rFonts w:ascii="sans-serif" w:eastAsia="sans-serif" w:hAnsi="sans-serif" w:cs="sans-serif"/>
                <w:color w:val="000000"/>
                <w:sz w:val="20"/>
                <w:szCs w:val="20"/>
              </w:rPr>
              <w:t>532 </w:t>
            </w:r>
          </w:p>
        </w:tc>
        <w:tc>
          <w:tcPr>
            <w:tcW w:w="0" w:type="auto"/>
            <w:shd w:val="clear" w:color="auto" w:fill="E2EFD9"/>
            <w:tcMar>
              <w:top w:w="40" w:type="dxa"/>
              <w:bottom w:w="40" w:type="dxa"/>
              <w:right w:w="20" w:type="dxa"/>
            </w:tcMar>
            <w:vAlign w:val="bottom"/>
          </w:tcPr>
          <w:p w14:paraId="3693F47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7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47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47B" w14:textId="77777777" w:rsidR="003734EC" w:rsidRDefault="000E364E">
            <w:pPr>
              <w:jc w:val="right"/>
              <w:textAlignment w:val="bottom"/>
            </w:pPr>
            <w:r>
              <w:rPr>
                <w:rFonts w:ascii="sans-serif" w:eastAsia="sans-serif" w:hAnsi="sans-serif" w:cs="sans-serif"/>
                <w:color w:val="000000"/>
                <w:sz w:val="20"/>
                <w:szCs w:val="20"/>
              </w:rPr>
              <w:t>95 </w:t>
            </w:r>
          </w:p>
        </w:tc>
        <w:tc>
          <w:tcPr>
            <w:tcW w:w="0" w:type="auto"/>
            <w:shd w:val="clear" w:color="auto" w:fill="E2EFD9"/>
            <w:tcMar>
              <w:top w:w="40" w:type="dxa"/>
              <w:bottom w:w="40" w:type="dxa"/>
              <w:right w:w="20" w:type="dxa"/>
            </w:tcMar>
            <w:vAlign w:val="bottom"/>
          </w:tcPr>
          <w:p w14:paraId="3693F47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7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47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47F" w14:textId="77777777" w:rsidR="003734EC" w:rsidRDefault="000E364E">
            <w:pPr>
              <w:jc w:val="right"/>
              <w:textAlignment w:val="bottom"/>
            </w:pPr>
            <w:r>
              <w:rPr>
                <w:rFonts w:ascii="sans-serif" w:eastAsia="sans-serif" w:hAnsi="sans-serif" w:cs="sans-serif"/>
                <w:color w:val="000000"/>
                <w:sz w:val="20"/>
                <w:szCs w:val="20"/>
              </w:rPr>
              <w:t>(269)</w:t>
            </w:r>
          </w:p>
        </w:tc>
        <w:tc>
          <w:tcPr>
            <w:tcW w:w="0" w:type="auto"/>
            <w:shd w:val="clear" w:color="auto" w:fill="E2EFD9"/>
            <w:tcMar>
              <w:top w:w="40" w:type="dxa"/>
              <w:bottom w:w="40" w:type="dxa"/>
              <w:right w:w="20" w:type="dxa"/>
            </w:tcMar>
            <w:vAlign w:val="bottom"/>
          </w:tcPr>
          <w:p w14:paraId="3693F48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481"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482"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483" w14:textId="77777777" w:rsidR="003734EC" w:rsidRDefault="000E364E">
            <w:pPr>
              <w:jc w:val="right"/>
              <w:textAlignment w:val="bottom"/>
            </w:pPr>
            <w:r>
              <w:rPr>
                <w:rFonts w:ascii="sans-serif" w:eastAsia="sans-serif" w:hAnsi="sans-serif" w:cs="sans-serif"/>
                <w:color w:val="000000"/>
                <w:sz w:val="20"/>
                <w:szCs w:val="20"/>
              </w:rPr>
              <w:t>358 </w:t>
            </w:r>
          </w:p>
        </w:tc>
        <w:tc>
          <w:tcPr>
            <w:tcW w:w="0" w:type="auto"/>
            <w:shd w:val="clear" w:color="auto" w:fill="E2EFD9"/>
            <w:tcMar>
              <w:top w:w="40" w:type="dxa"/>
              <w:bottom w:w="40" w:type="dxa"/>
              <w:right w:w="20" w:type="dxa"/>
            </w:tcMar>
            <w:vAlign w:val="bottom"/>
          </w:tcPr>
          <w:p w14:paraId="3693F48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485" w14:textId="77777777" w:rsidR="003734EC" w:rsidRDefault="003734EC">
            <w:pPr>
              <w:rPr>
                <w:rFonts w:ascii="宋体"/>
              </w:rPr>
            </w:pPr>
          </w:p>
        </w:tc>
        <w:tc>
          <w:tcPr>
            <w:tcW w:w="0" w:type="auto"/>
            <w:shd w:val="clear" w:color="auto" w:fill="auto"/>
            <w:vAlign w:val="center"/>
          </w:tcPr>
          <w:p w14:paraId="3693F486" w14:textId="77777777" w:rsidR="003734EC" w:rsidRDefault="003734EC">
            <w:pPr>
              <w:rPr>
                <w:rFonts w:ascii="宋体"/>
              </w:rPr>
            </w:pPr>
          </w:p>
        </w:tc>
        <w:tc>
          <w:tcPr>
            <w:tcW w:w="0" w:type="auto"/>
            <w:shd w:val="clear" w:color="auto" w:fill="auto"/>
            <w:vAlign w:val="center"/>
          </w:tcPr>
          <w:p w14:paraId="3693F487" w14:textId="77777777" w:rsidR="003734EC" w:rsidRDefault="003734EC">
            <w:pPr>
              <w:rPr>
                <w:rFonts w:ascii="宋体"/>
              </w:rPr>
            </w:pPr>
          </w:p>
        </w:tc>
        <w:tc>
          <w:tcPr>
            <w:tcW w:w="0" w:type="auto"/>
            <w:shd w:val="clear" w:color="auto" w:fill="auto"/>
            <w:vAlign w:val="center"/>
          </w:tcPr>
          <w:p w14:paraId="3693F488" w14:textId="77777777" w:rsidR="003734EC" w:rsidRDefault="003734EC">
            <w:pPr>
              <w:rPr>
                <w:rFonts w:ascii="宋体"/>
              </w:rPr>
            </w:pPr>
          </w:p>
        </w:tc>
        <w:tc>
          <w:tcPr>
            <w:tcW w:w="0" w:type="auto"/>
            <w:shd w:val="clear" w:color="auto" w:fill="auto"/>
            <w:vAlign w:val="center"/>
          </w:tcPr>
          <w:p w14:paraId="3693F489" w14:textId="77777777" w:rsidR="003734EC" w:rsidRDefault="003734EC">
            <w:pPr>
              <w:rPr>
                <w:rFonts w:ascii="宋体"/>
              </w:rPr>
            </w:pPr>
          </w:p>
        </w:tc>
        <w:tc>
          <w:tcPr>
            <w:tcW w:w="0" w:type="auto"/>
            <w:shd w:val="clear" w:color="auto" w:fill="auto"/>
            <w:vAlign w:val="center"/>
          </w:tcPr>
          <w:p w14:paraId="3693F48A" w14:textId="77777777" w:rsidR="003734EC" w:rsidRDefault="003734EC">
            <w:pPr>
              <w:rPr>
                <w:rFonts w:ascii="宋体"/>
              </w:rPr>
            </w:pPr>
          </w:p>
        </w:tc>
        <w:tc>
          <w:tcPr>
            <w:tcW w:w="0" w:type="auto"/>
            <w:shd w:val="clear" w:color="auto" w:fill="auto"/>
            <w:vAlign w:val="center"/>
          </w:tcPr>
          <w:p w14:paraId="3693F48B" w14:textId="77777777" w:rsidR="003734EC" w:rsidRDefault="003734EC">
            <w:pPr>
              <w:rPr>
                <w:rFonts w:ascii="宋体"/>
              </w:rPr>
            </w:pPr>
          </w:p>
        </w:tc>
        <w:tc>
          <w:tcPr>
            <w:tcW w:w="0" w:type="auto"/>
            <w:shd w:val="clear" w:color="auto" w:fill="auto"/>
            <w:vAlign w:val="center"/>
          </w:tcPr>
          <w:p w14:paraId="3693F48C" w14:textId="77777777" w:rsidR="003734EC" w:rsidRDefault="003734EC">
            <w:pPr>
              <w:rPr>
                <w:rFonts w:ascii="宋体"/>
              </w:rPr>
            </w:pPr>
          </w:p>
        </w:tc>
        <w:tc>
          <w:tcPr>
            <w:tcW w:w="0" w:type="auto"/>
            <w:shd w:val="clear" w:color="auto" w:fill="auto"/>
            <w:vAlign w:val="center"/>
          </w:tcPr>
          <w:p w14:paraId="3693F48D" w14:textId="77777777" w:rsidR="003734EC" w:rsidRDefault="003734EC">
            <w:pPr>
              <w:rPr>
                <w:rFonts w:ascii="宋体"/>
              </w:rPr>
            </w:pPr>
          </w:p>
        </w:tc>
        <w:tc>
          <w:tcPr>
            <w:tcW w:w="0" w:type="auto"/>
            <w:shd w:val="clear" w:color="auto" w:fill="auto"/>
            <w:vAlign w:val="center"/>
          </w:tcPr>
          <w:p w14:paraId="3693F48E" w14:textId="77777777" w:rsidR="003734EC" w:rsidRDefault="003734EC">
            <w:pPr>
              <w:rPr>
                <w:rFonts w:ascii="宋体"/>
              </w:rPr>
            </w:pPr>
          </w:p>
        </w:tc>
        <w:tc>
          <w:tcPr>
            <w:tcW w:w="0" w:type="auto"/>
            <w:shd w:val="clear" w:color="auto" w:fill="auto"/>
            <w:vAlign w:val="center"/>
          </w:tcPr>
          <w:p w14:paraId="3693F48F" w14:textId="77777777" w:rsidR="003734EC" w:rsidRDefault="003734EC">
            <w:pPr>
              <w:rPr>
                <w:rFonts w:ascii="宋体"/>
              </w:rPr>
            </w:pPr>
          </w:p>
        </w:tc>
        <w:tc>
          <w:tcPr>
            <w:tcW w:w="0" w:type="auto"/>
            <w:shd w:val="clear" w:color="auto" w:fill="auto"/>
            <w:vAlign w:val="center"/>
          </w:tcPr>
          <w:p w14:paraId="3693F490" w14:textId="77777777" w:rsidR="003734EC" w:rsidRDefault="003734EC">
            <w:pPr>
              <w:rPr>
                <w:rFonts w:ascii="宋体"/>
              </w:rPr>
            </w:pPr>
          </w:p>
        </w:tc>
        <w:tc>
          <w:tcPr>
            <w:tcW w:w="0" w:type="auto"/>
            <w:shd w:val="clear" w:color="auto" w:fill="auto"/>
            <w:vAlign w:val="center"/>
          </w:tcPr>
          <w:p w14:paraId="3693F491" w14:textId="77777777" w:rsidR="003734EC" w:rsidRDefault="003734EC">
            <w:pPr>
              <w:rPr>
                <w:rFonts w:ascii="宋体"/>
              </w:rPr>
            </w:pPr>
          </w:p>
        </w:tc>
        <w:tc>
          <w:tcPr>
            <w:tcW w:w="0" w:type="auto"/>
            <w:shd w:val="clear" w:color="auto" w:fill="auto"/>
            <w:vAlign w:val="center"/>
          </w:tcPr>
          <w:p w14:paraId="3693F492" w14:textId="77777777" w:rsidR="003734EC" w:rsidRDefault="003734EC">
            <w:pPr>
              <w:rPr>
                <w:rFonts w:ascii="宋体"/>
              </w:rPr>
            </w:pPr>
          </w:p>
        </w:tc>
        <w:tc>
          <w:tcPr>
            <w:tcW w:w="0" w:type="auto"/>
            <w:shd w:val="clear" w:color="auto" w:fill="auto"/>
            <w:vAlign w:val="center"/>
          </w:tcPr>
          <w:p w14:paraId="3693F493" w14:textId="77777777" w:rsidR="003734EC" w:rsidRDefault="003734EC">
            <w:pPr>
              <w:rPr>
                <w:rFonts w:ascii="宋体"/>
              </w:rPr>
            </w:pPr>
          </w:p>
        </w:tc>
        <w:tc>
          <w:tcPr>
            <w:tcW w:w="0" w:type="auto"/>
            <w:shd w:val="clear" w:color="auto" w:fill="auto"/>
            <w:vAlign w:val="center"/>
          </w:tcPr>
          <w:p w14:paraId="3693F494" w14:textId="77777777" w:rsidR="003734EC" w:rsidRDefault="003734EC">
            <w:pPr>
              <w:rPr>
                <w:rFonts w:ascii="宋体"/>
              </w:rPr>
            </w:pPr>
          </w:p>
        </w:tc>
        <w:tc>
          <w:tcPr>
            <w:tcW w:w="0" w:type="auto"/>
            <w:shd w:val="clear" w:color="auto" w:fill="auto"/>
            <w:vAlign w:val="center"/>
          </w:tcPr>
          <w:p w14:paraId="3693F495" w14:textId="77777777" w:rsidR="003734EC" w:rsidRDefault="003734EC">
            <w:pPr>
              <w:rPr>
                <w:rFonts w:ascii="宋体"/>
              </w:rPr>
            </w:pPr>
          </w:p>
        </w:tc>
        <w:tc>
          <w:tcPr>
            <w:tcW w:w="0" w:type="auto"/>
            <w:shd w:val="clear" w:color="auto" w:fill="auto"/>
            <w:vAlign w:val="center"/>
          </w:tcPr>
          <w:p w14:paraId="3693F496" w14:textId="77777777" w:rsidR="003734EC" w:rsidRDefault="003734EC">
            <w:pPr>
              <w:rPr>
                <w:rFonts w:ascii="宋体"/>
              </w:rPr>
            </w:pPr>
          </w:p>
        </w:tc>
      </w:tr>
      <w:tr w:rsidR="003734EC" w14:paraId="3693F4B2" w14:textId="77777777">
        <w:trPr>
          <w:hidden/>
        </w:trPr>
        <w:tc>
          <w:tcPr>
            <w:tcW w:w="0" w:type="auto"/>
            <w:gridSpan w:val="3"/>
            <w:shd w:val="clear" w:color="auto" w:fill="auto"/>
            <w:vAlign w:val="center"/>
          </w:tcPr>
          <w:p w14:paraId="3693F498" w14:textId="77777777" w:rsidR="003734EC" w:rsidRDefault="003734EC">
            <w:pPr>
              <w:rPr>
                <w:rFonts w:ascii="宋体"/>
                <w:vanish/>
              </w:rPr>
            </w:pPr>
          </w:p>
        </w:tc>
        <w:tc>
          <w:tcPr>
            <w:tcW w:w="0" w:type="auto"/>
            <w:gridSpan w:val="3"/>
            <w:shd w:val="clear" w:color="auto" w:fill="auto"/>
            <w:vAlign w:val="center"/>
          </w:tcPr>
          <w:p w14:paraId="3693F499" w14:textId="77777777" w:rsidR="003734EC" w:rsidRDefault="003734EC">
            <w:pPr>
              <w:rPr>
                <w:rFonts w:ascii="宋体"/>
                <w:vanish/>
              </w:rPr>
            </w:pPr>
          </w:p>
        </w:tc>
        <w:tc>
          <w:tcPr>
            <w:tcW w:w="0" w:type="auto"/>
            <w:gridSpan w:val="3"/>
            <w:shd w:val="clear" w:color="auto" w:fill="auto"/>
            <w:vAlign w:val="center"/>
          </w:tcPr>
          <w:p w14:paraId="3693F49A" w14:textId="77777777" w:rsidR="003734EC" w:rsidRDefault="003734EC">
            <w:pPr>
              <w:rPr>
                <w:rFonts w:ascii="宋体"/>
                <w:vanish/>
              </w:rPr>
            </w:pPr>
          </w:p>
        </w:tc>
        <w:tc>
          <w:tcPr>
            <w:tcW w:w="0" w:type="auto"/>
            <w:gridSpan w:val="3"/>
            <w:shd w:val="clear" w:color="auto" w:fill="auto"/>
            <w:vAlign w:val="center"/>
          </w:tcPr>
          <w:p w14:paraId="3693F49B" w14:textId="77777777" w:rsidR="003734EC" w:rsidRDefault="003734EC">
            <w:pPr>
              <w:rPr>
                <w:rFonts w:ascii="宋体"/>
                <w:vanish/>
              </w:rPr>
            </w:pPr>
          </w:p>
        </w:tc>
        <w:tc>
          <w:tcPr>
            <w:tcW w:w="0" w:type="auto"/>
            <w:gridSpan w:val="3"/>
            <w:shd w:val="clear" w:color="auto" w:fill="auto"/>
            <w:vAlign w:val="center"/>
          </w:tcPr>
          <w:p w14:paraId="3693F49C" w14:textId="77777777" w:rsidR="003734EC" w:rsidRDefault="003734EC">
            <w:pPr>
              <w:rPr>
                <w:rFonts w:ascii="宋体"/>
                <w:vanish/>
              </w:rPr>
            </w:pPr>
          </w:p>
        </w:tc>
        <w:tc>
          <w:tcPr>
            <w:tcW w:w="0" w:type="auto"/>
            <w:gridSpan w:val="3"/>
            <w:shd w:val="clear" w:color="auto" w:fill="auto"/>
            <w:vAlign w:val="center"/>
          </w:tcPr>
          <w:p w14:paraId="3693F49D" w14:textId="77777777" w:rsidR="003734EC" w:rsidRDefault="003734EC">
            <w:pPr>
              <w:rPr>
                <w:rFonts w:ascii="宋体"/>
                <w:vanish/>
              </w:rPr>
            </w:pPr>
          </w:p>
        </w:tc>
        <w:tc>
          <w:tcPr>
            <w:tcW w:w="0" w:type="auto"/>
            <w:gridSpan w:val="3"/>
            <w:shd w:val="clear" w:color="auto" w:fill="auto"/>
            <w:vAlign w:val="center"/>
          </w:tcPr>
          <w:p w14:paraId="3693F49E" w14:textId="77777777" w:rsidR="003734EC" w:rsidRDefault="003734EC">
            <w:pPr>
              <w:rPr>
                <w:rFonts w:ascii="宋体"/>
                <w:vanish/>
              </w:rPr>
            </w:pPr>
          </w:p>
        </w:tc>
        <w:tc>
          <w:tcPr>
            <w:tcW w:w="0" w:type="auto"/>
            <w:gridSpan w:val="3"/>
            <w:shd w:val="clear" w:color="auto" w:fill="auto"/>
            <w:vAlign w:val="center"/>
          </w:tcPr>
          <w:p w14:paraId="3693F49F" w14:textId="77777777" w:rsidR="003734EC" w:rsidRDefault="003734EC">
            <w:pPr>
              <w:rPr>
                <w:rFonts w:ascii="宋体"/>
                <w:vanish/>
              </w:rPr>
            </w:pPr>
          </w:p>
        </w:tc>
        <w:tc>
          <w:tcPr>
            <w:tcW w:w="0" w:type="auto"/>
            <w:shd w:val="clear" w:color="auto" w:fill="auto"/>
            <w:vAlign w:val="center"/>
          </w:tcPr>
          <w:p w14:paraId="3693F4A0" w14:textId="77777777" w:rsidR="003734EC" w:rsidRDefault="003734EC">
            <w:pPr>
              <w:rPr>
                <w:rFonts w:ascii="宋体"/>
              </w:rPr>
            </w:pPr>
          </w:p>
        </w:tc>
        <w:tc>
          <w:tcPr>
            <w:tcW w:w="0" w:type="auto"/>
            <w:shd w:val="clear" w:color="auto" w:fill="auto"/>
            <w:vAlign w:val="center"/>
          </w:tcPr>
          <w:p w14:paraId="3693F4A1" w14:textId="77777777" w:rsidR="003734EC" w:rsidRDefault="003734EC">
            <w:pPr>
              <w:rPr>
                <w:rFonts w:ascii="宋体"/>
              </w:rPr>
            </w:pPr>
          </w:p>
        </w:tc>
        <w:tc>
          <w:tcPr>
            <w:tcW w:w="0" w:type="auto"/>
            <w:shd w:val="clear" w:color="auto" w:fill="auto"/>
            <w:vAlign w:val="center"/>
          </w:tcPr>
          <w:p w14:paraId="3693F4A2" w14:textId="77777777" w:rsidR="003734EC" w:rsidRDefault="003734EC">
            <w:pPr>
              <w:rPr>
                <w:rFonts w:ascii="宋体"/>
              </w:rPr>
            </w:pPr>
          </w:p>
        </w:tc>
        <w:tc>
          <w:tcPr>
            <w:tcW w:w="0" w:type="auto"/>
            <w:shd w:val="clear" w:color="auto" w:fill="auto"/>
            <w:vAlign w:val="center"/>
          </w:tcPr>
          <w:p w14:paraId="3693F4A3" w14:textId="77777777" w:rsidR="003734EC" w:rsidRDefault="003734EC">
            <w:pPr>
              <w:rPr>
                <w:rFonts w:ascii="宋体"/>
              </w:rPr>
            </w:pPr>
          </w:p>
        </w:tc>
        <w:tc>
          <w:tcPr>
            <w:tcW w:w="0" w:type="auto"/>
            <w:shd w:val="clear" w:color="auto" w:fill="auto"/>
            <w:vAlign w:val="center"/>
          </w:tcPr>
          <w:p w14:paraId="3693F4A4" w14:textId="77777777" w:rsidR="003734EC" w:rsidRDefault="003734EC">
            <w:pPr>
              <w:rPr>
                <w:rFonts w:ascii="宋体"/>
              </w:rPr>
            </w:pPr>
          </w:p>
        </w:tc>
        <w:tc>
          <w:tcPr>
            <w:tcW w:w="0" w:type="auto"/>
            <w:shd w:val="clear" w:color="auto" w:fill="auto"/>
            <w:vAlign w:val="center"/>
          </w:tcPr>
          <w:p w14:paraId="3693F4A5" w14:textId="77777777" w:rsidR="003734EC" w:rsidRDefault="003734EC">
            <w:pPr>
              <w:rPr>
                <w:rFonts w:ascii="宋体"/>
              </w:rPr>
            </w:pPr>
          </w:p>
        </w:tc>
        <w:tc>
          <w:tcPr>
            <w:tcW w:w="0" w:type="auto"/>
            <w:shd w:val="clear" w:color="auto" w:fill="auto"/>
            <w:vAlign w:val="center"/>
          </w:tcPr>
          <w:p w14:paraId="3693F4A6" w14:textId="77777777" w:rsidR="003734EC" w:rsidRDefault="003734EC">
            <w:pPr>
              <w:rPr>
                <w:rFonts w:ascii="宋体"/>
              </w:rPr>
            </w:pPr>
          </w:p>
        </w:tc>
        <w:tc>
          <w:tcPr>
            <w:tcW w:w="0" w:type="auto"/>
            <w:shd w:val="clear" w:color="auto" w:fill="auto"/>
            <w:vAlign w:val="center"/>
          </w:tcPr>
          <w:p w14:paraId="3693F4A7" w14:textId="77777777" w:rsidR="003734EC" w:rsidRDefault="003734EC">
            <w:pPr>
              <w:rPr>
                <w:rFonts w:ascii="宋体"/>
              </w:rPr>
            </w:pPr>
          </w:p>
        </w:tc>
        <w:tc>
          <w:tcPr>
            <w:tcW w:w="0" w:type="auto"/>
            <w:shd w:val="clear" w:color="auto" w:fill="auto"/>
            <w:vAlign w:val="center"/>
          </w:tcPr>
          <w:p w14:paraId="3693F4A8" w14:textId="77777777" w:rsidR="003734EC" w:rsidRDefault="003734EC">
            <w:pPr>
              <w:rPr>
                <w:rFonts w:ascii="宋体"/>
              </w:rPr>
            </w:pPr>
          </w:p>
        </w:tc>
        <w:tc>
          <w:tcPr>
            <w:tcW w:w="0" w:type="auto"/>
            <w:shd w:val="clear" w:color="auto" w:fill="auto"/>
            <w:vAlign w:val="center"/>
          </w:tcPr>
          <w:p w14:paraId="3693F4A9" w14:textId="77777777" w:rsidR="003734EC" w:rsidRDefault="003734EC">
            <w:pPr>
              <w:rPr>
                <w:rFonts w:ascii="宋体"/>
              </w:rPr>
            </w:pPr>
          </w:p>
        </w:tc>
        <w:tc>
          <w:tcPr>
            <w:tcW w:w="0" w:type="auto"/>
            <w:shd w:val="clear" w:color="auto" w:fill="auto"/>
            <w:vAlign w:val="center"/>
          </w:tcPr>
          <w:p w14:paraId="3693F4AA" w14:textId="77777777" w:rsidR="003734EC" w:rsidRDefault="003734EC">
            <w:pPr>
              <w:rPr>
                <w:rFonts w:ascii="宋体"/>
              </w:rPr>
            </w:pPr>
          </w:p>
        </w:tc>
        <w:tc>
          <w:tcPr>
            <w:tcW w:w="0" w:type="auto"/>
            <w:shd w:val="clear" w:color="auto" w:fill="auto"/>
            <w:vAlign w:val="center"/>
          </w:tcPr>
          <w:p w14:paraId="3693F4AB" w14:textId="77777777" w:rsidR="003734EC" w:rsidRDefault="003734EC">
            <w:pPr>
              <w:rPr>
                <w:rFonts w:ascii="宋体"/>
              </w:rPr>
            </w:pPr>
          </w:p>
        </w:tc>
        <w:tc>
          <w:tcPr>
            <w:tcW w:w="0" w:type="auto"/>
            <w:shd w:val="clear" w:color="auto" w:fill="auto"/>
            <w:vAlign w:val="center"/>
          </w:tcPr>
          <w:p w14:paraId="3693F4AC" w14:textId="77777777" w:rsidR="003734EC" w:rsidRDefault="003734EC">
            <w:pPr>
              <w:rPr>
                <w:rFonts w:ascii="宋体"/>
              </w:rPr>
            </w:pPr>
          </w:p>
        </w:tc>
        <w:tc>
          <w:tcPr>
            <w:tcW w:w="0" w:type="auto"/>
            <w:shd w:val="clear" w:color="auto" w:fill="auto"/>
            <w:vAlign w:val="center"/>
          </w:tcPr>
          <w:p w14:paraId="3693F4AD" w14:textId="77777777" w:rsidR="003734EC" w:rsidRDefault="003734EC">
            <w:pPr>
              <w:rPr>
                <w:rFonts w:ascii="宋体"/>
              </w:rPr>
            </w:pPr>
          </w:p>
        </w:tc>
        <w:tc>
          <w:tcPr>
            <w:tcW w:w="0" w:type="auto"/>
            <w:shd w:val="clear" w:color="auto" w:fill="auto"/>
            <w:vAlign w:val="center"/>
          </w:tcPr>
          <w:p w14:paraId="3693F4AE" w14:textId="77777777" w:rsidR="003734EC" w:rsidRDefault="003734EC">
            <w:pPr>
              <w:rPr>
                <w:rFonts w:ascii="宋体"/>
              </w:rPr>
            </w:pPr>
          </w:p>
        </w:tc>
        <w:tc>
          <w:tcPr>
            <w:tcW w:w="0" w:type="auto"/>
            <w:shd w:val="clear" w:color="auto" w:fill="auto"/>
            <w:vAlign w:val="center"/>
          </w:tcPr>
          <w:p w14:paraId="3693F4AF" w14:textId="77777777" w:rsidR="003734EC" w:rsidRDefault="003734EC">
            <w:pPr>
              <w:rPr>
                <w:rFonts w:ascii="宋体"/>
              </w:rPr>
            </w:pPr>
          </w:p>
        </w:tc>
        <w:tc>
          <w:tcPr>
            <w:tcW w:w="0" w:type="auto"/>
            <w:shd w:val="clear" w:color="auto" w:fill="auto"/>
            <w:vAlign w:val="center"/>
          </w:tcPr>
          <w:p w14:paraId="3693F4B0" w14:textId="77777777" w:rsidR="003734EC" w:rsidRDefault="003734EC">
            <w:pPr>
              <w:rPr>
                <w:rFonts w:ascii="宋体"/>
              </w:rPr>
            </w:pPr>
          </w:p>
        </w:tc>
        <w:tc>
          <w:tcPr>
            <w:tcW w:w="0" w:type="auto"/>
            <w:shd w:val="clear" w:color="auto" w:fill="auto"/>
            <w:vAlign w:val="center"/>
          </w:tcPr>
          <w:p w14:paraId="3693F4B1" w14:textId="77777777" w:rsidR="003734EC" w:rsidRDefault="003734EC">
            <w:pPr>
              <w:rPr>
                <w:rFonts w:ascii="宋体"/>
              </w:rPr>
            </w:pPr>
          </w:p>
        </w:tc>
      </w:tr>
      <w:tr w:rsidR="003734EC" w14:paraId="3693F4CD" w14:textId="77777777">
        <w:trPr>
          <w:hidden/>
        </w:trPr>
        <w:tc>
          <w:tcPr>
            <w:tcW w:w="0" w:type="auto"/>
            <w:gridSpan w:val="3"/>
            <w:shd w:val="clear" w:color="auto" w:fill="auto"/>
            <w:vAlign w:val="center"/>
          </w:tcPr>
          <w:p w14:paraId="3693F4B3" w14:textId="77777777" w:rsidR="003734EC" w:rsidRDefault="003734EC">
            <w:pPr>
              <w:rPr>
                <w:rFonts w:ascii="宋体"/>
                <w:vanish/>
              </w:rPr>
            </w:pPr>
          </w:p>
        </w:tc>
        <w:tc>
          <w:tcPr>
            <w:tcW w:w="0" w:type="auto"/>
            <w:gridSpan w:val="3"/>
            <w:shd w:val="clear" w:color="auto" w:fill="auto"/>
            <w:vAlign w:val="center"/>
          </w:tcPr>
          <w:p w14:paraId="3693F4B4" w14:textId="77777777" w:rsidR="003734EC" w:rsidRDefault="003734EC">
            <w:pPr>
              <w:rPr>
                <w:rFonts w:ascii="宋体"/>
                <w:vanish/>
              </w:rPr>
            </w:pPr>
          </w:p>
        </w:tc>
        <w:tc>
          <w:tcPr>
            <w:tcW w:w="0" w:type="auto"/>
            <w:gridSpan w:val="3"/>
            <w:shd w:val="clear" w:color="auto" w:fill="auto"/>
            <w:vAlign w:val="center"/>
          </w:tcPr>
          <w:p w14:paraId="3693F4B5" w14:textId="77777777" w:rsidR="003734EC" w:rsidRDefault="003734EC">
            <w:pPr>
              <w:rPr>
                <w:rFonts w:ascii="宋体"/>
                <w:vanish/>
              </w:rPr>
            </w:pPr>
          </w:p>
        </w:tc>
        <w:tc>
          <w:tcPr>
            <w:tcW w:w="0" w:type="auto"/>
            <w:gridSpan w:val="3"/>
            <w:shd w:val="clear" w:color="auto" w:fill="auto"/>
            <w:vAlign w:val="center"/>
          </w:tcPr>
          <w:p w14:paraId="3693F4B6" w14:textId="77777777" w:rsidR="003734EC" w:rsidRDefault="003734EC">
            <w:pPr>
              <w:rPr>
                <w:rFonts w:ascii="宋体"/>
                <w:vanish/>
              </w:rPr>
            </w:pPr>
          </w:p>
        </w:tc>
        <w:tc>
          <w:tcPr>
            <w:tcW w:w="0" w:type="auto"/>
            <w:gridSpan w:val="3"/>
            <w:shd w:val="clear" w:color="auto" w:fill="auto"/>
            <w:vAlign w:val="center"/>
          </w:tcPr>
          <w:p w14:paraId="3693F4B7" w14:textId="77777777" w:rsidR="003734EC" w:rsidRDefault="003734EC">
            <w:pPr>
              <w:rPr>
                <w:rFonts w:ascii="宋体"/>
                <w:vanish/>
              </w:rPr>
            </w:pPr>
          </w:p>
        </w:tc>
        <w:tc>
          <w:tcPr>
            <w:tcW w:w="0" w:type="auto"/>
            <w:gridSpan w:val="3"/>
            <w:shd w:val="clear" w:color="auto" w:fill="auto"/>
            <w:vAlign w:val="center"/>
          </w:tcPr>
          <w:p w14:paraId="3693F4B8" w14:textId="77777777" w:rsidR="003734EC" w:rsidRDefault="003734EC">
            <w:pPr>
              <w:rPr>
                <w:rFonts w:ascii="宋体"/>
                <w:vanish/>
              </w:rPr>
            </w:pPr>
          </w:p>
        </w:tc>
        <w:tc>
          <w:tcPr>
            <w:tcW w:w="0" w:type="auto"/>
            <w:gridSpan w:val="3"/>
            <w:shd w:val="clear" w:color="auto" w:fill="auto"/>
            <w:vAlign w:val="center"/>
          </w:tcPr>
          <w:p w14:paraId="3693F4B9" w14:textId="77777777" w:rsidR="003734EC" w:rsidRDefault="003734EC">
            <w:pPr>
              <w:rPr>
                <w:rFonts w:ascii="宋体"/>
                <w:vanish/>
              </w:rPr>
            </w:pPr>
          </w:p>
        </w:tc>
        <w:tc>
          <w:tcPr>
            <w:tcW w:w="0" w:type="auto"/>
            <w:gridSpan w:val="3"/>
            <w:shd w:val="clear" w:color="auto" w:fill="auto"/>
            <w:vAlign w:val="center"/>
          </w:tcPr>
          <w:p w14:paraId="3693F4BA" w14:textId="77777777" w:rsidR="003734EC" w:rsidRDefault="003734EC">
            <w:pPr>
              <w:rPr>
                <w:rFonts w:ascii="宋体"/>
                <w:vanish/>
              </w:rPr>
            </w:pPr>
          </w:p>
        </w:tc>
        <w:tc>
          <w:tcPr>
            <w:tcW w:w="0" w:type="auto"/>
            <w:shd w:val="clear" w:color="auto" w:fill="auto"/>
            <w:vAlign w:val="center"/>
          </w:tcPr>
          <w:p w14:paraId="3693F4BB" w14:textId="77777777" w:rsidR="003734EC" w:rsidRDefault="003734EC">
            <w:pPr>
              <w:rPr>
                <w:rFonts w:ascii="宋体"/>
              </w:rPr>
            </w:pPr>
          </w:p>
        </w:tc>
        <w:tc>
          <w:tcPr>
            <w:tcW w:w="0" w:type="auto"/>
            <w:shd w:val="clear" w:color="auto" w:fill="auto"/>
            <w:vAlign w:val="center"/>
          </w:tcPr>
          <w:p w14:paraId="3693F4BC" w14:textId="77777777" w:rsidR="003734EC" w:rsidRDefault="003734EC">
            <w:pPr>
              <w:rPr>
                <w:rFonts w:ascii="宋体"/>
              </w:rPr>
            </w:pPr>
          </w:p>
        </w:tc>
        <w:tc>
          <w:tcPr>
            <w:tcW w:w="0" w:type="auto"/>
            <w:shd w:val="clear" w:color="auto" w:fill="auto"/>
            <w:vAlign w:val="center"/>
          </w:tcPr>
          <w:p w14:paraId="3693F4BD" w14:textId="77777777" w:rsidR="003734EC" w:rsidRDefault="003734EC">
            <w:pPr>
              <w:rPr>
                <w:rFonts w:ascii="宋体"/>
              </w:rPr>
            </w:pPr>
          </w:p>
        </w:tc>
        <w:tc>
          <w:tcPr>
            <w:tcW w:w="0" w:type="auto"/>
            <w:shd w:val="clear" w:color="auto" w:fill="auto"/>
            <w:vAlign w:val="center"/>
          </w:tcPr>
          <w:p w14:paraId="3693F4BE" w14:textId="77777777" w:rsidR="003734EC" w:rsidRDefault="003734EC">
            <w:pPr>
              <w:rPr>
                <w:rFonts w:ascii="宋体"/>
              </w:rPr>
            </w:pPr>
          </w:p>
        </w:tc>
        <w:tc>
          <w:tcPr>
            <w:tcW w:w="0" w:type="auto"/>
            <w:shd w:val="clear" w:color="auto" w:fill="auto"/>
            <w:vAlign w:val="center"/>
          </w:tcPr>
          <w:p w14:paraId="3693F4BF" w14:textId="77777777" w:rsidR="003734EC" w:rsidRDefault="003734EC">
            <w:pPr>
              <w:rPr>
                <w:rFonts w:ascii="宋体"/>
              </w:rPr>
            </w:pPr>
          </w:p>
        </w:tc>
        <w:tc>
          <w:tcPr>
            <w:tcW w:w="0" w:type="auto"/>
            <w:shd w:val="clear" w:color="auto" w:fill="auto"/>
            <w:vAlign w:val="center"/>
          </w:tcPr>
          <w:p w14:paraId="3693F4C0" w14:textId="77777777" w:rsidR="003734EC" w:rsidRDefault="003734EC">
            <w:pPr>
              <w:rPr>
                <w:rFonts w:ascii="宋体"/>
              </w:rPr>
            </w:pPr>
          </w:p>
        </w:tc>
        <w:tc>
          <w:tcPr>
            <w:tcW w:w="0" w:type="auto"/>
            <w:shd w:val="clear" w:color="auto" w:fill="auto"/>
            <w:vAlign w:val="center"/>
          </w:tcPr>
          <w:p w14:paraId="3693F4C1" w14:textId="77777777" w:rsidR="003734EC" w:rsidRDefault="003734EC">
            <w:pPr>
              <w:rPr>
                <w:rFonts w:ascii="宋体"/>
              </w:rPr>
            </w:pPr>
          </w:p>
        </w:tc>
        <w:tc>
          <w:tcPr>
            <w:tcW w:w="0" w:type="auto"/>
            <w:shd w:val="clear" w:color="auto" w:fill="auto"/>
            <w:vAlign w:val="center"/>
          </w:tcPr>
          <w:p w14:paraId="3693F4C2" w14:textId="77777777" w:rsidR="003734EC" w:rsidRDefault="003734EC">
            <w:pPr>
              <w:rPr>
                <w:rFonts w:ascii="宋体"/>
              </w:rPr>
            </w:pPr>
          </w:p>
        </w:tc>
        <w:tc>
          <w:tcPr>
            <w:tcW w:w="0" w:type="auto"/>
            <w:shd w:val="clear" w:color="auto" w:fill="auto"/>
            <w:vAlign w:val="center"/>
          </w:tcPr>
          <w:p w14:paraId="3693F4C3" w14:textId="77777777" w:rsidR="003734EC" w:rsidRDefault="003734EC">
            <w:pPr>
              <w:rPr>
                <w:rFonts w:ascii="宋体"/>
              </w:rPr>
            </w:pPr>
          </w:p>
        </w:tc>
        <w:tc>
          <w:tcPr>
            <w:tcW w:w="0" w:type="auto"/>
            <w:shd w:val="clear" w:color="auto" w:fill="auto"/>
            <w:vAlign w:val="center"/>
          </w:tcPr>
          <w:p w14:paraId="3693F4C4" w14:textId="77777777" w:rsidR="003734EC" w:rsidRDefault="003734EC">
            <w:pPr>
              <w:rPr>
                <w:rFonts w:ascii="宋体"/>
              </w:rPr>
            </w:pPr>
          </w:p>
        </w:tc>
        <w:tc>
          <w:tcPr>
            <w:tcW w:w="0" w:type="auto"/>
            <w:shd w:val="clear" w:color="auto" w:fill="auto"/>
            <w:vAlign w:val="center"/>
          </w:tcPr>
          <w:p w14:paraId="3693F4C5" w14:textId="77777777" w:rsidR="003734EC" w:rsidRDefault="003734EC">
            <w:pPr>
              <w:rPr>
                <w:rFonts w:ascii="宋体"/>
              </w:rPr>
            </w:pPr>
          </w:p>
        </w:tc>
        <w:tc>
          <w:tcPr>
            <w:tcW w:w="0" w:type="auto"/>
            <w:shd w:val="clear" w:color="auto" w:fill="auto"/>
            <w:vAlign w:val="center"/>
          </w:tcPr>
          <w:p w14:paraId="3693F4C6" w14:textId="77777777" w:rsidR="003734EC" w:rsidRDefault="003734EC">
            <w:pPr>
              <w:rPr>
                <w:rFonts w:ascii="宋体"/>
              </w:rPr>
            </w:pPr>
          </w:p>
        </w:tc>
        <w:tc>
          <w:tcPr>
            <w:tcW w:w="0" w:type="auto"/>
            <w:shd w:val="clear" w:color="auto" w:fill="auto"/>
            <w:vAlign w:val="center"/>
          </w:tcPr>
          <w:p w14:paraId="3693F4C7" w14:textId="77777777" w:rsidR="003734EC" w:rsidRDefault="003734EC">
            <w:pPr>
              <w:rPr>
                <w:rFonts w:ascii="宋体"/>
              </w:rPr>
            </w:pPr>
          </w:p>
        </w:tc>
        <w:tc>
          <w:tcPr>
            <w:tcW w:w="0" w:type="auto"/>
            <w:shd w:val="clear" w:color="auto" w:fill="auto"/>
            <w:vAlign w:val="center"/>
          </w:tcPr>
          <w:p w14:paraId="3693F4C8" w14:textId="77777777" w:rsidR="003734EC" w:rsidRDefault="003734EC">
            <w:pPr>
              <w:rPr>
                <w:rFonts w:ascii="宋体"/>
              </w:rPr>
            </w:pPr>
          </w:p>
        </w:tc>
        <w:tc>
          <w:tcPr>
            <w:tcW w:w="0" w:type="auto"/>
            <w:shd w:val="clear" w:color="auto" w:fill="auto"/>
            <w:vAlign w:val="center"/>
          </w:tcPr>
          <w:p w14:paraId="3693F4C9" w14:textId="77777777" w:rsidR="003734EC" w:rsidRDefault="003734EC">
            <w:pPr>
              <w:rPr>
                <w:rFonts w:ascii="宋体"/>
              </w:rPr>
            </w:pPr>
          </w:p>
        </w:tc>
        <w:tc>
          <w:tcPr>
            <w:tcW w:w="0" w:type="auto"/>
            <w:shd w:val="clear" w:color="auto" w:fill="auto"/>
            <w:vAlign w:val="center"/>
          </w:tcPr>
          <w:p w14:paraId="3693F4CA" w14:textId="77777777" w:rsidR="003734EC" w:rsidRDefault="003734EC">
            <w:pPr>
              <w:rPr>
                <w:rFonts w:ascii="宋体"/>
              </w:rPr>
            </w:pPr>
          </w:p>
        </w:tc>
        <w:tc>
          <w:tcPr>
            <w:tcW w:w="0" w:type="auto"/>
            <w:shd w:val="clear" w:color="auto" w:fill="auto"/>
            <w:vAlign w:val="center"/>
          </w:tcPr>
          <w:p w14:paraId="3693F4CB" w14:textId="77777777" w:rsidR="003734EC" w:rsidRDefault="003734EC">
            <w:pPr>
              <w:rPr>
                <w:rFonts w:ascii="宋体"/>
              </w:rPr>
            </w:pPr>
          </w:p>
        </w:tc>
        <w:tc>
          <w:tcPr>
            <w:tcW w:w="0" w:type="auto"/>
            <w:shd w:val="clear" w:color="auto" w:fill="auto"/>
            <w:vAlign w:val="center"/>
          </w:tcPr>
          <w:p w14:paraId="3693F4CC" w14:textId="77777777" w:rsidR="003734EC" w:rsidRDefault="003734EC">
            <w:pPr>
              <w:rPr>
                <w:rFonts w:ascii="宋体"/>
              </w:rPr>
            </w:pPr>
          </w:p>
        </w:tc>
      </w:tr>
      <w:tr w:rsidR="003734EC" w14:paraId="3693F4E8" w14:textId="77777777">
        <w:trPr>
          <w:hidden/>
        </w:trPr>
        <w:tc>
          <w:tcPr>
            <w:tcW w:w="0" w:type="auto"/>
            <w:gridSpan w:val="3"/>
            <w:shd w:val="clear" w:color="auto" w:fill="auto"/>
            <w:vAlign w:val="center"/>
          </w:tcPr>
          <w:p w14:paraId="3693F4CE" w14:textId="77777777" w:rsidR="003734EC" w:rsidRDefault="003734EC">
            <w:pPr>
              <w:rPr>
                <w:rFonts w:ascii="宋体"/>
                <w:vanish/>
              </w:rPr>
            </w:pPr>
          </w:p>
        </w:tc>
        <w:tc>
          <w:tcPr>
            <w:tcW w:w="0" w:type="auto"/>
            <w:gridSpan w:val="3"/>
            <w:shd w:val="clear" w:color="auto" w:fill="auto"/>
            <w:vAlign w:val="center"/>
          </w:tcPr>
          <w:p w14:paraId="3693F4CF" w14:textId="77777777" w:rsidR="003734EC" w:rsidRDefault="003734EC">
            <w:pPr>
              <w:rPr>
                <w:rFonts w:ascii="宋体"/>
                <w:vanish/>
              </w:rPr>
            </w:pPr>
          </w:p>
        </w:tc>
        <w:tc>
          <w:tcPr>
            <w:tcW w:w="0" w:type="auto"/>
            <w:gridSpan w:val="3"/>
            <w:shd w:val="clear" w:color="auto" w:fill="auto"/>
            <w:vAlign w:val="center"/>
          </w:tcPr>
          <w:p w14:paraId="3693F4D0" w14:textId="77777777" w:rsidR="003734EC" w:rsidRDefault="003734EC">
            <w:pPr>
              <w:rPr>
                <w:rFonts w:ascii="宋体"/>
                <w:vanish/>
              </w:rPr>
            </w:pPr>
          </w:p>
        </w:tc>
        <w:tc>
          <w:tcPr>
            <w:tcW w:w="0" w:type="auto"/>
            <w:gridSpan w:val="3"/>
            <w:shd w:val="clear" w:color="auto" w:fill="auto"/>
            <w:vAlign w:val="center"/>
          </w:tcPr>
          <w:p w14:paraId="3693F4D1" w14:textId="77777777" w:rsidR="003734EC" w:rsidRDefault="003734EC">
            <w:pPr>
              <w:rPr>
                <w:rFonts w:ascii="宋体"/>
                <w:vanish/>
              </w:rPr>
            </w:pPr>
          </w:p>
        </w:tc>
        <w:tc>
          <w:tcPr>
            <w:tcW w:w="0" w:type="auto"/>
            <w:gridSpan w:val="3"/>
            <w:shd w:val="clear" w:color="auto" w:fill="auto"/>
            <w:vAlign w:val="center"/>
          </w:tcPr>
          <w:p w14:paraId="3693F4D2" w14:textId="77777777" w:rsidR="003734EC" w:rsidRDefault="003734EC">
            <w:pPr>
              <w:rPr>
                <w:rFonts w:ascii="宋体"/>
                <w:vanish/>
              </w:rPr>
            </w:pPr>
          </w:p>
        </w:tc>
        <w:tc>
          <w:tcPr>
            <w:tcW w:w="0" w:type="auto"/>
            <w:gridSpan w:val="3"/>
            <w:shd w:val="clear" w:color="auto" w:fill="auto"/>
            <w:vAlign w:val="center"/>
          </w:tcPr>
          <w:p w14:paraId="3693F4D3" w14:textId="77777777" w:rsidR="003734EC" w:rsidRDefault="003734EC">
            <w:pPr>
              <w:rPr>
                <w:rFonts w:ascii="宋体"/>
                <w:vanish/>
              </w:rPr>
            </w:pPr>
          </w:p>
        </w:tc>
        <w:tc>
          <w:tcPr>
            <w:tcW w:w="0" w:type="auto"/>
            <w:gridSpan w:val="3"/>
            <w:shd w:val="clear" w:color="auto" w:fill="auto"/>
            <w:vAlign w:val="center"/>
          </w:tcPr>
          <w:p w14:paraId="3693F4D4" w14:textId="77777777" w:rsidR="003734EC" w:rsidRDefault="003734EC">
            <w:pPr>
              <w:rPr>
                <w:rFonts w:ascii="宋体"/>
                <w:vanish/>
              </w:rPr>
            </w:pPr>
          </w:p>
        </w:tc>
        <w:tc>
          <w:tcPr>
            <w:tcW w:w="0" w:type="auto"/>
            <w:gridSpan w:val="3"/>
            <w:shd w:val="clear" w:color="auto" w:fill="auto"/>
            <w:vAlign w:val="center"/>
          </w:tcPr>
          <w:p w14:paraId="3693F4D5" w14:textId="77777777" w:rsidR="003734EC" w:rsidRDefault="003734EC">
            <w:pPr>
              <w:rPr>
                <w:rFonts w:ascii="宋体"/>
                <w:vanish/>
              </w:rPr>
            </w:pPr>
          </w:p>
        </w:tc>
        <w:tc>
          <w:tcPr>
            <w:tcW w:w="0" w:type="auto"/>
            <w:shd w:val="clear" w:color="auto" w:fill="auto"/>
            <w:vAlign w:val="center"/>
          </w:tcPr>
          <w:p w14:paraId="3693F4D6" w14:textId="77777777" w:rsidR="003734EC" w:rsidRDefault="003734EC">
            <w:pPr>
              <w:rPr>
                <w:rFonts w:ascii="宋体"/>
              </w:rPr>
            </w:pPr>
          </w:p>
        </w:tc>
        <w:tc>
          <w:tcPr>
            <w:tcW w:w="0" w:type="auto"/>
            <w:shd w:val="clear" w:color="auto" w:fill="auto"/>
            <w:vAlign w:val="center"/>
          </w:tcPr>
          <w:p w14:paraId="3693F4D7" w14:textId="77777777" w:rsidR="003734EC" w:rsidRDefault="003734EC">
            <w:pPr>
              <w:rPr>
                <w:rFonts w:ascii="宋体"/>
              </w:rPr>
            </w:pPr>
          </w:p>
        </w:tc>
        <w:tc>
          <w:tcPr>
            <w:tcW w:w="0" w:type="auto"/>
            <w:shd w:val="clear" w:color="auto" w:fill="auto"/>
            <w:vAlign w:val="center"/>
          </w:tcPr>
          <w:p w14:paraId="3693F4D8" w14:textId="77777777" w:rsidR="003734EC" w:rsidRDefault="003734EC">
            <w:pPr>
              <w:rPr>
                <w:rFonts w:ascii="宋体"/>
              </w:rPr>
            </w:pPr>
          </w:p>
        </w:tc>
        <w:tc>
          <w:tcPr>
            <w:tcW w:w="0" w:type="auto"/>
            <w:shd w:val="clear" w:color="auto" w:fill="auto"/>
            <w:vAlign w:val="center"/>
          </w:tcPr>
          <w:p w14:paraId="3693F4D9" w14:textId="77777777" w:rsidR="003734EC" w:rsidRDefault="003734EC">
            <w:pPr>
              <w:rPr>
                <w:rFonts w:ascii="宋体"/>
              </w:rPr>
            </w:pPr>
          </w:p>
        </w:tc>
        <w:tc>
          <w:tcPr>
            <w:tcW w:w="0" w:type="auto"/>
            <w:shd w:val="clear" w:color="auto" w:fill="auto"/>
            <w:vAlign w:val="center"/>
          </w:tcPr>
          <w:p w14:paraId="3693F4DA" w14:textId="77777777" w:rsidR="003734EC" w:rsidRDefault="003734EC">
            <w:pPr>
              <w:rPr>
                <w:rFonts w:ascii="宋体"/>
              </w:rPr>
            </w:pPr>
          </w:p>
        </w:tc>
        <w:tc>
          <w:tcPr>
            <w:tcW w:w="0" w:type="auto"/>
            <w:shd w:val="clear" w:color="auto" w:fill="auto"/>
            <w:vAlign w:val="center"/>
          </w:tcPr>
          <w:p w14:paraId="3693F4DB" w14:textId="77777777" w:rsidR="003734EC" w:rsidRDefault="003734EC">
            <w:pPr>
              <w:rPr>
                <w:rFonts w:ascii="宋体"/>
              </w:rPr>
            </w:pPr>
          </w:p>
        </w:tc>
        <w:tc>
          <w:tcPr>
            <w:tcW w:w="0" w:type="auto"/>
            <w:shd w:val="clear" w:color="auto" w:fill="auto"/>
            <w:vAlign w:val="center"/>
          </w:tcPr>
          <w:p w14:paraId="3693F4DC" w14:textId="77777777" w:rsidR="003734EC" w:rsidRDefault="003734EC">
            <w:pPr>
              <w:rPr>
                <w:rFonts w:ascii="宋体"/>
              </w:rPr>
            </w:pPr>
          </w:p>
        </w:tc>
        <w:tc>
          <w:tcPr>
            <w:tcW w:w="0" w:type="auto"/>
            <w:shd w:val="clear" w:color="auto" w:fill="auto"/>
            <w:vAlign w:val="center"/>
          </w:tcPr>
          <w:p w14:paraId="3693F4DD" w14:textId="77777777" w:rsidR="003734EC" w:rsidRDefault="003734EC">
            <w:pPr>
              <w:rPr>
                <w:rFonts w:ascii="宋体"/>
              </w:rPr>
            </w:pPr>
          </w:p>
        </w:tc>
        <w:tc>
          <w:tcPr>
            <w:tcW w:w="0" w:type="auto"/>
            <w:shd w:val="clear" w:color="auto" w:fill="auto"/>
            <w:vAlign w:val="center"/>
          </w:tcPr>
          <w:p w14:paraId="3693F4DE" w14:textId="77777777" w:rsidR="003734EC" w:rsidRDefault="003734EC">
            <w:pPr>
              <w:rPr>
                <w:rFonts w:ascii="宋体"/>
              </w:rPr>
            </w:pPr>
          </w:p>
        </w:tc>
        <w:tc>
          <w:tcPr>
            <w:tcW w:w="0" w:type="auto"/>
            <w:shd w:val="clear" w:color="auto" w:fill="auto"/>
            <w:vAlign w:val="center"/>
          </w:tcPr>
          <w:p w14:paraId="3693F4DF" w14:textId="77777777" w:rsidR="003734EC" w:rsidRDefault="003734EC">
            <w:pPr>
              <w:rPr>
                <w:rFonts w:ascii="宋体"/>
              </w:rPr>
            </w:pPr>
          </w:p>
        </w:tc>
        <w:tc>
          <w:tcPr>
            <w:tcW w:w="0" w:type="auto"/>
            <w:shd w:val="clear" w:color="auto" w:fill="auto"/>
            <w:vAlign w:val="center"/>
          </w:tcPr>
          <w:p w14:paraId="3693F4E0" w14:textId="77777777" w:rsidR="003734EC" w:rsidRDefault="003734EC">
            <w:pPr>
              <w:rPr>
                <w:rFonts w:ascii="宋体"/>
              </w:rPr>
            </w:pPr>
          </w:p>
        </w:tc>
        <w:tc>
          <w:tcPr>
            <w:tcW w:w="0" w:type="auto"/>
            <w:shd w:val="clear" w:color="auto" w:fill="auto"/>
            <w:vAlign w:val="center"/>
          </w:tcPr>
          <w:p w14:paraId="3693F4E1" w14:textId="77777777" w:rsidR="003734EC" w:rsidRDefault="003734EC">
            <w:pPr>
              <w:rPr>
                <w:rFonts w:ascii="宋体"/>
              </w:rPr>
            </w:pPr>
          </w:p>
        </w:tc>
        <w:tc>
          <w:tcPr>
            <w:tcW w:w="0" w:type="auto"/>
            <w:shd w:val="clear" w:color="auto" w:fill="auto"/>
            <w:vAlign w:val="center"/>
          </w:tcPr>
          <w:p w14:paraId="3693F4E2" w14:textId="77777777" w:rsidR="003734EC" w:rsidRDefault="003734EC">
            <w:pPr>
              <w:rPr>
                <w:rFonts w:ascii="宋体"/>
              </w:rPr>
            </w:pPr>
          </w:p>
        </w:tc>
        <w:tc>
          <w:tcPr>
            <w:tcW w:w="0" w:type="auto"/>
            <w:shd w:val="clear" w:color="auto" w:fill="auto"/>
            <w:vAlign w:val="center"/>
          </w:tcPr>
          <w:p w14:paraId="3693F4E3" w14:textId="77777777" w:rsidR="003734EC" w:rsidRDefault="003734EC">
            <w:pPr>
              <w:rPr>
                <w:rFonts w:ascii="宋体"/>
              </w:rPr>
            </w:pPr>
          </w:p>
        </w:tc>
        <w:tc>
          <w:tcPr>
            <w:tcW w:w="0" w:type="auto"/>
            <w:shd w:val="clear" w:color="auto" w:fill="auto"/>
            <w:vAlign w:val="center"/>
          </w:tcPr>
          <w:p w14:paraId="3693F4E4" w14:textId="77777777" w:rsidR="003734EC" w:rsidRDefault="003734EC">
            <w:pPr>
              <w:rPr>
                <w:rFonts w:ascii="宋体"/>
              </w:rPr>
            </w:pPr>
          </w:p>
        </w:tc>
        <w:tc>
          <w:tcPr>
            <w:tcW w:w="0" w:type="auto"/>
            <w:shd w:val="clear" w:color="auto" w:fill="auto"/>
            <w:vAlign w:val="center"/>
          </w:tcPr>
          <w:p w14:paraId="3693F4E5" w14:textId="77777777" w:rsidR="003734EC" w:rsidRDefault="003734EC">
            <w:pPr>
              <w:rPr>
                <w:rFonts w:ascii="宋体"/>
              </w:rPr>
            </w:pPr>
          </w:p>
        </w:tc>
        <w:tc>
          <w:tcPr>
            <w:tcW w:w="0" w:type="auto"/>
            <w:shd w:val="clear" w:color="auto" w:fill="auto"/>
            <w:vAlign w:val="center"/>
          </w:tcPr>
          <w:p w14:paraId="3693F4E6" w14:textId="77777777" w:rsidR="003734EC" w:rsidRDefault="003734EC">
            <w:pPr>
              <w:rPr>
                <w:rFonts w:ascii="宋体"/>
              </w:rPr>
            </w:pPr>
          </w:p>
        </w:tc>
        <w:tc>
          <w:tcPr>
            <w:tcW w:w="0" w:type="auto"/>
            <w:shd w:val="clear" w:color="auto" w:fill="auto"/>
            <w:vAlign w:val="center"/>
          </w:tcPr>
          <w:p w14:paraId="3693F4E7" w14:textId="77777777" w:rsidR="003734EC" w:rsidRDefault="003734EC">
            <w:pPr>
              <w:rPr>
                <w:rFonts w:ascii="宋体"/>
              </w:rPr>
            </w:pPr>
          </w:p>
        </w:tc>
      </w:tr>
      <w:tr w:rsidR="003734EC" w14:paraId="3693F503" w14:textId="77777777">
        <w:trPr>
          <w:hidden/>
        </w:trPr>
        <w:tc>
          <w:tcPr>
            <w:tcW w:w="0" w:type="auto"/>
            <w:gridSpan w:val="3"/>
            <w:shd w:val="clear" w:color="auto" w:fill="auto"/>
            <w:vAlign w:val="center"/>
          </w:tcPr>
          <w:p w14:paraId="3693F4E9" w14:textId="77777777" w:rsidR="003734EC" w:rsidRDefault="003734EC">
            <w:pPr>
              <w:rPr>
                <w:rFonts w:ascii="宋体"/>
                <w:vanish/>
              </w:rPr>
            </w:pPr>
          </w:p>
        </w:tc>
        <w:tc>
          <w:tcPr>
            <w:tcW w:w="0" w:type="auto"/>
            <w:gridSpan w:val="3"/>
            <w:shd w:val="clear" w:color="auto" w:fill="auto"/>
            <w:vAlign w:val="center"/>
          </w:tcPr>
          <w:p w14:paraId="3693F4EA" w14:textId="77777777" w:rsidR="003734EC" w:rsidRDefault="003734EC">
            <w:pPr>
              <w:rPr>
                <w:rFonts w:ascii="宋体"/>
                <w:vanish/>
              </w:rPr>
            </w:pPr>
          </w:p>
        </w:tc>
        <w:tc>
          <w:tcPr>
            <w:tcW w:w="0" w:type="auto"/>
            <w:gridSpan w:val="3"/>
            <w:shd w:val="clear" w:color="auto" w:fill="auto"/>
            <w:vAlign w:val="center"/>
          </w:tcPr>
          <w:p w14:paraId="3693F4EB" w14:textId="77777777" w:rsidR="003734EC" w:rsidRDefault="003734EC">
            <w:pPr>
              <w:rPr>
                <w:rFonts w:ascii="宋体"/>
                <w:vanish/>
              </w:rPr>
            </w:pPr>
          </w:p>
        </w:tc>
        <w:tc>
          <w:tcPr>
            <w:tcW w:w="0" w:type="auto"/>
            <w:gridSpan w:val="3"/>
            <w:shd w:val="clear" w:color="auto" w:fill="auto"/>
            <w:vAlign w:val="center"/>
          </w:tcPr>
          <w:p w14:paraId="3693F4EC" w14:textId="77777777" w:rsidR="003734EC" w:rsidRDefault="003734EC">
            <w:pPr>
              <w:rPr>
                <w:rFonts w:ascii="宋体"/>
                <w:vanish/>
              </w:rPr>
            </w:pPr>
          </w:p>
        </w:tc>
        <w:tc>
          <w:tcPr>
            <w:tcW w:w="0" w:type="auto"/>
            <w:gridSpan w:val="3"/>
            <w:shd w:val="clear" w:color="auto" w:fill="auto"/>
            <w:vAlign w:val="center"/>
          </w:tcPr>
          <w:p w14:paraId="3693F4ED" w14:textId="77777777" w:rsidR="003734EC" w:rsidRDefault="003734EC">
            <w:pPr>
              <w:rPr>
                <w:rFonts w:ascii="宋体"/>
                <w:vanish/>
              </w:rPr>
            </w:pPr>
          </w:p>
        </w:tc>
        <w:tc>
          <w:tcPr>
            <w:tcW w:w="0" w:type="auto"/>
            <w:gridSpan w:val="3"/>
            <w:shd w:val="clear" w:color="auto" w:fill="auto"/>
            <w:vAlign w:val="center"/>
          </w:tcPr>
          <w:p w14:paraId="3693F4EE" w14:textId="77777777" w:rsidR="003734EC" w:rsidRDefault="003734EC">
            <w:pPr>
              <w:rPr>
                <w:rFonts w:ascii="宋体"/>
                <w:vanish/>
              </w:rPr>
            </w:pPr>
          </w:p>
        </w:tc>
        <w:tc>
          <w:tcPr>
            <w:tcW w:w="0" w:type="auto"/>
            <w:gridSpan w:val="3"/>
            <w:shd w:val="clear" w:color="auto" w:fill="auto"/>
            <w:vAlign w:val="center"/>
          </w:tcPr>
          <w:p w14:paraId="3693F4EF" w14:textId="77777777" w:rsidR="003734EC" w:rsidRDefault="003734EC">
            <w:pPr>
              <w:rPr>
                <w:rFonts w:ascii="宋体"/>
                <w:vanish/>
              </w:rPr>
            </w:pPr>
          </w:p>
        </w:tc>
        <w:tc>
          <w:tcPr>
            <w:tcW w:w="0" w:type="auto"/>
            <w:gridSpan w:val="3"/>
            <w:shd w:val="clear" w:color="auto" w:fill="auto"/>
            <w:vAlign w:val="center"/>
          </w:tcPr>
          <w:p w14:paraId="3693F4F0" w14:textId="77777777" w:rsidR="003734EC" w:rsidRDefault="003734EC">
            <w:pPr>
              <w:rPr>
                <w:rFonts w:ascii="宋体"/>
                <w:vanish/>
              </w:rPr>
            </w:pPr>
          </w:p>
        </w:tc>
        <w:tc>
          <w:tcPr>
            <w:tcW w:w="0" w:type="auto"/>
            <w:shd w:val="clear" w:color="auto" w:fill="auto"/>
            <w:vAlign w:val="center"/>
          </w:tcPr>
          <w:p w14:paraId="3693F4F1" w14:textId="77777777" w:rsidR="003734EC" w:rsidRDefault="003734EC">
            <w:pPr>
              <w:rPr>
                <w:rFonts w:ascii="宋体"/>
              </w:rPr>
            </w:pPr>
          </w:p>
        </w:tc>
        <w:tc>
          <w:tcPr>
            <w:tcW w:w="0" w:type="auto"/>
            <w:shd w:val="clear" w:color="auto" w:fill="auto"/>
            <w:vAlign w:val="center"/>
          </w:tcPr>
          <w:p w14:paraId="3693F4F2" w14:textId="77777777" w:rsidR="003734EC" w:rsidRDefault="003734EC">
            <w:pPr>
              <w:rPr>
                <w:rFonts w:ascii="宋体"/>
              </w:rPr>
            </w:pPr>
          </w:p>
        </w:tc>
        <w:tc>
          <w:tcPr>
            <w:tcW w:w="0" w:type="auto"/>
            <w:shd w:val="clear" w:color="auto" w:fill="auto"/>
            <w:vAlign w:val="center"/>
          </w:tcPr>
          <w:p w14:paraId="3693F4F3" w14:textId="77777777" w:rsidR="003734EC" w:rsidRDefault="003734EC">
            <w:pPr>
              <w:rPr>
                <w:rFonts w:ascii="宋体"/>
              </w:rPr>
            </w:pPr>
          </w:p>
        </w:tc>
        <w:tc>
          <w:tcPr>
            <w:tcW w:w="0" w:type="auto"/>
            <w:shd w:val="clear" w:color="auto" w:fill="auto"/>
            <w:vAlign w:val="center"/>
          </w:tcPr>
          <w:p w14:paraId="3693F4F4" w14:textId="77777777" w:rsidR="003734EC" w:rsidRDefault="003734EC">
            <w:pPr>
              <w:rPr>
                <w:rFonts w:ascii="宋体"/>
              </w:rPr>
            </w:pPr>
          </w:p>
        </w:tc>
        <w:tc>
          <w:tcPr>
            <w:tcW w:w="0" w:type="auto"/>
            <w:shd w:val="clear" w:color="auto" w:fill="auto"/>
            <w:vAlign w:val="center"/>
          </w:tcPr>
          <w:p w14:paraId="3693F4F5" w14:textId="77777777" w:rsidR="003734EC" w:rsidRDefault="003734EC">
            <w:pPr>
              <w:rPr>
                <w:rFonts w:ascii="宋体"/>
              </w:rPr>
            </w:pPr>
          </w:p>
        </w:tc>
        <w:tc>
          <w:tcPr>
            <w:tcW w:w="0" w:type="auto"/>
            <w:shd w:val="clear" w:color="auto" w:fill="auto"/>
            <w:vAlign w:val="center"/>
          </w:tcPr>
          <w:p w14:paraId="3693F4F6" w14:textId="77777777" w:rsidR="003734EC" w:rsidRDefault="003734EC">
            <w:pPr>
              <w:rPr>
                <w:rFonts w:ascii="宋体"/>
              </w:rPr>
            </w:pPr>
          </w:p>
        </w:tc>
        <w:tc>
          <w:tcPr>
            <w:tcW w:w="0" w:type="auto"/>
            <w:shd w:val="clear" w:color="auto" w:fill="auto"/>
            <w:vAlign w:val="center"/>
          </w:tcPr>
          <w:p w14:paraId="3693F4F7" w14:textId="77777777" w:rsidR="003734EC" w:rsidRDefault="003734EC">
            <w:pPr>
              <w:rPr>
                <w:rFonts w:ascii="宋体"/>
              </w:rPr>
            </w:pPr>
          </w:p>
        </w:tc>
        <w:tc>
          <w:tcPr>
            <w:tcW w:w="0" w:type="auto"/>
            <w:shd w:val="clear" w:color="auto" w:fill="auto"/>
            <w:vAlign w:val="center"/>
          </w:tcPr>
          <w:p w14:paraId="3693F4F8" w14:textId="77777777" w:rsidR="003734EC" w:rsidRDefault="003734EC">
            <w:pPr>
              <w:rPr>
                <w:rFonts w:ascii="宋体"/>
              </w:rPr>
            </w:pPr>
          </w:p>
        </w:tc>
        <w:tc>
          <w:tcPr>
            <w:tcW w:w="0" w:type="auto"/>
            <w:shd w:val="clear" w:color="auto" w:fill="auto"/>
            <w:vAlign w:val="center"/>
          </w:tcPr>
          <w:p w14:paraId="3693F4F9" w14:textId="77777777" w:rsidR="003734EC" w:rsidRDefault="003734EC">
            <w:pPr>
              <w:rPr>
                <w:rFonts w:ascii="宋体"/>
              </w:rPr>
            </w:pPr>
          </w:p>
        </w:tc>
        <w:tc>
          <w:tcPr>
            <w:tcW w:w="0" w:type="auto"/>
            <w:shd w:val="clear" w:color="auto" w:fill="auto"/>
            <w:vAlign w:val="center"/>
          </w:tcPr>
          <w:p w14:paraId="3693F4FA" w14:textId="77777777" w:rsidR="003734EC" w:rsidRDefault="003734EC">
            <w:pPr>
              <w:rPr>
                <w:rFonts w:ascii="宋体"/>
              </w:rPr>
            </w:pPr>
          </w:p>
        </w:tc>
        <w:tc>
          <w:tcPr>
            <w:tcW w:w="0" w:type="auto"/>
            <w:shd w:val="clear" w:color="auto" w:fill="auto"/>
            <w:vAlign w:val="center"/>
          </w:tcPr>
          <w:p w14:paraId="3693F4FB" w14:textId="77777777" w:rsidR="003734EC" w:rsidRDefault="003734EC">
            <w:pPr>
              <w:rPr>
                <w:rFonts w:ascii="宋体"/>
              </w:rPr>
            </w:pPr>
          </w:p>
        </w:tc>
        <w:tc>
          <w:tcPr>
            <w:tcW w:w="0" w:type="auto"/>
            <w:shd w:val="clear" w:color="auto" w:fill="auto"/>
            <w:vAlign w:val="center"/>
          </w:tcPr>
          <w:p w14:paraId="3693F4FC" w14:textId="77777777" w:rsidR="003734EC" w:rsidRDefault="003734EC">
            <w:pPr>
              <w:rPr>
                <w:rFonts w:ascii="宋体"/>
              </w:rPr>
            </w:pPr>
          </w:p>
        </w:tc>
        <w:tc>
          <w:tcPr>
            <w:tcW w:w="0" w:type="auto"/>
            <w:shd w:val="clear" w:color="auto" w:fill="auto"/>
            <w:vAlign w:val="center"/>
          </w:tcPr>
          <w:p w14:paraId="3693F4FD" w14:textId="77777777" w:rsidR="003734EC" w:rsidRDefault="003734EC">
            <w:pPr>
              <w:rPr>
                <w:rFonts w:ascii="宋体"/>
              </w:rPr>
            </w:pPr>
          </w:p>
        </w:tc>
        <w:tc>
          <w:tcPr>
            <w:tcW w:w="0" w:type="auto"/>
            <w:shd w:val="clear" w:color="auto" w:fill="auto"/>
            <w:vAlign w:val="center"/>
          </w:tcPr>
          <w:p w14:paraId="3693F4FE" w14:textId="77777777" w:rsidR="003734EC" w:rsidRDefault="003734EC">
            <w:pPr>
              <w:rPr>
                <w:rFonts w:ascii="宋体"/>
              </w:rPr>
            </w:pPr>
          </w:p>
        </w:tc>
        <w:tc>
          <w:tcPr>
            <w:tcW w:w="0" w:type="auto"/>
            <w:shd w:val="clear" w:color="auto" w:fill="auto"/>
            <w:vAlign w:val="center"/>
          </w:tcPr>
          <w:p w14:paraId="3693F4FF" w14:textId="77777777" w:rsidR="003734EC" w:rsidRDefault="003734EC">
            <w:pPr>
              <w:rPr>
                <w:rFonts w:ascii="宋体"/>
              </w:rPr>
            </w:pPr>
          </w:p>
        </w:tc>
        <w:tc>
          <w:tcPr>
            <w:tcW w:w="0" w:type="auto"/>
            <w:shd w:val="clear" w:color="auto" w:fill="auto"/>
            <w:vAlign w:val="center"/>
          </w:tcPr>
          <w:p w14:paraId="3693F500" w14:textId="77777777" w:rsidR="003734EC" w:rsidRDefault="003734EC">
            <w:pPr>
              <w:rPr>
                <w:rFonts w:ascii="宋体"/>
              </w:rPr>
            </w:pPr>
          </w:p>
        </w:tc>
        <w:tc>
          <w:tcPr>
            <w:tcW w:w="0" w:type="auto"/>
            <w:shd w:val="clear" w:color="auto" w:fill="auto"/>
            <w:vAlign w:val="center"/>
          </w:tcPr>
          <w:p w14:paraId="3693F501" w14:textId="77777777" w:rsidR="003734EC" w:rsidRDefault="003734EC">
            <w:pPr>
              <w:rPr>
                <w:rFonts w:ascii="宋体"/>
              </w:rPr>
            </w:pPr>
          </w:p>
        </w:tc>
        <w:tc>
          <w:tcPr>
            <w:tcW w:w="0" w:type="auto"/>
            <w:shd w:val="clear" w:color="auto" w:fill="auto"/>
            <w:vAlign w:val="center"/>
          </w:tcPr>
          <w:p w14:paraId="3693F502" w14:textId="77777777" w:rsidR="003734EC" w:rsidRDefault="003734EC">
            <w:pPr>
              <w:rPr>
                <w:rFonts w:ascii="宋体"/>
              </w:rPr>
            </w:pPr>
          </w:p>
        </w:tc>
      </w:tr>
      <w:tr w:rsidR="003734EC" w14:paraId="3693F51E" w14:textId="77777777">
        <w:trPr>
          <w:hidden/>
        </w:trPr>
        <w:tc>
          <w:tcPr>
            <w:tcW w:w="0" w:type="auto"/>
            <w:gridSpan w:val="3"/>
            <w:shd w:val="clear" w:color="auto" w:fill="auto"/>
            <w:vAlign w:val="center"/>
          </w:tcPr>
          <w:p w14:paraId="3693F504" w14:textId="77777777" w:rsidR="003734EC" w:rsidRDefault="003734EC">
            <w:pPr>
              <w:rPr>
                <w:rFonts w:ascii="宋体"/>
                <w:vanish/>
              </w:rPr>
            </w:pPr>
          </w:p>
        </w:tc>
        <w:tc>
          <w:tcPr>
            <w:tcW w:w="0" w:type="auto"/>
            <w:gridSpan w:val="3"/>
            <w:shd w:val="clear" w:color="auto" w:fill="auto"/>
            <w:vAlign w:val="center"/>
          </w:tcPr>
          <w:p w14:paraId="3693F505" w14:textId="77777777" w:rsidR="003734EC" w:rsidRDefault="003734EC">
            <w:pPr>
              <w:rPr>
                <w:rFonts w:ascii="宋体"/>
                <w:vanish/>
              </w:rPr>
            </w:pPr>
          </w:p>
        </w:tc>
        <w:tc>
          <w:tcPr>
            <w:tcW w:w="0" w:type="auto"/>
            <w:gridSpan w:val="3"/>
            <w:shd w:val="clear" w:color="auto" w:fill="auto"/>
            <w:vAlign w:val="center"/>
          </w:tcPr>
          <w:p w14:paraId="3693F506" w14:textId="77777777" w:rsidR="003734EC" w:rsidRDefault="003734EC">
            <w:pPr>
              <w:rPr>
                <w:rFonts w:ascii="宋体"/>
                <w:vanish/>
              </w:rPr>
            </w:pPr>
          </w:p>
        </w:tc>
        <w:tc>
          <w:tcPr>
            <w:tcW w:w="0" w:type="auto"/>
            <w:gridSpan w:val="3"/>
            <w:shd w:val="clear" w:color="auto" w:fill="auto"/>
            <w:vAlign w:val="center"/>
          </w:tcPr>
          <w:p w14:paraId="3693F507" w14:textId="77777777" w:rsidR="003734EC" w:rsidRDefault="003734EC">
            <w:pPr>
              <w:rPr>
                <w:rFonts w:ascii="宋体"/>
                <w:vanish/>
              </w:rPr>
            </w:pPr>
          </w:p>
        </w:tc>
        <w:tc>
          <w:tcPr>
            <w:tcW w:w="0" w:type="auto"/>
            <w:gridSpan w:val="3"/>
            <w:shd w:val="clear" w:color="auto" w:fill="auto"/>
            <w:vAlign w:val="center"/>
          </w:tcPr>
          <w:p w14:paraId="3693F508" w14:textId="77777777" w:rsidR="003734EC" w:rsidRDefault="003734EC">
            <w:pPr>
              <w:rPr>
                <w:rFonts w:ascii="宋体"/>
                <w:vanish/>
              </w:rPr>
            </w:pPr>
          </w:p>
        </w:tc>
        <w:tc>
          <w:tcPr>
            <w:tcW w:w="0" w:type="auto"/>
            <w:gridSpan w:val="3"/>
            <w:shd w:val="clear" w:color="auto" w:fill="auto"/>
            <w:vAlign w:val="center"/>
          </w:tcPr>
          <w:p w14:paraId="3693F509" w14:textId="77777777" w:rsidR="003734EC" w:rsidRDefault="003734EC">
            <w:pPr>
              <w:rPr>
                <w:rFonts w:ascii="宋体"/>
                <w:vanish/>
              </w:rPr>
            </w:pPr>
          </w:p>
        </w:tc>
        <w:tc>
          <w:tcPr>
            <w:tcW w:w="0" w:type="auto"/>
            <w:gridSpan w:val="3"/>
            <w:shd w:val="clear" w:color="auto" w:fill="auto"/>
            <w:vAlign w:val="center"/>
          </w:tcPr>
          <w:p w14:paraId="3693F50A" w14:textId="77777777" w:rsidR="003734EC" w:rsidRDefault="003734EC">
            <w:pPr>
              <w:rPr>
                <w:rFonts w:ascii="宋体"/>
                <w:vanish/>
              </w:rPr>
            </w:pPr>
          </w:p>
        </w:tc>
        <w:tc>
          <w:tcPr>
            <w:tcW w:w="0" w:type="auto"/>
            <w:gridSpan w:val="3"/>
            <w:shd w:val="clear" w:color="auto" w:fill="auto"/>
            <w:vAlign w:val="center"/>
          </w:tcPr>
          <w:p w14:paraId="3693F50B" w14:textId="77777777" w:rsidR="003734EC" w:rsidRDefault="003734EC">
            <w:pPr>
              <w:rPr>
                <w:rFonts w:ascii="宋体"/>
                <w:vanish/>
              </w:rPr>
            </w:pPr>
          </w:p>
        </w:tc>
        <w:tc>
          <w:tcPr>
            <w:tcW w:w="0" w:type="auto"/>
            <w:shd w:val="clear" w:color="auto" w:fill="auto"/>
            <w:vAlign w:val="center"/>
          </w:tcPr>
          <w:p w14:paraId="3693F50C" w14:textId="77777777" w:rsidR="003734EC" w:rsidRDefault="003734EC">
            <w:pPr>
              <w:rPr>
                <w:rFonts w:ascii="宋体"/>
              </w:rPr>
            </w:pPr>
          </w:p>
        </w:tc>
        <w:tc>
          <w:tcPr>
            <w:tcW w:w="0" w:type="auto"/>
            <w:shd w:val="clear" w:color="auto" w:fill="auto"/>
            <w:vAlign w:val="center"/>
          </w:tcPr>
          <w:p w14:paraId="3693F50D" w14:textId="77777777" w:rsidR="003734EC" w:rsidRDefault="003734EC">
            <w:pPr>
              <w:rPr>
                <w:rFonts w:ascii="宋体"/>
              </w:rPr>
            </w:pPr>
          </w:p>
        </w:tc>
        <w:tc>
          <w:tcPr>
            <w:tcW w:w="0" w:type="auto"/>
            <w:shd w:val="clear" w:color="auto" w:fill="auto"/>
            <w:vAlign w:val="center"/>
          </w:tcPr>
          <w:p w14:paraId="3693F50E" w14:textId="77777777" w:rsidR="003734EC" w:rsidRDefault="003734EC">
            <w:pPr>
              <w:rPr>
                <w:rFonts w:ascii="宋体"/>
              </w:rPr>
            </w:pPr>
          </w:p>
        </w:tc>
        <w:tc>
          <w:tcPr>
            <w:tcW w:w="0" w:type="auto"/>
            <w:shd w:val="clear" w:color="auto" w:fill="auto"/>
            <w:vAlign w:val="center"/>
          </w:tcPr>
          <w:p w14:paraId="3693F50F" w14:textId="77777777" w:rsidR="003734EC" w:rsidRDefault="003734EC">
            <w:pPr>
              <w:rPr>
                <w:rFonts w:ascii="宋体"/>
              </w:rPr>
            </w:pPr>
          </w:p>
        </w:tc>
        <w:tc>
          <w:tcPr>
            <w:tcW w:w="0" w:type="auto"/>
            <w:shd w:val="clear" w:color="auto" w:fill="auto"/>
            <w:vAlign w:val="center"/>
          </w:tcPr>
          <w:p w14:paraId="3693F510" w14:textId="77777777" w:rsidR="003734EC" w:rsidRDefault="003734EC">
            <w:pPr>
              <w:rPr>
                <w:rFonts w:ascii="宋体"/>
              </w:rPr>
            </w:pPr>
          </w:p>
        </w:tc>
        <w:tc>
          <w:tcPr>
            <w:tcW w:w="0" w:type="auto"/>
            <w:shd w:val="clear" w:color="auto" w:fill="auto"/>
            <w:vAlign w:val="center"/>
          </w:tcPr>
          <w:p w14:paraId="3693F511" w14:textId="77777777" w:rsidR="003734EC" w:rsidRDefault="003734EC">
            <w:pPr>
              <w:rPr>
                <w:rFonts w:ascii="宋体"/>
              </w:rPr>
            </w:pPr>
          </w:p>
        </w:tc>
        <w:tc>
          <w:tcPr>
            <w:tcW w:w="0" w:type="auto"/>
            <w:shd w:val="clear" w:color="auto" w:fill="auto"/>
            <w:vAlign w:val="center"/>
          </w:tcPr>
          <w:p w14:paraId="3693F512" w14:textId="77777777" w:rsidR="003734EC" w:rsidRDefault="003734EC">
            <w:pPr>
              <w:rPr>
                <w:rFonts w:ascii="宋体"/>
              </w:rPr>
            </w:pPr>
          </w:p>
        </w:tc>
        <w:tc>
          <w:tcPr>
            <w:tcW w:w="0" w:type="auto"/>
            <w:shd w:val="clear" w:color="auto" w:fill="auto"/>
            <w:vAlign w:val="center"/>
          </w:tcPr>
          <w:p w14:paraId="3693F513" w14:textId="77777777" w:rsidR="003734EC" w:rsidRDefault="003734EC">
            <w:pPr>
              <w:rPr>
                <w:rFonts w:ascii="宋体"/>
              </w:rPr>
            </w:pPr>
          </w:p>
        </w:tc>
        <w:tc>
          <w:tcPr>
            <w:tcW w:w="0" w:type="auto"/>
            <w:shd w:val="clear" w:color="auto" w:fill="auto"/>
            <w:vAlign w:val="center"/>
          </w:tcPr>
          <w:p w14:paraId="3693F514" w14:textId="77777777" w:rsidR="003734EC" w:rsidRDefault="003734EC">
            <w:pPr>
              <w:rPr>
                <w:rFonts w:ascii="宋体"/>
              </w:rPr>
            </w:pPr>
          </w:p>
        </w:tc>
        <w:tc>
          <w:tcPr>
            <w:tcW w:w="0" w:type="auto"/>
            <w:shd w:val="clear" w:color="auto" w:fill="auto"/>
            <w:vAlign w:val="center"/>
          </w:tcPr>
          <w:p w14:paraId="3693F515" w14:textId="77777777" w:rsidR="003734EC" w:rsidRDefault="003734EC">
            <w:pPr>
              <w:rPr>
                <w:rFonts w:ascii="宋体"/>
              </w:rPr>
            </w:pPr>
          </w:p>
        </w:tc>
        <w:tc>
          <w:tcPr>
            <w:tcW w:w="0" w:type="auto"/>
            <w:shd w:val="clear" w:color="auto" w:fill="auto"/>
            <w:vAlign w:val="center"/>
          </w:tcPr>
          <w:p w14:paraId="3693F516" w14:textId="77777777" w:rsidR="003734EC" w:rsidRDefault="003734EC">
            <w:pPr>
              <w:rPr>
                <w:rFonts w:ascii="宋体"/>
              </w:rPr>
            </w:pPr>
          </w:p>
        </w:tc>
        <w:tc>
          <w:tcPr>
            <w:tcW w:w="0" w:type="auto"/>
            <w:shd w:val="clear" w:color="auto" w:fill="auto"/>
            <w:vAlign w:val="center"/>
          </w:tcPr>
          <w:p w14:paraId="3693F517" w14:textId="77777777" w:rsidR="003734EC" w:rsidRDefault="003734EC">
            <w:pPr>
              <w:rPr>
                <w:rFonts w:ascii="宋体"/>
              </w:rPr>
            </w:pPr>
          </w:p>
        </w:tc>
        <w:tc>
          <w:tcPr>
            <w:tcW w:w="0" w:type="auto"/>
            <w:shd w:val="clear" w:color="auto" w:fill="auto"/>
            <w:vAlign w:val="center"/>
          </w:tcPr>
          <w:p w14:paraId="3693F518" w14:textId="77777777" w:rsidR="003734EC" w:rsidRDefault="003734EC">
            <w:pPr>
              <w:rPr>
                <w:rFonts w:ascii="宋体"/>
              </w:rPr>
            </w:pPr>
          </w:p>
        </w:tc>
        <w:tc>
          <w:tcPr>
            <w:tcW w:w="0" w:type="auto"/>
            <w:shd w:val="clear" w:color="auto" w:fill="auto"/>
            <w:vAlign w:val="center"/>
          </w:tcPr>
          <w:p w14:paraId="3693F519" w14:textId="77777777" w:rsidR="003734EC" w:rsidRDefault="003734EC">
            <w:pPr>
              <w:rPr>
                <w:rFonts w:ascii="宋体"/>
              </w:rPr>
            </w:pPr>
          </w:p>
        </w:tc>
        <w:tc>
          <w:tcPr>
            <w:tcW w:w="0" w:type="auto"/>
            <w:shd w:val="clear" w:color="auto" w:fill="auto"/>
            <w:vAlign w:val="center"/>
          </w:tcPr>
          <w:p w14:paraId="3693F51A" w14:textId="77777777" w:rsidR="003734EC" w:rsidRDefault="003734EC">
            <w:pPr>
              <w:rPr>
                <w:rFonts w:ascii="宋体"/>
              </w:rPr>
            </w:pPr>
          </w:p>
        </w:tc>
        <w:tc>
          <w:tcPr>
            <w:tcW w:w="0" w:type="auto"/>
            <w:shd w:val="clear" w:color="auto" w:fill="auto"/>
            <w:vAlign w:val="center"/>
          </w:tcPr>
          <w:p w14:paraId="3693F51B" w14:textId="77777777" w:rsidR="003734EC" w:rsidRDefault="003734EC">
            <w:pPr>
              <w:rPr>
                <w:rFonts w:ascii="宋体"/>
              </w:rPr>
            </w:pPr>
          </w:p>
        </w:tc>
        <w:tc>
          <w:tcPr>
            <w:tcW w:w="0" w:type="auto"/>
            <w:shd w:val="clear" w:color="auto" w:fill="auto"/>
            <w:vAlign w:val="center"/>
          </w:tcPr>
          <w:p w14:paraId="3693F51C" w14:textId="77777777" w:rsidR="003734EC" w:rsidRDefault="003734EC">
            <w:pPr>
              <w:rPr>
                <w:rFonts w:ascii="宋体"/>
              </w:rPr>
            </w:pPr>
          </w:p>
        </w:tc>
        <w:tc>
          <w:tcPr>
            <w:tcW w:w="0" w:type="auto"/>
            <w:shd w:val="clear" w:color="auto" w:fill="auto"/>
            <w:vAlign w:val="center"/>
          </w:tcPr>
          <w:p w14:paraId="3693F51D" w14:textId="77777777" w:rsidR="003734EC" w:rsidRDefault="003734EC">
            <w:pPr>
              <w:rPr>
                <w:rFonts w:ascii="宋体"/>
              </w:rPr>
            </w:pPr>
          </w:p>
        </w:tc>
      </w:tr>
      <w:tr w:rsidR="003734EC" w14:paraId="3693F539" w14:textId="77777777">
        <w:trPr>
          <w:hidden/>
        </w:trPr>
        <w:tc>
          <w:tcPr>
            <w:tcW w:w="0" w:type="auto"/>
            <w:gridSpan w:val="3"/>
            <w:shd w:val="clear" w:color="auto" w:fill="auto"/>
            <w:vAlign w:val="center"/>
          </w:tcPr>
          <w:p w14:paraId="3693F51F" w14:textId="77777777" w:rsidR="003734EC" w:rsidRDefault="003734EC">
            <w:pPr>
              <w:rPr>
                <w:rFonts w:ascii="宋体"/>
                <w:vanish/>
              </w:rPr>
            </w:pPr>
          </w:p>
        </w:tc>
        <w:tc>
          <w:tcPr>
            <w:tcW w:w="0" w:type="auto"/>
            <w:gridSpan w:val="3"/>
            <w:shd w:val="clear" w:color="auto" w:fill="auto"/>
            <w:vAlign w:val="center"/>
          </w:tcPr>
          <w:p w14:paraId="3693F520" w14:textId="77777777" w:rsidR="003734EC" w:rsidRDefault="003734EC">
            <w:pPr>
              <w:rPr>
                <w:rFonts w:ascii="宋体"/>
                <w:vanish/>
              </w:rPr>
            </w:pPr>
          </w:p>
        </w:tc>
        <w:tc>
          <w:tcPr>
            <w:tcW w:w="0" w:type="auto"/>
            <w:gridSpan w:val="3"/>
            <w:shd w:val="clear" w:color="auto" w:fill="auto"/>
            <w:vAlign w:val="center"/>
          </w:tcPr>
          <w:p w14:paraId="3693F521" w14:textId="77777777" w:rsidR="003734EC" w:rsidRDefault="003734EC">
            <w:pPr>
              <w:rPr>
                <w:rFonts w:ascii="宋体"/>
                <w:vanish/>
              </w:rPr>
            </w:pPr>
          </w:p>
        </w:tc>
        <w:tc>
          <w:tcPr>
            <w:tcW w:w="0" w:type="auto"/>
            <w:gridSpan w:val="3"/>
            <w:shd w:val="clear" w:color="auto" w:fill="auto"/>
            <w:vAlign w:val="center"/>
          </w:tcPr>
          <w:p w14:paraId="3693F522" w14:textId="77777777" w:rsidR="003734EC" w:rsidRDefault="003734EC">
            <w:pPr>
              <w:rPr>
                <w:rFonts w:ascii="宋体"/>
                <w:vanish/>
              </w:rPr>
            </w:pPr>
          </w:p>
        </w:tc>
        <w:tc>
          <w:tcPr>
            <w:tcW w:w="0" w:type="auto"/>
            <w:gridSpan w:val="3"/>
            <w:shd w:val="clear" w:color="auto" w:fill="auto"/>
            <w:vAlign w:val="center"/>
          </w:tcPr>
          <w:p w14:paraId="3693F523" w14:textId="77777777" w:rsidR="003734EC" w:rsidRDefault="003734EC">
            <w:pPr>
              <w:rPr>
                <w:rFonts w:ascii="宋体"/>
                <w:vanish/>
              </w:rPr>
            </w:pPr>
          </w:p>
        </w:tc>
        <w:tc>
          <w:tcPr>
            <w:tcW w:w="0" w:type="auto"/>
            <w:gridSpan w:val="3"/>
            <w:shd w:val="clear" w:color="auto" w:fill="auto"/>
            <w:vAlign w:val="center"/>
          </w:tcPr>
          <w:p w14:paraId="3693F524" w14:textId="77777777" w:rsidR="003734EC" w:rsidRDefault="003734EC">
            <w:pPr>
              <w:rPr>
                <w:rFonts w:ascii="宋体"/>
                <w:vanish/>
              </w:rPr>
            </w:pPr>
          </w:p>
        </w:tc>
        <w:tc>
          <w:tcPr>
            <w:tcW w:w="0" w:type="auto"/>
            <w:gridSpan w:val="3"/>
            <w:shd w:val="clear" w:color="auto" w:fill="auto"/>
            <w:vAlign w:val="center"/>
          </w:tcPr>
          <w:p w14:paraId="3693F525" w14:textId="77777777" w:rsidR="003734EC" w:rsidRDefault="003734EC">
            <w:pPr>
              <w:rPr>
                <w:rFonts w:ascii="宋体"/>
                <w:vanish/>
              </w:rPr>
            </w:pPr>
          </w:p>
        </w:tc>
        <w:tc>
          <w:tcPr>
            <w:tcW w:w="0" w:type="auto"/>
            <w:gridSpan w:val="3"/>
            <w:shd w:val="clear" w:color="auto" w:fill="auto"/>
            <w:vAlign w:val="center"/>
          </w:tcPr>
          <w:p w14:paraId="3693F526" w14:textId="77777777" w:rsidR="003734EC" w:rsidRDefault="003734EC">
            <w:pPr>
              <w:rPr>
                <w:rFonts w:ascii="宋体"/>
                <w:vanish/>
              </w:rPr>
            </w:pPr>
          </w:p>
        </w:tc>
        <w:tc>
          <w:tcPr>
            <w:tcW w:w="0" w:type="auto"/>
            <w:shd w:val="clear" w:color="auto" w:fill="auto"/>
            <w:vAlign w:val="center"/>
          </w:tcPr>
          <w:p w14:paraId="3693F527" w14:textId="77777777" w:rsidR="003734EC" w:rsidRDefault="003734EC">
            <w:pPr>
              <w:rPr>
                <w:rFonts w:ascii="宋体"/>
              </w:rPr>
            </w:pPr>
          </w:p>
        </w:tc>
        <w:tc>
          <w:tcPr>
            <w:tcW w:w="0" w:type="auto"/>
            <w:shd w:val="clear" w:color="auto" w:fill="auto"/>
            <w:vAlign w:val="center"/>
          </w:tcPr>
          <w:p w14:paraId="3693F528" w14:textId="77777777" w:rsidR="003734EC" w:rsidRDefault="003734EC">
            <w:pPr>
              <w:rPr>
                <w:rFonts w:ascii="宋体"/>
              </w:rPr>
            </w:pPr>
          </w:p>
        </w:tc>
        <w:tc>
          <w:tcPr>
            <w:tcW w:w="0" w:type="auto"/>
            <w:shd w:val="clear" w:color="auto" w:fill="auto"/>
            <w:vAlign w:val="center"/>
          </w:tcPr>
          <w:p w14:paraId="3693F529" w14:textId="77777777" w:rsidR="003734EC" w:rsidRDefault="003734EC">
            <w:pPr>
              <w:rPr>
                <w:rFonts w:ascii="宋体"/>
              </w:rPr>
            </w:pPr>
          </w:p>
        </w:tc>
        <w:tc>
          <w:tcPr>
            <w:tcW w:w="0" w:type="auto"/>
            <w:shd w:val="clear" w:color="auto" w:fill="auto"/>
            <w:vAlign w:val="center"/>
          </w:tcPr>
          <w:p w14:paraId="3693F52A" w14:textId="77777777" w:rsidR="003734EC" w:rsidRDefault="003734EC">
            <w:pPr>
              <w:rPr>
                <w:rFonts w:ascii="宋体"/>
              </w:rPr>
            </w:pPr>
          </w:p>
        </w:tc>
        <w:tc>
          <w:tcPr>
            <w:tcW w:w="0" w:type="auto"/>
            <w:shd w:val="clear" w:color="auto" w:fill="auto"/>
            <w:vAlign w:val="center"/>
          </w:tcPr>
          <w:p w14:paraId="3693F52B" w14:textId="77777777" w:rsidR="003734EC" w:rsidRDefault="003734EC">
            <w:pPr>
              <w:rPr>
                <w:rFonts w:ascii="宋体"/>
              </w:rPr>
            </w:pPr>
          </w:p>
        </w:tc>
        <w:tc>
          <w:tcPr>
            <w:tcW w:w="0" w:type="auto"/>
            <w:shd w:val="clear" w:color="auto" w:fill="auto"/>
            <w:vAlign w:val="center"/>
          </w:tcPr>
          <w:p w14:paraId="3693F52C" w14:textId="77777777" w:rsidR="003734EC" w:rsidRDefault="003734EC">
            <w:pPr>
              <w:rPr>
                <w:rFonts w:ascii="宋体"/>
              </w:rPr>
            </w:pPr>
          </w:p>
        </w:tc>
        <w:tc>
          <w:tcPr>
            <w:tcW w:w="0" w:type="auto"/>
            <w:shd w:val="clear" w:color="auto" w:fill="auto"/>
            <w:vAlign w:val="center"/>
          </w:tcPr>
          <w:p w14:paraId="3693F52D" w14:textId="77777777" w:rsidR="003734EC" w:rsidRDefault="003734EC">
            <w:pPr>
              <w:rPr>
                <w:rFonts w:ascii="宋体"/>
              </w:rPr>
            </w:pPr>
          </w:p>
        </w:tc>
        <w:tc>
          <w:tcPr>
            <w:tcW w:w="0" w:type="auto"/>
            <w:shd w:val="clear" w:color="auto" w:fill="auto"/>
            <w:vAlign w:val="center"/>
          </w:tcPr>
          <w:p w14:paraId="3693F52E" w14:textId="77777777" w:rsidR="003734EC" w:rsidRDefault="003734EC">
            <w:pPr>
              <w:rPr>
                <w:rFonts w:ascii="宋体"/>
              </w:rPr>
            </w:pPr>
          </w:p>
        </w:tc>
        <w:tc>
          <w:tcPr>
            <w:tcW w:w="0" w:type="auto"/>
            <w:shd w:val="clear" w:color="auto" w:fill="auto"/>
            <w:vAlign w:val="center"/>
          </w:tcPr>
          <w:p w14:paraId="3693F52F" w14:textId="77777777" w:rsidR="003734EC" w:rsidRDefault="003734EC">
            <w:pPr>
              <w:rPr>
                <w:rFonts w:ascii="宋体"/>
              </w:rPr>
            </w:pPr>
          </w:p>
        </w:tc>
        <w:tc>
          <w:tcPr>
            <w:tcW w:w="0" w:type="auto"/>
            <w:shd w:val="clear" w:color="auto" w:fill="auto"/>
            <w:vAlign w:val="center"/>
          </w:tcPr>
          <w:p w14:paraId="3693F530" w14:textId="77777777" w:rsidR="003734EC" w:rsidRDefault="003734EC">
            <w:pPr>
              <w:rPr>
                <w:rFonts w:ascii="宋体"/>
              </w:rPr>
            </w:pPr>
          </w:p>
        </w:tc>
        <w:tc>
          <w:tcPr>
            <w:tcW w:w="0" w:type="auto"/>
            <w:shd w:val="clear" w:color="auto" w:fill="auto"/>
            <w:vAlign w:val="center"/>
          </w:tcPr>
          <w:p w14:paraId="3693F531" w14:textId="77777777" w:rsidR="003734EC" w:rsidRDefault="003734EC">
            <w:pPr>
              <w:rPr>
                <w:rFonts w:ascii="宋体"/>
              </w:rPr>
            </w:pPr>
          </w:p>
        </w:tc>
        <w:tc>
          <w:tcPr>
            <w:tcW w:w="0" w:type="auto"/>
            <w:shd w:val="clear" w:color="auto" w:fill="auto"/>
            <w:vAlign w:val="center"/>
          </w:tcPr>
          <w:p w14:paraId="3693F532" w14:textId="77777777" w:rsidR="003734EC" w:rsidRDefault="003734EC">
            <w:pPr>
              <w:rPr>
                <w:rFonts w:ascii="宋体"/>
              </w:rPr>
            </w:pPr>
          </w:p>
        </w:tc>
        <w:tc>
          <w:tcPr>
            <w:tcW w:w="0" w:type="auto"/>
            <w:shd w:val="clear" w:color="auto" w:fill="auto"/>
            <w:vAlign w:val="center"/>
          </w:tcPr>
          <w:p w14:paraId="3693F533" w14:textId="77777777" w:rsidR="003734EC" w:rsidRDefault="003734EC">
            <w:pPr>
              <w:rPr>
                <w:rFonts w:ascii="宋体"/>
              </w:rPr>
            </w:pPr>
          </w:p>
        </w:tc>
        <w:tc>
          <w:tcPr>
            <w:tcW w:w="0" w:type="auto"/>
            <w:shd w:val="clear" w:color="auto" w:fill="auto"/>
            <w:vAlign w:val="center"/>
          </w:tcPr>
          <w:p w14:paraId="3693F534" w14:textId="77777777" w:rsidR="003734EC" w:rsidRDefault="003734EC">
            <w:pPr>
              <w:rPr>
                <w:rFonts w:ascii="宋体"/>
              </w:rPr>
            </w:pPr>
          </w:p>
        </w:tc>
        <w:tc>
          <w:tcPr>
            <w:tcW w:w="0" w:type="auto"/>
            <w:shd w:val="clear" w:color="auto" w:fill="auto"/>
            <w:vAlign w:val="center"/>
          </w:tcPr>
          <w:p w14:paraId="3693F535" w14:textId="77777777" w:rsidR="003734EC" w:rsidRDefault="003734EC">
            <w:pPr>
              <w:rPr>
                <w:rFonts w:ascii="宋体"/>
              </w:rPr>
            </w:pPr>
          </w:p>
        </w:tc>
        <w:tc>
          <w:tcPr>
            <w:tcW w:w="0" w:type="auto"/>
            <w:shd w:val="clear" w:color="auto" w:fill="auto"/>
            <w:vAlign w:val="center"/>
          </w:tcPr>
          <w:p w14:paraId="3693F536" w14:textId="77777777" w:rsidR="003734EC" w:rsidRDefault="003734EC">
            <w:pPr>
              <w:rPr>
                <w:rFonts w:ascii="宋体"/>
              </w:rPr>
            </w:pPr>
          </w:p>
        </w:tc>
        <w:tc>
          <w:tcPr>
            <w:tcW w:w="0" w:type="auto"/>
            <w:shd w:val="clear" w:color="auto" w:fill="auto"/>
            <w:vAlign w:val="center"/>
          </w:tcPr>
          <w:p w14:paraId="3693F537" w14:textId="77777777" w:rsidR="003734EC" w:rsidRDefault="003734EC">
            <w:pPr>
              <w:rPr>
                <w:rFonts w:ascii="宋体"/>
              </w:rPr>
            </w:pPr>
          </w:p>
        </w:tc>
        <w:tc>
          <w:tcPr>
            <w:tcW w:w="0" w:type="auto"/>
            <w:shd w:val="clear" w:color="auto" w:fill="auto"/>
            <w:vAlign w:val="center"/>
          </w:tcPr>
          <w:p w14:paraId="3693F538" w14:textId="77777777" w:rsidR="003734EC" w:rsidRDefault="003734EC">
            <w:pPr>
              <w:rPr>
                <w:rFonts w:ascii="宋体"/>
              </w:rPr>
            </w:pPr>
          </w:p>
        </w:tc>
      </w:tr>
      <w:tr w:rsidR="003734EC" w14:paraId="3693F554" w14:textId="77777777">
        <w:trPr>
          <w:hidden/>
        </w:trPr>
        <w:tc>
          <w:tcPr>
            <w:tcW w:w="0" w:type="auto"/>
            <w:gridSpan w:val="3"/>
            <w:shd w:val="clear" w:color="auto" w:fill="auto"/>
            <w:vAlign w:val="center"/>
          </w:tcPr>
          <w:p w14:paraId="3693F53A" w14:textId="77777777" w:rsidR="003734EC" w:rsidRDefault="003734EC">
            <w:pPr>
              <w:rPr>
                <w:rFonts w:ascii="宋体"/>
                <w:vanish/>
              </w:rPr>
            </w:pPr>
          </w:p>
        </w:tc>
        <w:tc>
          <w:tcPr>
            <w:tcW w:w="0" w:type="auto"/>
            <w:gridSpan w:val="3"/>
            <w:shd w:val="clear" w:color="auto" w:fill="auto"/>
            <w:vAlign w:val="center"/>
          </w:tcPr>
          <w:p w14:paraId="3693F53B" w14:textId="77777777" w:rsidR="003734EC" w:rsidRDefault="003734EC">
            <w:pPr>
              <w:rPr>
                <w:rFonts w:ascii="宋体"/>
                <w:vanish/>
              </w:rPr>
            </w:pPr>
          </w:p>
        </w:tc>
        <w:tc>
          <w:tcPr>
            <w:tcW w:w="0" w:type="auto"/>
            <w:gridSpan w:val="3"/>
            <w:shd w:val="clear" w:color="auto" w:fill="auto"/>
            <w:vAlign w:val="center"/>
          </w:tcPr>
          <w:p w14:paraId="3693F53C" w14:textId="77777777" w:rsidR="003734EC" w:rsidRDefault="003734EC">
            <w:pPr>
              <w:rPr>
                <w:rFonts w:ascii="宋体"/>
                <w:vanish/>
              </w:rPr>
            </w:pPr>
          </w:p>
        </w:tc>
        <w:tc>
          <w:tcPr>
            <w:tcW w:w="0" w:type="auto"/>
            <w:gridSpan w:val="3"/>
            <w:shd w:val="clear" w:color="auto" w:fill="auto"/>
            <w:vAlign w:val="center"/>
          </w:tcPr>
          <w:p w14:paraId="3693F53D" w14:textId="77777777" w:rsidR="003734EC" w:rsidRDefault="003734EC">
            <w:pPr>
              <w:rPr>
                <w:rFonts w:ascii="宋体"/>
                <w:vanish/>
              </w:rPr>
            </w:pPr>
          </w:p>
        </w:tc>
        <w:tc>
          <w:tcPr>
            <w:tcW w:w="0" w:type="auto"/>
            <w:gridSpan w:val="3"/>
            <w:shd w:val="clear" w:color="auto" w:fill="auto"/>
            <w:vAlign w:val="center"/>
          </w:tcPr>
          <w:p w14:paraId="3693F53E" w14:textId="77777777" w:rsidR="003734EC" w:rsidRDefault="003734EC">
            <w:pPr>
              <w:rPr>
                <w:rFonts w:ascii="宋体"/>
                <w:vanish/>
              </w:rPr>
            </w:pPr>
          </w:p>
        </w:tc>
        <w:tc>
          <w:tcPr>
            <w:tcW w:w="0" w:type="auto"/>
            <w:gridSpan w:val="3"/>
            <w:shd w:val="clear" w:color="auto" w:fill="auto"/>
            <w:vAlign w:val="center"/>
          </w:tcPr>
          <w:p w14:paraId="3693F53F" w14:textId="77777777" w:rsidR="003734EC" w:rsidRDefault="003734EC">
            <w:pPr>
              <w:rPr>
                <w:rFonts w:ascii="宋体"/>
                <w:vanish/>
              </w:rPr>
            </w:pPr>
          </w:p>
        </w:tc>
        <w:tc>
          <w:tcPr>
            <w:tcW w:w="0" w:type="auto"/>
            <w:gridSpan w:val="3"/>
            <w:shd w:val="clear" w:color="auto" w:fill="auto"/>
            <w:vAlign w:val="center"/>
          </w:tcPr>
          <w:p w14:paraId="3693F540" w14:textId="77777777" w:rsidR="003734EC" w:rsidRDefault="003734EC">
            <w:pPr>
              <w:rPr>
                <w:rFonts w:ascii="宋体"/>
                <w:vanish/>
              </w:rPr>
            </w:pPr>
          </w:p>
        </w:tc>
        <w:tc>
          <w:tcPr>
            <w:tcW w:w="0" w:type="auto"/>
            <w:gridSpan w:val="3"/>
            <w:shd w:val="clear" w:color="auto" w:fill="auto"/>
            <w:vAlign w:val="center"/>
          </w:tcPr>
          <w:p w14:paraId="3693F541" w14:textId="77777777" w:rsidR="003734EC" w:rsidRDefault="003734EC">
            <w:pPr>
              <w:rPr>
                <w:rFonts w:ascii="宋体"/>
                <w:vanish/>
              </w:rPr>
            </w:pPr>
          </w:p>
        </w:tc>
        <w:tc>
          <w:tcPr>
            <w:tcW w:w="0" w:type="auto"/>
            <w:shd w:val="clear" w:color="auto" w:fill="auto"/>
            <w:vAlign w:val="center"/>
          </w:tcPr>
          <w:p w14:paraId="3693F542" w14:textId="77777777" w:rsidR="003734EC" w:rsidRDefault="003734EC">
            <w:pPr>
              <w:rPr>
                <w:rFonts w:ascii="宋体"/>
              </w:rPr>
            </w:pPr>
          </w:p>
        </w:tc>
        <w:tc>
          <w:tcPr>
            <w:tcW w:w="0" w:type="auto"/>
            <w:shd w:val="clear" w:color="auto" w:fill="auto"/>
            <w:vAlign w:val="center"/>
          </w:tcPr>
          <w:p w14:paraId="3693F543" w14:textId="77777777" w:rsidR="003734EC" w:rsidRDefault="003734EC">
            <w:pPr>
              <w:rPr>
                <w:rFonts w:ascii="宋体"/>
              </w:rPr>
            </w:pPr>
          </w:p>
        </w:tc>
        <w:tc>
          <w:tcPr>
            <w:tcW w:w="0" w:type="auto"/>
            <w:shd w:val="clear" w:color="auto" w:fill="auto"/>
            <w:vAlign w:val="center"/>
          </w:tcPr>
          <w:p w14:paraId="3693F544" w14:textId="77777777" w:rsidR="003734EC" w:rsidRDefault="003734EC">
            <w:pPr>
              <w:rPr>
                <w:rFonts w:ascii="宋体"/>
              </w:rPr>
            </w:pPr>
          </w:p>
        </w:tc>
        <w:tc>
          <w:tcPr>
            <w:tcW w:w="0" w:type="auto"/>
            <w:shd w:val="clear" w:color="auto" w:fill="auto"/>
            <w:vAlign w:val="center"/>
          </w:tcPr>
          <w:p w14:paraId="3693F545" w14:textId="77777777" w:rsidR="003734EC" w:rsidRDefault="003734EC">
            <w:pPr>
              <w:rPr>
                <w:rFonts w:ascii="宋体"/>
              </w:rPr>
            </w:pPr>
          </w:p>
        </w:tc>
        <w:tc>
          <w:tcPr>
            <w:tcW w:w="0" w:type="auto"/>
            <w:shd w:val="clear" w:color="auto" w:fill="auto"/>
            <w:vAlign w:val="center"/>
          </w:tcPr>
          <w:p w14:paraId="3693F546" w14:textId="77777777" w:rsidR="003734EC" w:rsidRDefault="003734EC">
            <w:pPr>
              <w:rPr>
                <w:rFonts w:ascii="宋体"/>
              </w:rPr>
            </w:pPr>
          </w:p>
        </w:tc>
        <w:tc>
          <w:tcPr>
            <w:tcW w:w="0" w:type="auto"/>
            <w:shd w:val="clear" w:color="auto" w:fill="auto"/>
            <w:vAlign w:val="center"/>
          </w:tcPr>
          <w:p w14:paraId="3693F547" w14:textId="77777777" w:rsidR="003734EC" w:rsidRDefault="003734EC">
            <w:pPr>
              <w:rPr>
                <w:rFonts w:ascii="宋体"/>
              </w:rPr>
            </w:pPr>
          </w:p>
        </w:tc>
        <w:tc>
          <w:tcPr>
            <w:tcW w:w="0" w:type="auto"/>
            <w:shd w:val="clear" w:color="auto" w:fill="auto"/>
            <w:vAlign w:val="center"/>
          </w:tcPr>
          <w:p w14:paraId="3693F548" w14:textId="77777777" w:rsidR="003734EC" w:rsidRDefault="003734EC">
            <w:pPr>
              <w:rPr>
                <w:rFonts w:ascii="宋体"/>
              </w:rPr>
            </w:pPr>
          </w:p>
        </w:tc>
        <w:tc>
          <w:tcPr>
            <w:tcW w:w="0" w:type="auto"/>
            <w:shd w:val="clear" w:color="auto" w:fill="auto"/>
            <w:vAlign w:val="center"/>
          </w:tcPr>
          <w:p w14:paraId="3693F549" w14:textId="77777777" w:rsidR="003734EC" w:rsidRDefault="003734EC">
            <w:pPr>
              <w:rPr>
                <w:rFonts w:ascii="宋体"/>
              </w:rPr>
            </w:pPr>
          </w:p>
        </w:tc>
        <w:tc>
          <w:tcPr>
            <w:tcW w:w="0" w:type="auto"/>
            <w:shd w:val="clear" w:color="auto" w:fill="auto"/>
            <w:vAlign w:val="center"/>
          </w:tcPr>
          <w:p w14:paraId="3693F54A" w14:textId="77777777" w:rsidR="003734EC" w:rsidRDefault="003734EC">
            <w:pPr>
              <w:rPr>
                <w:rFonts w:ascii="宋体"/>
              </w:rPr>
            </w:pPr>
          </w:p>
        </w:tc>
        <w:tc>
          <w:tcPr>
            <w:tcW w:w="0" w:type="auto"/>
            <w:shd w:val="clear" w:color="auto" w:fill="auto"/>
            <w:vAlign w:val="center"/>
          </w:tcPr>
          <w:p w14:paraId="3693F54B" w14:textId="77777777" w:rsidR="003734EC" w:rsidRDefault="003734EC">
            <w:pPr>
              <w:rPr>
                <w:rFonts w:ascii="宋体"/>
              </w:rPr>
            </w:pPr>
          </w:p>
        </w:tc>
        <w:tc>
          <w:tcPr>
            <w:tcW w:w="0" w:type="auto"/>
            <w:shd w:val="clear" w:color="auto" w:fill="auto"/>
            <w:vAlign w:val="center"/>
          </w:tcPr>
          <w:p w14:paraId="3693F54C" w14:textId="77777777" w:rsidR="003734EC" w:rsidRDefault="003734EC">
            <w:pPr>
              <w:rPr>
                <w:rFonts w:ascii="宋体"/>
              </w:rPr>
            </w:pPr>
          </w:p>
        </w:tc>
        <w:tc>
          <w:tcPr>
            <w:tcW w:w="0" w:type="auto"/>
            <w:shd w:val="clear" w:color="auto" w:fill="auto"/>
            <w:vAlign w:val="center"/>
          </w:tcPr>
          <w:p w14:paraId="3693F54D" w14:textId="77777777" w:rsidR="003734EC" w:rsidRDefault="003734EC">
            <w:pPr>
              <w:rPr>
                <w:rFonts w:ascii="宋体"/>
              </w:rPr>
            </w:pPr>
          </w:p>
        </w:tc>
        <w:tc>
          <w:tcPr>
            <w:tcW w:w="0" w:type="auto"/>
            <w:shd w:val="clear" w:color="auto" w:fill="auto"/>
            <w:vAlign w:val="center"/>
          </w:tcPr>
          <w:p w14:paraId="3693F54E" w14:textId="77777777" w:rsidR="003734EC" w:rsidRDefault="003734EC">
            <w:pPr>
              <w:rPr>
                <w:rFonts w:ascii="宋体"/>
              </w:rPr>
            </w:pPr>
          </w:p>
        </w:tc>
        <w:tc>
          <w:tcPr>
            <w:tcW w:w="0" w:type="auto"/>
            <w:shd w:val="clear" w:color="auto" w:fill="auto"/>
            <w:vAlign w:val="center"/>
          </w:tcPr>
          <w:p w14:paraId="3693F54F" w14:textId="77777777" w:rsidR="003734EC" w:rsidRDefault="003734EC">
            <w:pPr>
              <w:rPr>
                <w:rFonts w:ascii="宋体"/>
              </w:rPr>
            </w:pPr>
          </w:p>
        </w:tc>
        <w:tc>
          <w:tcPr>
            <w:tcW w:w="0" w:type="auto"/>
            <w:shd w:val="clear" w:color="auto" w:fill="auto"/>
            <w:vAlign w:val="center"/>
          </w:tcPr>
          <w:p w14:paraId="3693F550" w14:textId="77777777" w:rsidR="003734EC" w:rsidRDefault="003734EC">
            <w:pPr>
              <w:rPr>
                <w:rFonts w:ascii="宋体"/>
              </w:rPr>
            </w:pPr>
          </w:p>
        </w:tc>
        <w:tc>
          <w:tcPr>
            <w:tcW w:w="0" w:type="auto"/>
            <w:shd w:val="clear" w:color="auto" w:fill="auto"/>
            <w:vAlign w:val="center"/>
          </w:tcPr>
          <w:p w14:paraId="3693F551" w14:textId="77777777" w:rsidR="003734EC" w:rsidRDefault="003734EC">
            <w:pPr>
              <w:rPr>
                <w:rFonts w:ascii="宋体"/>
              </w:rPr>
            </w:pPr>
          </w:p>
        </w:tc>
        <w:tc>
          <w:tcPr>
            <w:tcW w:w="0" w:type="auto"/>
            <w:shd w:val="clear" w:color="auto" w:fill="auto"/>
            <w:vAlign w:val="center"/>
          </w:tcPr>
          <w:p w14:paraId="3693F552" w14:textId="77777777" w:rsidR="003734EC" w:rsidRDefault="003734EC">
            <w:pPr>
              <w:rPr>
                <w:rFonts w:ascii="宋体"/>
              </w:rPr>
            </w:pPr>
          </w:p>
        </w:tc>
        <w:tc>
          <w:tcPr>
            <w:tcW w:w="0" w:type="auto"/>
            <w:shd w:val="clear" w:color="auto" w:fill="auto"/>
            <w:vAlign w:val="center"/>
          </w:tcPr>
          <w:p w14:paraId="3693F553" w14:textId="77777777" w:rsidR="003734EC" w:rsidRDefault="003734EC">
            <w:pPr>
              <w:rPr>
                <w:rFonts w:ascii="宋体"/>
              </w:rPr>
            </w:pPr>
          </w:p>
        </w:tc>
      </w:tr>
      <w:tr w:rsidR="003734EC" w14:paraId="3693F56F" w14:textId="77777777">
        <w:trPr>
          <w:hidden/>
        </w:trPr>
        <w:tc>
          <w:tcPr>
            <w:tcW w:w="0" w:type="auto"/>
            <w:gridSpan w:val="3"/>
            <w:shd w:val="clear" w:color="auto" w:fill="auto"/>
            <w:vAlign w:val="center"/>
          </w:tcPr>
          <w:p w14:paraId="3693F555" w14:textId="77777777" w:rsidR="003734EC" w:rsidRDefault="003734EC">
            <w:pPr>
              <w:rPr>
                <w:rFonts w:ascii="宋体"/>
                <w:vanish/>
              </w:rPr>
            </w:pPr>
          </w:p>
        </w:tc>
        <w:tc>
          <w:tcPr>
            <w:tcW w:w="0" w:type="auto"/>
            <w:gridSpan w:val="3"/>
            <w:shd w:val="clear" w:color="auto" w:fill="auto"/>
            <w:vAlign w:val="center"/>
          </w:tcPr>
          <w:p w14:paraId="3693F556" w14:textId="77777777" w:rsidR="003734EC" w:rsidRDefault="003734EC">
            <w:pPr>
              <w:rPr>
                <w:rFonts w:ascii="宋体"/>
                <w:vanish/>
              </w:rPr>
            </w:pPr>
          </w:p>
        </w:tc>
        <w:tc>
          <w:tcPr>
            <w:tcW w:w="0" w:type="auto"/>
            <w:gridSpan w:val="3"/>
            <w:shd w:val="clear" w:color="auto" w:fill="auto"/>
            <w:vAlign w:val="center"/>
          </w:tcPr>
          <w:p w14:paraId="3693F557" w14:textId="77777777" w:rsidR="003734EC" w:rsidRDefault="003734EC">
            <w:pPr>
              <w:rPr>
                <w:rFonts w:ascii="宋体"/>
                <w:vanish/>
              </w:rPr>
            </w:pPr>
          </w:p>
        </w:tc>
        <w:tc>
          <w:tcPr>
            <w:tcW w:w="0" w:type="auto"/>
            <w:gridSpan w:val="3"/>
            <w:shd w:val="clear" w:color="auto" w:fill="auto"/>
            <w:vAlign w:val="center"/>
          </w:tcPr>
          <w:p w14:paraId="3693F558" w14:textId="77777777" w:rsidR="003734EC" w:rsidRDefault="003734EC">
            <w:pPr>
              <w:rPr>
                <w:rFonts w:ascii="宋体"/>
                <w:vanish/>
              </w:rPr>
            </w:pPr>
          </w:p>
        </w:tc>
        <w:tc>
          <w:tcPr>
            <w:tcW w:w="0" w:type="auto"/>
            <w:gridSpan w:val="3"/>
            <w:shd w:val="clear" w:color="auto" w:fill="auto"/>
            <w:vAlign w:val="center"/>
          </w:tcPr>
          <w:p w14:paraId="3693F559" w14:textId="77777777" w:rsidR="003734EC" w:rsidRDefault="003734EC">
            <w:pPr>
              <w:rPr>
                <w:rFonts w:ascii="宋体"/>
                <w:vanish/>
              </w:rPr>
            </w:pPr>
          </w:p>
        </w:tc>
        <w:tc>
          <w:tcPr>
            <w:tcW w:w="0" w:type="auto"/>
            <w:gridSpan w:val="3"/>
            <w:shd w:val="clear" w:color="auto" w:fill="auto"/>
            <w:vAlign w:val="center"/>
          </w:tcPr>
          <w:p w14:paraId="3693F55A" w14:textId="77777777" w:rsidR="003734EC" w:rsidRDefault="003734EC">
            <w:pPr>
              <w:rPr>
                <w:rFonts w:ascii="宋体"/>
                <w:vanish/>
              </w:rPr>
            </w:pPr>
          </w:p>
        </w:tc>
        <w:tc>
          <w:tcPr>
            <w:tcW w:w="0" w:type="auto"/>
            <w:gridSpan w:val="3"/>
            <w:shd w:val="clear" w:color="auto" w:fill="auto"/>
            <w:vAlign w:val="center"/>
          </w:tcPr>
          <w:p w14:paraId="3693F55B" w14:textId="77777777" w:rsidR="003734EC" w:rsidRDefault="003734EC">
            <w:pPr>
              <w:rPr>
                <w:rFonts w:ascii="宋体"/>
                <w:vanish/>
              </w:rPr>
            </w:pPr>
          </w:p>
        </w:tc>
        <w:tc>
          <w:tcPr>
            <w:tcW w:w="0" w:type="auto"/>
            <w:gridSpan w:val="3"/>
            <w:shd w:val="clear" w:color="auto" w:fill="auto"/>
            <w:vAlign w:val="center"/>
          </w:tcPr>
          <w:p w14:paraId="3693F55C" w14:textId="77777777" w:rsidR="003734EC" w:rsidRDefault="003734EC">
            <w:pPr>
              <w:rPr>
                <w:rFonts w:ascii="宋体"/>
                <w:vanish/>
              </w:rPr>
            </w:pPr>
          </w:p>
        </w:tc>
        <w:tc>
          <w:tcPr>
            <w:tcW w:w="0" w:type="auto"/>
            <w:shd w:val="clear" w:color="auto" w:fill="auto"/>
            <w:vAlign w:val="center"/>
          </w:tcPr>
          <w:p w14:paraId="3693F55D" w14:textId="77777777" w:rsidR="003734EC" w:rsidRDefault="003734EC">
            <w:pPr>
              <w:rPr>
                <w:rFonts w:ascii="宋体"/>
              </w:rPr>
            </w:pPr>
          </w:p>
        </w:tc>
        <w:tc>
          <w:tcPr>
            <w:tcW w:w="0" w:type="auto"/>
            <w:shd w:val="clear" w:color="auto" w:fill="auto"/>
            <w:vAlign w:val="center"/>
          </w:tcPr>
          <w:p w14:paraId="3693F55E" w14:textId="77777777" w:rsidR="003734EC" w:rsidRDefault="003734EC">
            <w:pPr>
              <w:rPr>
                <w:rFonts w:ascii="宋体"/>
              </w:rPr>
            </w:pPr>
          </w:p>
        </w:tc>
        <w:tc>
          <w:tcPr>
            <w:tcW w:w="0" w:type="auto"/>
            <w:shd w:val="clear" w:color="auto" w:fill="auto"/>
            <w:vAlign w:val="center"/>
          </w:tcPr>
          <w:p w14:paraId="3693F55F" w14:textId="77777777" w:rsidR="003734EC" w:rsidRDefault="003734EC">
            <w:pPr>
              <w:rPr>
                <w:rFonts w:ascii="宋体"/>
              </w:rPr>
            </w:pPr>
          </w:p>
        </w:tc>
        <w:tc>
          <w:tcPr>
            <w:tcW w:w="0" w:type="auto"/>
            <w:shd w:val="clear" w:color="auto" w:fill="auto"/>
            <w:vAlign w:val="center"/>
          </w:tcPr>
          <w:p w14:paraId="3693F560" w14:textId="77777777" w:rsidR="003734EC" w:rsidRDefault="003734EC">
            <w:pPr>
              <w:rPr>
                <w:rFonts w:ascii="宋体"/>
              </w:rPr>
            </w:pPr>
          </w:p>
        </w:tc>
        <w:tc>
          <w:tcPr>
            <w:tcW w:w="0" w:type="auto"/>
            <w:shd w:val="clear" w:color="auto" w:fill="auto"/>
            <w:vAlign w:val="center"/>
          </w:tcPr>
          <w:p w14:paraId="3693F561" w14:textId="77777777" w:rsidR="003734EC" w:rsidRDefault="003734EC">
            <w:pPr>
              <w:rPr>
                <w:rFonts w:ascii="宋体"/>
              </w:rPr>
            </w:pPr>
          </w:p>
        </w:tc>
        <w:tc>
          <w:tcPr>
            <w:tcW w:w="0" w:type="auto"/>
            <w:shd w:val="clear" w:color="auto" w:fill="auto"/>
            <w:vAlign w:val="center"/>
          </w:tcPr>
          <w:p w14:paraId="3693F562" w14:textId="77777777" w:rsidR="003734EC" w:rsidRDefault="003734EC">
            <w:pPr>
              <w:rPr>
                <w:rFonts w:ascii="宋体"/>
              </w:rPr>
            </w:pPr>
          </w:p>
        </w:tc>
        <w:tc>
          <w:tcPr>
            <w:tcW w:w="0" w:type="auto"/>
            <w:shd w:val="clear" w:color="auto" w:fill="auto"/>
            <w:vAlign w:val="center"/>
          </w:tcPr>
          <w:p w14:paraId="3693F563" w14:textId="77777777" w:rsidR="003734EC" w:rsidRDefault="003734EC">
            <w:pPr>
              <w:rPr>
                <w:rFonts w:ascii="宋体"/>
              </w:rPr>
            </w:pPr>
          </w:p>
        </w:tc>
        <w:tc>
          <w:tcPr>
            <w:tcW w:w="0" w:type="auto"/>
            <w:shd w:val="clear" w:color="auto" w:fill="auto"/>
            <w:vAlign w:val="center"/>
          </w:tcPr>
          <w:p w14:paraId="3693F564" w14:textId="77777777" w:rsidR="003734EC" w:rsidRDefault="003734EC">
            <w:pPr>
              <w:rPr>
                <w:rFonts w:ascii="宋体"/>
              </w:rPr>
            </w:pPr>
          </w:p>
        </w:tc>
        <w:tc>
          <w:tcPr>
            <w:tcW w:w="0" w:type="auto"/>
            <w:shd w:val="clear" w:color="auto" w:fill="auto"/>
            <w:vAlign w:val="center"/>
          </w:tcPr>
          <w:p w14:paraId="3693F565" w14:textId="77777777" w:rsidR="003734EC" w:rsidRDefault="003734EC">
            <w:pPr>
              <w:rPr>
                <w:rFonts w:ascii="宋体"/>
              </w:rPr>
            </w:pPr>
          </w:p>
        </w:tc>
        <w:tc>
          <w:tcPr>
            <w:tcW w:w="0" w:type="auto"/>
            <w:shd w:val="clear" w:color="auto" w:fill="auto"/>
            <w:vAlign w:val="center"/>
          </w:tcPr>
          <w:p w14:paraId="3693F566" w14:textId="77777777" w:rsidR="003734EC" w:rsidRDefault="003734EC">
            <w:pPr>
              <w:rPr>
                <w:rFonts w:ascii="宋体"/>
              </w:rPr>
            </w:pPr>
          </w:p>
        </w:tc>
        <w:tc>
          <w:tcPr>
            <w:tcW w:w="0" w:type="auto"/>
            <w:shd w:val="clear" w:color="auto" w:fill="auto"/>
            <w:vAlign w:val="center"/>
          </w:tcPr>
          <w:p w14:paraId="3693F567" w14:textId="77777777" w:rsidR="003734EC" w:rsidRDefault="003734EC">
            <w:pPr>
              <w:rPr>
                <w:rFonts w:ascii="宋体"/>
              </w:rPr>
            </w:pPr>
          </w:p>
        </w:tc>
        <w:tc>
          <w:tcPr>
            <w:tcW w:w="0" w:type="auto"/>
            <w:shd w:val="clear" w:color="auto" w:fill="auto"/>
            <w:vAlign w:val="center"/>
          </w:tcPr>
          <w:p w14:paraId="3693F568" w14:textId="77777777" w:rsidR="003734EC" w:rsidRDefault="003734EC">
            <w:pPr>
              <w:rPr>
                <w:rFonts w:ascii="宋体"/>
              </w:rPr>
            </w:pPr>
          </w:p>
        </w:tc>
        <w:tc>
          <w:tcPr>
            <w:tcW w:w="0" w:type="auto"/>
            <w:shd w:val="clear" w:color="auto" w:fill="auto"/>
            <w:vAlign w:val="center"/>
          </w:tcPr>
          <w:p w14:paraId="3693F569" w14:textId="77777777" w:rsidR="003734EC" w:rsidRDefault="003734EC">
            <w:pPr>
              <w:rPr>
                <w:rFonts w:ascii="宋体"/>
              </w:rPr>
            </w:pPr>
          </w:p>
        </w:tc>
        <w:tc>
          <w:tcPr>
            <w:tcW w:w="0" w:type="auto"/>
            <w:shd w:val="clear" w:color="auto" w:fill="auto"/>
            <w:vAlign w:val="center"/>
          </w:tcPr>
          <w:p w14:paraId="3693F56A" w14:textId="77777777" w:rsidR="003734EC" w:rsidRDefault="003734EC">
            <w:pPr>
              <w:rPr>
                <w:rFonts w:ascii="宋体"/>
              </w:rPr>
            </w:pPr>
          </w:p>
        </w:tc>
        <w:tc>
          <w:tcPr>
            <w:tcW w:w="0" w:type="auto"/>
            <w:shd w:val="clear" w:color="auto" w:fill="auto"/>
            <w:vAlign w:val="center"/>
          </w:tcPr>
          <w:p w14:paraId="3693F56B" w14:textId="77777777" w:rsidR="003734EC" w:rsidRDefault="003734EC">
            <w:pPr>
              <w:rPr>
                <w:rFonts w:ascii="宋体"/>
              </w:rPr>
            </w:pPr>
          </w:p>
        </w:tc>
        <w:tc>
          <w:tcPr>
            <w:tcW w:w="0" w:type="auto"/>
            <w:shd w:val="clear" w:color="auto" w:fill="auto"/>
            <w:vAlign w:val="center"/>
          </w:tcPr>
          <w:p w14:paraId="3693F56C" w14:textId="77777777" w:rsidR="003734EC" w:rsidRDefault="003734EC">
            <w:pPr>
              <w:rPr>
                <w:rFonts w:ascii="宋体"/>
              </w:rPr>
            </w:pPr>
          </w:p>
        </w:tc>
        <w:tc>
          <w:tcPr>
            <w:tcW w:w="0" w:type="auto"/>
            <w:shd w:val="clear" w:color="auto" w:fill="auto"/>
            <w:vAlign w:val="center"/>
          </w:tcPr>
          <w:p w14:paraId="3693F56D" w14:textId="77777777" w:rsidR="003734EC" w:rsidRDefault="003734EC">
            <w:pPr>
              <w:rPr>
                <w:rFonts w:ascii="宋体"/>
              </w:rPr>
            </w:pPr>
          </w:p>
        </w:tc>
        <w:tc>
          <w:tcPr>
            <w:tcW w:w="0" w:type="auto"/>
            <w:shd w:val="clear" w:color="auto" w:fill="auto"/>
            <w:vAlign w:val="center"/>
          </w:tcPr>
          <w:p w14:paraId="3693F56E" w14:textId="77777777" w:rsidR="003734EC" w:rsidRDefault="003734EC">
            <w:pPr>
              <w:rPr>
                <w:rFonts w:ascii="宋体"/>
              </w:rPr>
            </w:pPr>
          </w:p>
        </w:tc>
      </w:tr>
      <w:tr w:rsidR="003734EC" w14:paraId="3693F58A" w14:textId="77777777">
        <w:trPr>
          <w:hidden/>
        </w:trPr>
        <w:tc>
          <w:tcPr>
            <w:tcW w:w="0" w:type="auto"/>
            <w:gridSpan w:val="3"/>
            <w:shd w:val="clear" w:color="auto" w:fill="auto"/>
            <w:vAlign w:val="center"/>
          </w:tcPr>
          <w:p w14:paraId="3693F570" w14:textId="77777777" w:rsidR="003734EC" w:rsidRDefault="003734EC">
            <w:pPr>
              <w:rPr>
                <w:rFonts w:ascii="宋体"/>
                <w:vanish/>
              </w:rPr>
            </w:pPr>
          </w:p>
        </w:tc>
        <w:tc>
          <w:tcPr>
            <w:tcW w:w="0" w:type="auto"/>
            <w:gridSpan w:val="3"/>
            <w:shd w:val="clear" w:color="auto" w:fill="auto"/>
            <w:vAlign w:val="center"/>
          </w:tcPr>
          <w:p w14:paraId="3693F571" w14:textId="77777777" w:rsidR="003734EC" w:rsidRDefault="003734EC">
            <w:pPr>
              <w:rPr>
                <w:rFonts w:ascii="宋体"/>
                <w:vanish/>
              </w:rPr>
            </w:pPr>
          </w:p>
        </w:tc>
        <w:tc>
          <w:tcPr>
            <w:tcW w:w="0" w:type="auto"/>
            <w:gridSpan w:val="3"/>
            <w:shd w:val="clear" w:color="auto" w:fill="auto"/>
            <w:vAlign w:val="center"/>
          </w:tcPr>
          <w:p w14:paraId="3693F572" w14:textId="77777777" w:rsidR="003734EC" w:rsidRDefault="003734EC">
            <w:pPr>
              <w:rPr>
                <w:rFonts w:ascii="宋体"/>
                <w:vanish/>
              </w:rPr>
            </w:pPr>
          </w:p>
        </w:tc>
        <w:tc>
          <w:tcPr>
            <w:tcW w:w="0" w:type="auto"/>
            <w:gridSpan w:val="3"/>
            <w:shd w:val="clear" w:color="auto" w:fill="auto"/>
            <w:vAlign w:val="center"/>
          </w:tcPr>
          <w:p w14:paraId="3693F573" w14:textId="77777777" w:rsidR="003734EC" w:rsidRDefault="003734EC">
            <w:pPr>
              <w:rPr>
                <w:rFonts w:ascii="宋体"/>
                <w:vanish/>
              </w:rPr>
            </w:pPr>
          </w:p>
        </w:tc>
        <w:tc>
          <w:tcPr>
            <w:tcW w:w="0" w:type="auto"/>
            <w:gridSpan w:val="3"/>
            <w:shd w:val="clear" w:color="auto" w:fill="auto"/>
            <w:vAlign w:val="center"/>
          </w:tcPr>
          <w:p w14:paraId="3693F574" w14:textId="77777777" w:rsidR="003734EC" w:rsidRDefault="003734EC">
            <w:pPr>
              <w:rPr>
                <w:rFonts w:ascii="宋体"/>
                <w:vanish/>
              </w:rPr>
            </w:pPr>
          </w:p>
        </w:tc>
        <w:tc>
          <w:tcPr>
            <w:tcW w:w="0" w:type="auto"/>
            <w:gridSpan w:val="3"/>
            <w:shd w:val="clear" w:color="auto" w:fill="auto"/>
            <w:vAlign w:val="center"/>
          </w:tcPr>
          <w:p w14:paraId="3693F575" w14:textId="77777777" w:rsidR="003734EC" w:rsidRDefault="003734EC">
            <w:pPr>
              <w:rPr>
                <w:rFonts w:ascii="宋体"/>
                <w:vanish/>
              </w:rPr>
            </w:pPr>
          </w:p>
        </w:tc>
        <w:tc>
          <w:tcPr>
            <w:tcW w:w="0" w:type="auto"/>
            <w:gridSpan w:val="3"/>
            <w:shd w:val="clear" w:color="auto" w:fill="auto"/>
            <w:vAlign w:val="center"/>
          </w:tcPr>
          <w:p w14:paraId="3693F576" w14:textId="77777777" w:rsidR="003734EC" w:rsidRDefault="003734EC">
            <w:pPr>
              <w:rPr>
                <w:rFonts w:ascii="宋体"/>
                <w:vanish/>
              </w:rPr>
            </w:pPr>
          </w:p>
        </w:tc>
        <w:tc>
          <w:tcPr>
            <w:tcW w:w="0" w:type="auto"/>
            <w:gridSpan w:val="3"/>
            <w:shd w:val="clear" w:color="auto" w:fill="auto"/>
            <w:vAlign w:val="center"/>
          </w:tcPr>
          <w:p w14:paraId="3693F577" w14:textId="77777777" w:rsidR="003734EC" w:rsidRDefault="003734EC">
            <w:pPr>
              <w:rPr>
                <w:rFonts w:ascii="宋体"/>
                <w:vanish/>
              </w:rPr>
            </w:pPr>
          </w:p>
        </w:tc>
        <w:tc>
          <w:tcPr>
            <w:tcW w:w="0" w:type="auto"/>
            <w:shd w:val="clear" w:color="auto" w:fill="auto"/>
            <w:vAlign w:val="center"/>
          </w:tcPr>
          <w:p w14:paraId="3693F578" w14:textId="77777777" w:rsidR="003734EC" w:rsidRDefault="003734EC">
            <w:pPr>
              <w:rPr>
                <w:rFonts w:ascii="宋体"/>
              </w:rPr>
            </w:pPr>
          </w:p>
        </w:tc>
        <w:tc>
          <w:tcPr>
            <w:tcW w:w="0" w:type="auto"/>
            <w:shd w:val="clear" w:color="auto" w:fill="auto"/>
            <w:vAlign w:val="center"/>
          </w:tcPr>
          <w:p w14:paraId="3693F579" w14:textId="77777777" w:rsidR="003734EC" w:rsidRDefault="003734EC">
            <w:pPr>
              <w:rPr>
                <w:rFonts w:ascii="宋体"/>
              </w:rPr>
            </w:pPr>
          </w:p>
        </w:tc>
        <w:tc>
          <w:tcPr>
            <w:tcW w:w="0" w:type="auto"/>
            <w:shd w:val="clear" w:color="auto" w:fill="auto"/>
            <w:vAlign w:val="center"/>
          </w:tcPr>
          <w:p w14:paraId="3693F57A" w14:textId="77777777" w:rsidR="003734EC" w:rsidRDefault="003734EC">
            <w:pPr>
              <w:rPr>
                <w:rFonts w:ascii="宋体"/>
              </w:rPr>
            </w:pPr>
          </w:p>
        </w:tc>
        <w:tc>
          <w:tcPr>
            <w:tcW w:w="0" w:type="auto"/>
            <w:shd w:val="clear" w:color="auto" w:fill="auto"/>
            <w:vAlign w:val="center"/>
          </w:tcPr>
          <w:p w14:paraId="3693F57B" w14:textId="77777777" w:rsidR="003734EC" w:rsidRDefault="003734EC">
            <w:pPr>
              <w:rPr>
                <w:rFonts w:ascii="宋体"/>
              </w:rPr>
            </w:pPr>
          </w:p>
        </w:tc>
        <w:tc>
          <w:tcPr>
            <w:tcW w:w="0" w:type="auto"/>
            <w:shd w:val="clear" w:color="auto" w:fill="auto"/>
            <w:vAlign w:val="center"/>
          </w:tcPr>
          <w:p w14:paraId="3693F57C" w14:textId="77777777" w:rsidR="003734EC" w:rsidRDefault="003734EC">
            <w:pPr>
              <w:rPr>
                <w:rFonts w:ascii="宋体"/>
              </w:rPr>
            </w:pPr>
          </w:p>
        </w:tc>
        <w:tc>
          <w:tcPr>
            <w:tcW w:w="0" w:type="auto"/>
            <w:shd w:val="clear" w:color="auto" w:fill="auto"/>
            <w:vAlign w:val="center"/>
          </w:tcPr>
          <w:p w14:paraId="3693F57D" w14:textId="77777777" w:rsidR="003734EC" w:rsidRDefault="003734EC">
            <w:pPr>
              <w:rPr>
                <w:rFonts w:ascii="宋体"/>
              </w:rPr>
            </w:pPr>
          </w:p>
        </w:tc>
        <w:tc>
          <w:tcPr>
            <w:tcW w:w="0" w:type="auto"/>
            <w:shd w:val="clear" w:color="auto" w:fill="auto"/>
            <w:vAlign w:val="center"/>
          </w:tcPr>
          <w:p w14:paraId="3693F57E" w14:textId="77777777" w:rsidR="003734EC" w:rsidRDefault="003734EC">
            <w:pPr>
              <w:rPr>
                <w:rFonts w:ascii="宋体"/>
              </w:rPr>
            </w:pPr>
          </w:p>
        </w:tc>
        <w:tc>
          <w:tcPr>
            <w:tcW w:w="0" w:type="auto"/>
            <w:shd w:val="clear" w:color="auto" w:fill="auto"/>
            <w:vAlign w:val="center"/>
          </w:tcPr>
          <w:p w14:paraId="3693F57F" w14:textId="77777777" w:rsidR="003734EC" w:rsidRDefault="003734EC">
            <w:pPr>
              <w:rPr>
                <w:rFonts w:ascii="宋体"/>
              </w:rPr>
            </w:pPr>
          </w:p>
        </w:tc>
        <w:tc>
          <w:tcPr>
            <w:tcW w:w="0" w:type="auto"/>
            <w:shd w:val="clear" w:color="auto" w:fill="auto"/>
            <w:vAlign w:val="center"/>
          </w:tcPr>
          <w:p w14:paraId="3693F580" w14:textId="77777777" w:rsidR="003734EC" w:rsidRDefault="003734EC">
            <w:pPr>
              <w:rPr>
                <w:rFonts w:ascii="宋体"/>
              </w:rPr>
            </w:pPr>
          </w:p>
        </w:tc>
        <w:tc>
          <w:tcPr>
            <w:tcW w:w="0" w:type="auto"/>
            <w:shd w:val="clear" w:color="auto" w:fill="auto"/>
            <w:vAlign w:val="center"/>
          </w:tcPr>
          <w:p w14:paraId="3693F581" w14:textId="77777777" w:rsidR="003734EC" w:rsidRDefault="003734EC">
            <w:pPr>
              <w:rPr>
                <w:rFonts w:ascii="宋体"/>
              </w:rPr>
            </w:pPr>
          </w:p>
        </w:tc>
        <w:tc>
          <w:tcPr>
            <w:tcW w:w="0" w:type="auto"/>
            <w:shd w:val="clear" w:color="auto" w:fill="auto"/>
            <w:vAlign w:val="center"/>
          </w:tcPr>
          <w:p w14:paraId="3693F582" w14:textId="77777777" w:rsidR="003734EC" w:rsidRDefault="003734EC">
            <w:pPr>
              <w:rPr>
                <w:rFonts w:ascii="宋体"/>
              </w:rPr>
            </w:pPr>
          </w:p>
        </w:tc>
        <w:tc>
          <w:tcPr>
            <w:tcW w:w="0" w:type="auto"/>
            <w:shd w:val="clear" w:color="auto" w:fill="auto"/>
            <w:vAlign w:val="center"/>
          </w:tcPr>
          <w:p w14:paraId="3693F583" w14:textId="77777777" w:rsidR="003734EC" w:rsidRDefault="003734EC">
            <w:pPr>
              <w:rPr>
                <w:rFonts w:ascii="宋体"/>
              </w:rPr>
            </w:pPr>
          </w:p>
        </w:tc>
        <w:tc>
          <w:tcPr>
            <w:tcW w:w="0" w:type="auto"/>
            <w:shd w:val="clear" w:color="auto" w:fill="auto"/>
            <w:vAlign w:val="center"/>
          </w:tcPr>
          <w:p w14:paraId="3693F584" w14:textId="77777777" w:rsidR="003734EC" w:rsidRDefault="003734EC">
            <w:pPr>
              <w:rPr>
                <w:rFonts w:ascii="宋体"/>
              </w:rPr>
            </w:pPr>
          </w:p>
        </w:tc>
        <w:tc>
          <w:tcPr>
            <w:tcW w:w="0" w:type="auto"/>
            <w:shd w:val="clear" w:color="auto" w:fill="auto"/>
            <w:vAlign w:val="center"/>
          </w:tcPr>
          <w:p w14:paraId="3693F585" w14:textId="77777777" w:rsidR="003734EC" w:rsidRDefault="003734EC">
            <w:pPr>
              <w:rPr>
                <w:rFonts w:ascii="宋体"/>
              </w:rPr>
            </w:pPr>
          </w:p>
        </w:tc>
        <w:tc>
          <w:tcPr>
            <w:tcW w:w="0" w:type="auto"/>
            <w:shd w:val="clear" w:color="auto" w:fill="auto"/>
            <w:vAlign w:val="center"/>
          </w:tcPr>
          <w:p w14:paraId="3693F586" w14:textId="77777777" w:rsidR="003734EC" w:rsidRDefault="003734EC">
            <w:pPr>
              <w:rPr>
                <w:rFonts w:ascii="宋体"/>
              </w:rPr>
            </w:pPr>
          </w:p>
        </w:tc>
        <w:tc>
          <w:tcPr>
            <w:tcW w:w="0" w:type="auto"/>
            <w:shd w:val="clear" w:color="auto" w:fill="auto"/>
            <w:vAlign w:val="center"/>
          </w:tcPr>
          <w:p w14:paraId="3693F587" w14:textId="77777777" w:rsidR="003734EC" w:rsidRDefault="003734EC">
            <w:pPr>
              <w:rPr>
                <w:rFonts w:ascii="宋体"/>
              </w:rPr>
            </w:pPr>
          </w:p>
        </w:tc>
        <w:tc>
          <w:tcPr>
            <w:tcW w:w="0" w:type="auto"/>
            <w:shd w:val="clear" w:color="auto" w:fill="auto"/>
            <w:vAlign w:val="center"/>
          </w:tcPr>
          <w:p w14:paraId="3693F588" w14:textId="77777777" w:rsidR="003734EC" w:rsidRDefault="003734EC">
            <w:pPr>
              <w:rPr>
                <w:rFonts w:ascii="宋体"/>
              </w:rPr>
            </w:pPr>
          </w:p>
        </w:tc>
        <w:tc>
          <w:tcPr>
            <w:tcW w:w="0" w:type="auto"/>
            <w:shd w:val="clear" w:color="auto" w:fill="auto"/>
            <w:vAlign w:val="center"/>
          </w:tcPr>
          <w:p w14:paraId="3693F589" w14:textId="77777777" w:rsidR="003734EC" w:rsidRDefault="003734EC">
            <w:pPr>
              <w:rPr>
                <w:rFonts w:ascii="宋体"/>
              </w:rPr>
            </w:pPr>
          </w:p>
        </w:tc>
      </w:tr>
      <w:tr w:rsidR="003734EC" w14:paraId="3693F5A5" w14:textId="77777777">
        <w:trPr>
          <w:hidden/>
        </w:trPr>
        <w:tc>
          <w:tcPr>
            <w:tcW w:w="0" w:type="auto"/>
            <w:gridSpan w:val="3"/>
            <w:shd w:val="clear" w:color="auto" w:fill="auto"/>
            <w:vAlign w:val="center"/>
          </w:tcPr>
          <w:p w14:paraId="3693F58B" w14:textId="77777777" w:rsidR="003734EC" w:rsidRDefault="003734EC">
            <w:pPr>
              <w:rPr>
                <w:rFonts w:ascii="宋体"/>
                <w:vanish/>
              </w:rPr>
            </w:pPr>
          </w:p>
        </w:tc>
        <w:tc>
          <w:tcPr>
            <w:tcW w:w="0" w:type="auto"/>
            <w:gridSpan w:val="3"/>
            <w:shd w:val="clear" w:color="auto" w:fill="auto"/>
            <w:vAlign w:val="center"/>
          </w:tcPr>
          <w:p w14:paraId="3693F58C" w14:textId="77777777" w:rsidR="003734EC" w:rsidRDefault="003734EC">
            <w:pPr>
              <w:rPr>
                <w:rFonts w:ascii="宋体"/>
                <w:vanish/>
              </w:rPr>
            </w:pPr>
          </w:p>
        </w:tc>
        <w:tc>
          <w:tcPr>
            <w:tcW w:w="0" w:type="auto"/>
            <w:gridSpan w:val="3"/>
            <w:shd w:val="clear" w:color="auto" w:fill="auto"/>
            <w:vAlign w:val="center"/>
          </w:tcPr>
          <w:p w14:paraId="3693F58D" w14:textId="77777777" w:rsidR="003734EC" w:rsidRDefault="003734EC">
            <w:pPr>
              <w:rPr>
                <w:rFonts w:ascii="宋体"/>
                <w:vanish/>
              </w:rPr>
            </w:pPr>
          </w:p>
        </w:tc>
        <w:tc>
          <w:tcPr>
            <w:tcW w:w="0" w:type="auto"/>
            <w:gridSpan w:val="3"/>
            <w:shd w:val="clear" w:color="auto" w:fill="auto"/>
            <w:vAlign w:val="center"/>
          </w:tcPr>
          <w:p w14:paraId="3693F58E" w14:textId="77777777" w:rsidR="003734EC" w:rsidRDefault="003734EC">
            <w:pPr>
              <w:rPr>
                <w:rFonts w:ascii="宋体"/>
                <w:vanish/>
              </w:rPr>
            </w:pPr>
          </w:p>
        </w:tc>
        <w:tc>
          <w:tcPr>
            <w:tcW w:w="0" w:type="auto"/>
            <w:gridSpan w:val="3"/>
            <w:shd w:val="clear" w:color="auto" w:fill="auto"/>
            <w:vAlign w:val="center"/>
          </w:tcPr>
          <w:p w14:paraId="3693F58F" w14:textId="77777777" w:rsidR="003734EC" w:rsidRDefault="003734EC">
            <w:pPr>
              <w:rPr>
                <w:rFonts w:ascii="宋体"/>
                <w:vanish/>
              </w:rPr>
            </w:pPr>
          </w:p>
        </w:tc>
        <w:tc>
          <w:tcPr>
            <w:tcW w:w="0" w:type="auto"/>
            <w:gridSpan w:val="3"/>
            <w:shd w:val="clear" w:color="auto" w:fill="auto"/>
            <w:vAlign w:val="center"/>
          </w:tcPr>
          <w:p w14:paraId="3693F590" w14:textId="77777777" w:rsidR="003734EC" w:rsidRDefault="003734EC">
            <w:pPr>
              <w:rPr>
                <w:rFonts w:ascii="宋体"/>
                <w:vanish/>
              </w:rPr>
            </w:pPr>
          </w:p>
        </w:tc>
        <w:tc>
          <w:tcPr>
            <w:tcW w:w="0" w:type="auto"/>
            <w:gridSpan w:val="3"/>
            <w:shd w:val="clear" w:color="auto" w:fill="auto"/>
            <w:vAlign w:val="center"/>
          </w:tcPr>
          <w:p w14:paraId="3693F591" w14:textId="77777777" w:rsidR="003734EC" w:rsidRDefault="003734EC">
            <w:pPr>
              <w:rPr>
                <w:rFonts w:ascii="宋体"/>
                <w:vanish/>
              </w:rPr>
            </w:pPr>
          </w:p>
        </w:tc>
        <w:tc>
          <w:tcPr>
            <w:tcW w:w="0" w:type="auto"/>
            <w:gridSpan w:val="3"/>
            <w:shd w:val="clear" w:color="auto" w:fill="auto"/>
            <w:vAlign w:val="center"/>
          </w:tcPr>
          <w:p w14:paraId="3693F592" w14:textId="77777777" w:rsidR="003734EC" w:rsidRDefault="003734EC">
            <w:pPr>
              <w:rPr>
                <w:rFonts w:ascii="宋体"/>
                <w:vanish/>
              </w:rPr>
            </w:pPr>
          </w:p>
        </w:tc>
        <w:tc>
          <w:tcPr>
            <w:tcW w:w="0" w:type="auto"/>
            <w:shd w:val="clear" w:color="auto" w:fill="auto"/>
            <w:vAlign w:val="center"/>
          </w:tcPr>
          <w:p w14:paraId="3693F593" w14:textId="77777777" w:rsidR="003734EC" w:rsidRDefault="003734EC">
            <w:pPr>
              <w:rPr>
                <w:rFonts w:ascii="宋体"/>
              </w:rPr>
            </w:pPr>
          </w:p>
        </w:tc>
        <w:tc>
          <w:tcPr>
            <w:tcW w:w="0" w:type="auto"/>
            <w:shd w:val="clear" w:color="auto" w:fill="auto"/>
            <w:vAlign w:val="center"/>
          </w:tcPr>
          <w:p w14:paraId="3693F594" w14:textId="77777777" w:rsidR="003734EC" w:rsidRDefault="003734EC">
            <w:pPr>
              <w:rPr>
                <w:rFonts w:ascii="宋体"/>
              </w:rPr>
            </w:pPr>
          </w:p>
        </w:tc>
        <w:tc>
          <w:tcPr>
            <w:tcW w:w="0" w:type="auto"/>
            <w:shd w:val="clear" w:color="auto" w:fill="auto"/>
            <w:vAlign w:val="center"/>
          </w:tcPr>
          <w:p w14:paraId="3693F595" w14:textId="77777777" w:rsidR="003734EC" w:rsidRDefault="003734EC">
            <w:pPr>
              <w:rPr>
                <w:rFonts w:ascii="宋体"/>
              </w:rPr>
            </w:pPr>
          </w:p>
        </w:tc>
        <w:tc>
          <w:tcPr>
            <w:tcW w:w="0" w:type="auto"/>
            <w:shd w:val="clear" w:color="auto" w:fill="auto"/>
            <w:vAlign w:val="center"/>
          </w:tcPr>
          <w:p w14:paraId="3693F596" w14:textId="77777777" w:rsidR="003734EC" w:rsidRDefault="003734EC">
            <w:pPr>
              <w:rPr>
                <w:rFonts w:ascii="宋体"/>
              </w:rPr>
            </w:pPr>
          </w:p>
        </w:tc>
        <w:tc>
          <w:tcPr>
            <w:tcW w:w="0" w:type="auto"/>
            <w:shd w:val="clear" w:color="auto" w:fill="auto"/>
            <w:vAlign w:val="center"/>
          </w:tcPr>
          <w:p w14:paraId="3693F597" w14:textId="77777777" w:rsidR="003734EC" w:rsidRDefault="003734EC">
            <w:pPr>
              <w:rPr>
                <w:rFonts w:ascii="宋体"/>
              </w:rPr>
            </w:pPr>
          </w:p>
        </w:tc>
        <w:tc>
          <w:tcPr>
            <w:tcW w:w="0" w:type="auto"/>
            <w:shd w:val="clear" w:color="auto" w:fill="auto"/>
            <w:vAlign w:val="center"/>
          </w:tcPr>
          <w:p w14:paraId="3693F598" w14:textId="77777777" w:rsidR="003734EC" w:rsidRDefault="003734EC">
            <w:pPr>
              <w:rPr>
                <w:rFonts w:ascii="宋体"/>
              </w:rPr>
            </w:pPr>
          </w:p>
        </w:tc>
        <w:tc>
          <w:tcPr>
            <w:tcW w:w="0" w:type="auto"/>
            <w:shd w:val="clear" w:color="auto" w:fill="auto"/>
            <w:vAlign w:val="center"/>
          </w:tcPr>
          <w:p w14:paraId="3693F599" w14:textId="77777777" w:rsidR="003734EC" w:rsidRDefault="003734EC">
            <w:pPr>
              <w:rPr>
                <w:rFonts w:ascii="宋体"/>
              </w:rPr>
            </w:pPr>
          </w:p>
        </w:tc>
        <w:tc>
          <w:tcPr>
            <w:tcW w:w="0" w:type="auto"/>
            <w:shd w:val="clear" w:color="auto" w:fill="auto"/>
            <w:vAlign w:val="center"/>
          </w:tcPr>
          <w:p w14:paraId="3693F59A" w14:textId="77777777" w:rsidR="003734EC" w:rsidRDefault="003734EC">
            <w:pPr>
              <w:rPr>
                <w:rFonts w:ascii="宋体"/>
              </w:rPr>
            </w:pPr>
          </w:p>
        </w:tc>
        <w:tc>
          <w:tcPr>
            <w:tcW w:w="0" w:type="auto"/>
            <w:shd w:val="clear" w:color="auto" w:fill="auto"/>
            <w:vAlign w:val="center"/>
          </w:tcPr>
          <w:p w14:paraId="3693F59B" w14:textId="77777777" w:rsidR="003734EC" w:rsidRDefault="003734EC">
            <w:pPr>
              <w:rPr>
                <w:rFonts w:ascii="宋体"/>
              </w:rPr>
            </w:pPr>
          </w:p>
        </w:tc>
        <w:tc>
          <w:tcPr>
            <w:tcW w:w="0" w:type="auto"/>
            <w:shd w:val="clear" w:color="auto" w:fill="auto"/>
            <w:vAlign w:val="center"/>
          </w:tcPr>
          <w:p w14:paraId="3693F59C" w14:textId="77777777" w:rsidR="003734EC" w:rsidRDefault="003734EC">
            <w:pPr>
              <w:rPr>
                <w:rFonts w:ascii="宋体"/>
              </w:rPr>
            </w:pPr>
          </w:p>
        </w:tc>
        <w:tc>
          <w:tcPr>
            <w:tcW w:w="0" w:type="auto"/>
            <w:shd w:val="clear" w:color="auto" w:fill="auto"/>
            <w:vAlign w:val="center"/>
          </w:tcPr>
          <w:p w14:paraId="3693F59D" w14:textId="77777777" w:rsidR="003734EC" w:rsidRDefault="003734EC">
            <w:pPr>
              <w:rPr>
                <w:rFonts w:ascii="宋体"/>
              </w:rPr>
            </w:pPr>
          </w:p>
        </w:tc>
        <w:tc>
          <w:tcPr>
            <w:tcW w:w="0" w:type="auto"/>
            <w:shd w:val="clear" w:color="auto" w:fill="auto"/>
            <w:vAlign w:val="center"/>
          </w:tcPr>
          <w:p w14:paraId="3693F59E" w14:textId="77777777" w:rsidR="003734EC" w:rsidRDefault="003734EC">
            <w:pPr>
              <w:rPr>
                <w:rFonts w:ascii="宋体"/>
              </w:rPr>
            </w:pPr>
          </w:p>
        </w:tc>
        <w:tc>
          <w:tcPr>
            <w:tcW w:w="0" w:type="auto"/>
            <w:shd w:val="clear" w:color="auto" w:fill="auto"/>
            <w:vAlign w:val="center"/>
          </w:tcPr>
          <w:p w14:paraId="3693F59F" w14:textId="77777777" w:rsidR="003734EC" w:rsidRDefault="003734EC">
            <w:pPr>
              <w:rPr>
                <w:rFonts w:ascii="宋体"/>
              </w:rPr>
            </w:pPr>
          </w:p>
        </w:tc>
        <w:tc>
          <w:tcPr>
            <w:tcW w:w="0" w:type="auto"/>
            <w:shd w:val="clear" w:color="auto" w:fill="auto"/>
            <w:vAlign w:val="center"/>
          </w:tcPr>
          <w:p w14:paraId="3693F5A0" w14:textId="77777777" w:rsidR="003734EC" w:rsidRDefault="003734EC">
            <w:pPr>
              <w:rPr>
                <w:rFonts w:ascii="宋体"/>
              </w:rPr>
            </w:pPr>
          </w:p>
        </w:tc>
        <w:tc>
          <w:tcPr>
            <w:tcW w:w="0" w:type="auto"/>
            <w:shd w:val="clear" w:color="auto" w:fill="auto"/>
            <w:vAlign w:val="center"/>
          </w:tcPr>
          <w:p w14:paraId="3693F5A1" w14:textId="77777777" w:rsidR="003734EC" w:rsidRDefault="003734EC">
            <w:pPr>
              <w:rPr>
                <w:rFonts w:ascii="宋体"/>
              </w:rPr>
            </w:pPr>
          </w:p>
        </w:tc>
        <w:tc>
          <w:tcPr>
            <w:tcW w:w="0" w:type="auto"/>
            <w:shd w:val="clear" w:color="auto" w:fill="auto"/>
            <w:vAlign w:val="center"/>
          </w:tcPr>
          <w:p w14:paraId="3693F5A2" w14:textId="77777777" w:rsidR="003734EC" w:rsidRDefault="003734EC">
            <w:pPr>
              <w:rPr>
                <w:rFonts w:ascii="宋体"/>
              </w:rPr>
            </w:pPr>
          </w:p>
        </w:tc>
        <w:tc>
          <w:tcPr>
            <w:tcW w:w="0" w:type="auto"/>
            <w:shd w:val="clear" w:color="auto" w:fill="auto"/>
            <w:vAlign w:val="center"/>
          </w:tcPr>
          <w:p w14:paraId="3693F5A3" w14:textId="77777777" w:rsidR="003734EC" w:rsidRDefault="003734EC">
            <w:pPr>
              <w:rPr>
                <w:rFonts w:ascii="宋体"/>
              </w:rPr>
            </w:pPr>
          </w:p>
        </w:tc>
        <w:tc>
          <w:tcPr>
            <w:tcW w:w="0" w:type="auto"/>
            <w:shd w:val="clear" w:color="auto" w:fill="auto"/>
            <w:vAlign w:val="center"/>
          </w:tcPr>
          <w:p w14:paraId="3693F5A4" w14:textId="77777777" w:rsidR="003734EC" w:rsidRDefault="003734EC">
            <w:pPr>
              <w:rPr>
                <w:rFonts w:ascii="宋体"/>
              </w:rPr>
            </w:pPr>
          </w:p>
        </w:tc>
      </w:tr>
    </w:tbl>
    <w:p w14:paraId="3693F5A6" w14:textId="77777777" w:rsidR="003734EC" w:rsidRDefault="003734EC">
      <w:pPr>
        <w:spacing w:before="120" w:after="18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4931"/>
        <w:gridCol w:w="51"/>
        <w:gridCol w:w="137"/>
        <w:gridCol w:w="1211"/>
        <w:gridCol w:w="81"/>
        <w:gridCol w:w="36"/>
        <w:gridCol w:w="36"/>
        <w:gridCol w:w="36"/>
        <w:gridCol w:w="137"/>
        <w:gridCol w:w="1188"/>
        <w:gridCol w:w="81"/>
        <w:gridCol w:w="36"/>
        <w:gridCol w:w="36"/>
        <w:gridCol w:w="36"/>
        <w:gridCol w:w="36"/>
        <w:gridCol w:w="36"/>
        <w:gridCol w:w="36"/>
        <w:gridCol w:w="36"/>
        <w:gridCol w:w="36"/>
        <w:gridCol w:w="36"/>
        <w:gridCol w:w="36"/>
      </w:tblGrid>
      <w:tr w:rsidR="003734EC" w14:paraId="3693F5B7" w14:textId="77777777">
        <w:trPr>
          <w:gridAfter w:val="6"/>
          <w:jc w:val="center"/>
        </w:trPr>
        <w:tc>
          <w:tcPr>
            <w:tcW w:w="50" w:type="pct"/>
            <w:shd w:val="clear" w:color="auto" w:fill="auto"/>
            <w:vAlign w:val="center"/>
          </w:tcPr>
          <w:p w14:paraId="3693F5A7" w14:textId="77777777" w:rsidR="003734EC" w:rsidRDefault="003734EC">
            <w:pPr>
              <w:rPr>
                <w:rFonts w:ascii="宋体"/>
              </w:rPr>
            </w:pPr>
          </w:p>
        </w:tc>
        <w:tc>
          <w:tcPr>
            <w:tcW w:w="3109" w:type="pct"/>
            <w:shd w:val="clear" w:color="auto" w:fill="auto"/>
            <w:vAlign w:val="center"/>
          </w:tcPr>
          <w:p w14:paraId="3693F5A8" w14:textId="77777777" w:rsidR="003734EC" w:rsidRDefault="003734EC">
            <w:pPr>
              <w:rPr>
                <w:rFonts w:ascii="宋体"/>
              </w:rPr>
            </w:pPr>
          </w:p>
        </w:tc>
        <w:tc>
          <w:tcPr>
            <w:tcW w:w="50" w:type="pct"/>
            <w:shd w:val="clear" w:color="auto" w:fill="auto"/>
            <w:vAlign w:val="center"/>
          </w:tcPr>
          <w:p w14:paraId="3693F5A9" w14:textId="77777777" w:rsidR="003734EC" w:rsidRDefault="003734EC">
            <w:pPr>
              <w:rPr>
                <w:rFonts w:ascii="宋体"/>
              </w:rPr>
            </w:pPr>
          </w:p>
        </w:tc>
        <w:tc>
          <w:tcPr>
            <w:tcW w:w="50" w:type="pct"/>
            <w:shd w:val="clear" w:color="auto" w:fill="auto"/>
            <w:vAlign w:val="center"/>
          </w:tcPr>
          <w:p w14:paraId="3693F5AA" w14:textId="77777777" w:rsidR="003734EC" w:rsidRDefault="003734EC">
            <w:pPr>
              <w:rPr>
                <w:rFonts w:ascii="宋体"/>
              </w:rPr>
            </w:pPr>
          </w:p>
        </w:tc>
        <w:tc>
          <w:tcPr>
            <w:tcW w:w="777" w:type="pct"/>
            <w:shd w:val="clear" w:color="auto" w:fill="auto"/>
            <w:vAlign w:val="center"/>
          </w:tcPr>
          <w:p w14:paraId="3693F5AB" w14:textId="77777777" w:rsidR="003734EC" w:rsidRDefault="003734EC">
            <w:pPr>
              <w:rPr>
                <w:rFonts w:ascii="宋体"/>
              </w:rPr>
            </w:pPr>
          </w:p>
        </w:tc>
        <w:tc>
          <w:tcPr>
            <w:tcW w:w="50" w:type="pct"/>
            <w:shd w:val="clear" w:color="auto" w:fill="auto"/>
            <w:vAlign w:val="center"/>
          </w:tcPr>
          <w:p w14:paraId="3693F5AC" w14:textId="77777777" w:rsidR="003734EC" w:rsidRDefault="003734EC">
            <w:pPr>
              <w:rPr>
                <w:rFonts w:ascii="宋体"/>
              </w:rPr>
            </w:pPr>
          </w:p>
        </w:tc>
        <w:tc>
          <w:tcPr>
            <w:tcW w:w="5" w:type="pct"/>
            <w:shd w:val="clear" w:color="auto" w:fill="auto"/>
            <w:vAlign w:val="center"/>
          </w:tcPr>
          <w:p w14:paraId="3693F5AD" w14:textId="77777777" w:rsidR="003734EC" w:rsidRDefault="003734EC">
            <w:pPr>
              <w:rPr>
                <w:rFonts w:ascii="宋体"/>
              </w:rPr>
            </w:pPr>
          </w:p>
        </w:tc>
        <w:tc>
          <w:tcPr>
            <w:tcW w:w="26" w:type="pct"/>
            <w:shd w:val="clear" w:color="auto" w:fill="auto"/>
            <w:vAlign w:val="center"/>
          </w:tcPr>
          <w:p w14:paraId="3693F5AE" w14:textId="77777777" w:rsidR="003734EC" w:rsidRDefault="003734EC">
            <w:pPr>
              <w:rPr>
                <w:rFonts w:ascii="宋体"/>
              </w:rPr>
            </w:pPr>
          </w:p>
        </w:tc>
        <w:tc>
          <w:tcPr>
            <w:tcW w:w="5" w:type="pct"/>
            <w:shd w:val="clear" w:color="auto" w:fill="auto"/>
            <w:vAlign w:val="center"/>
          </w:tcPr>
          <w:p w14:paraId="3693F5AF" w14:textId="77777777" w:rsidR="003734EC" w:rsidRDefault="003734EC">
            <w:pPr>
              <w:rPr>
                <w:rFonts w:ascii="宋体"/>
              </w:rPr>
            </w:pPr>
          </w:p>
        </w:tc>
        <w:tc>
          <w:tcPr>
            <w:tcW w:w="50" w:type="pct"/>
            <w:shd w:val="clear" w:color="auto" w:fill="auto"/>
            <w:vAlign w:val="center"/>
          </w:tcPr>
          <w:p w14:paraId="3693F5B0" w14:textId="77777777" w:rsidR="003734EC" w:rsidRDefault="003734EC">
            <w:pPr>
              <w:rPr>
                <w:rFonts w:ascii="宋体"/>
              </w:rPr>
            </w:pPr>
          </w:p>
        </w:tc>
        <w:tc>
          <w:tcPr>
            <w:tcW w:w="777" w:type="pct"/>
            <w:shd w:val="clear" w:color="auto" w:fill="auto"/>
            <w:vAlign w:val="center"/>
          </w:tcPr>
          <w:p w14:paraId="3693F5B1" w14:textId="77777777" w:rsidR="003734EC" w:rsidRDefault="003734EC">
            <w:pPr>
              <w:rPr>
                <w:rFonts w:ascii="宋体"/>
              </w:rPr>
            </w:pPr>
          </w:p>
        </w:tc>
        <w:tc>
          <w:tcPr>
            <w:tcW w:w="50" w:type="pct"/>
            <w:shd w:val="clear" w:color="auto" w:fill="auto"/>
            <w:vAlign w:val="center"/>
          </w:tcPr>
          <w:p w14:paraId="3693F5B2" w14:textId="77777777" w:rsidR="003734EC" w:rsidRDefault="003734EC">
            <w:pPr>
              <w:rPr>
                <w:rFonts w:ascii="宋体"/>
              </w:rPr>
            </w:pPr>
          </w:p>
        </w:tc>
        <w:tc>
          <w:tcPr>
            <w:tcW w:w="0" w:type="auto"/>
            <w:shd w:val="clear" w:color="auto" w:fill="auto"/>
            <w:vAlign w:val="center"/>
          </w:tcPr>
          <w:p w14:paraId="3693F5B3" w14:textId="77777777" w:rsidR="003734EC" w:rsidRDefault="003734EC">
            <w:pPr>
              <w:rPr>
                <w:rFonts w:ascii="宋体"/>
                <w:vanish/>
              </w:rPr>
            </w:pPr>
          </w:p>
        </w:tc>
        <w:tc>
          <w:tcPr>
            <w:tcW w:w="0" w:type="auto"/>
            <w:shd w:val="clear" w:color="auto" w:fill="auto"/>
            <w:vAlign w:val="center"/>
          </w:tcPr>
          <w:p w14:paraId="3693F5B4" w14:textId="77777777" w:rsidR="003734EC" w:rsidRDefault="003734EC">
            <w:pPr>
              <w:rPr>
                <w:rFonts w:ascii="宋体"/>
                <w:vanish/>
              </w:rPr>
            </w:pPr>
          </w:p>
        </w:tc>
        <w:tc>
          <w:tcPr>
            <w:tcW w:w="0" w:type="auto"/>
            <w:shd w:val="clear" w:color="auto" w:fill="auto"/>
            <w:vAlign w:val="center"/>
          </w:tcPr>
          <w:p w14:paraId="3693F5B5" w14:textId="77777777" w:rsidR="003734EC" w:rsidRDefault="003734EC">
            <w:pPr>
              <w:rPr>
                <w:rFonts w:ascii="宋体"/>
                <w:vanish/>
              </w:rPr>
            </w:pPr>
          </w:p>
        </w:tc>
        <w:tc>
          <w:tcPr>
            <w:tcW w:w="0" w:type="auto"/>
            <w:shd w:val="clear" w:color="auto" w:fill="auto"/>
            <w:vAlign w:val="center"/>
          </w:tcPr>
          <w:p w14:paraId="3693F5B6" w14:textId="77777777" w:rsidR="003734EC" w:rsidRDefault="003734EC">
            <w:pPr>
              <w:rPr>
                <w:rFonts w:ascii="宋体"/>
                <w:vanish/>
              </w:rPr>
            </w:pPr>
          </w:p>
        </w:tc>
      </w:tr>
      <w:tr w:rsidR="003734EC" w14:paraId="3693F5C0" w14:textId="77777777">
        <w:trPr>
          <w:jc w:val="center"/>
        </w:trPr>
        <w:tc>
          <w:tcPr>
            <w:tcW w:w="0" w:type="auto"/>
            <w:gridSpan w:val="3"/>
            <w:shd w:val="clear" w:color="auto" w:fill="auto"/>
            <w:tcMar>
              <w:left w:w="20" w:type="dxa"/>
              <w:right w:w="20" w:type="dxa"/>
            </w:tcMar>
            <w:vAlign w:val="bottom"/>
          </w:tcPr>
          <w:p w14:paraId="3693F5B8" w14:textId="77777777" w:rsidR="003734EC" w:rsidRDefault="003734EC">
            <w:pPr>
              <w:rPr>
                <w:rFonts w:ascii="宋体"/>
              </w:rPr>
            </w:pPr>
          </w:p>
        </w:tc>
        <w:tc>
          <w:tcPr>
            <w:tcW w:w="0" w:type="auto"/>
            <w:gridSpan w:val="9"/>
            <w:shd w:val="clear" w:color="auto" w:fill="auto"/>
            <w:tcMar>
              <w:top w:w="40" w:type="dxa"/>
              <w:left w:w="20" w:type="dxa"/>
              <w:bottom w:w="40" w:type="dxa"/>
              <w:right w:w="20" w:type="dxa"/>
            </w:tcMar>
            <w:vAlign w:val="bottom"/>
          </w:tcPr>
          <w:p w14:paraId="3693F5B9"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5BA" w14:textId="77777777" w:rsidR="003734EC" w:rsidRDefault="003734EC">
            <w:pPr>
              <w:rPr>
                <w:rFonts w:ascii="宋体"/>
                <w:vanish/>
              </w:rPr>
            </w:pPr>
          </w:p>
        </w:tc>
        <w:tc>
          <w:tcPr>
            <w:tcW w:w="0" w:type="auto"/>
            <w:shd w:val="clear" w:color="auto" w:fill="auto"/>
            <w:vAlign w:val="center"/>
          </w:tcPr>
          <w:p w14:paraId="3693F5BB" w14:textId="77777777" w:rsidR="003734EC" w:rsidRDefault="003734EC">
            <w:pPr>
              <w:rPr>
                <w:rFonts w:ascii="宋体"/>
                <w:vanish/>
              </w:rPr>
            </w:pPr>
          </w:p>
        </w:tc>
        <w:tc>
          <w:tcPr>
            <w:tcW w:w="0" w:type="auto"/>
            <w:shd w:val="clear" w:color="auto" w:fill="auto"/>
            <w:vAlign w:val="center"/>
          </w:tcPr>
          <w:p w14:paraId="3693F5BC" w14:textId="77777777" w:rsidR="003734EC" w:rsidRDefault="003734EC">
            <w:pPr>
              <w:rPr>
                <w:rFonts w:ascii="宋体"/>
                <w:vanish/>
              </w:rPr>
            </w:pPr>
          </w:p>
        </w:tc>
        <w:tc>
          <w:tcPr>
            <w:tcW w:w="0" w:type="auto"/>
            <w:shd w:val="clear" w:color="auto" w:fill="auto"/>
            <w:vAlign w:val="center"/>
          </w:tcPr>
          <w:p w14:paraId="3693F5BD" w14:textId="77777777" w:rsidR="003734EC" w:rsidRDefault="003734EC">
            <w:pPr>
              <w:rPr>
                <w:rFonts w:ascii="宋体"/>
                <w:vanish/>
              </w:rPr>
            </w:pPr>
          </w:p>
        </w:tc>
        <w:tc>
          <w:tcPr>
            <w:tcW w:w="0" w:type="auto"/>
            <w:gridSpan w:val="3"/>
            <w:shd w:val="clear" w:color="auto" w:fill="auto"/>
            <w:vAlign w:val="center"/>
          </w:tcPr>
          <w:p w14:paraId="3693F5BE" w14:textId="77777777" w:rsidR="003734EC" w:rsidRDefault="003734EC">
            <w:pPr>
              <w:rPr>
                <w:rFonts w:ascii="宋体"/>
                <w:vanish/>
              </w:rPr>
            </w:pPr>
          </w:p>
        </w:tc>
        <w:tc>
          <w:tcPr>
            <w:tcW w:w="0" w:type="auto"/>
            <w:gridSpan w:val="3"/>
            <w:shd w:val="clear" w:color="auto" w:fill="auto"/>
            <w:vAlign w:val="center"/>
          </w:tcPr>
          <w:p w14:paraId="3693F5BF" w14:textId="77777777" w:rsidR="003734EC" w:rsidRDefault="003734EC">
            <w:pPr>
              <w:rPr>
                <w:rFonts w:ascii="宋体"/>
                <w:vanish/>
              </w:rPr>
            </w:pPr>
          </w:p>
        </w:tc>
      </w:tr>
      <w:tr w:rsidR="003734EC" w14:paraId="3693F5CF" w14:textId="77777777">
        <w:trPr>
          <w:jc w:val="center"/>
        </w:trPr>
        <w:tc>
          <w:tcPr>
            <w:tcW w:w="0" w:type="auto"/>
            <w:gridSpan w:val="3"/>
            <w:shd w:val="clear" w:color="auto" w:fill="auto"/>
            <w:tcMar>
              <w:left w:w="20" w:type="dxa"/>
              <w:right w:w="20" w:type="dxa"/>
            </w:tcMar>
            <w:vAlign w:val="bottom"/>
          </w:tcPr>
          <w:p w14:paraId="3693F5C1"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5C2" w14:textId="77777777" w:rsidR="003734EC" w:rsidRDefault="000E364E">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3693F5C3"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F5C4" w14:textId="77777777" w:rsidR="003734EC" w:rsidRDefault="000E364E">
            <w:pPr>
              <w:jc w:val="center"/>
              <w:textAlignment w:val="bottom"/>
            </w:pPr>
            <w:r>
              <w:rPr>
                <w:rFonts w:ascii="sans-serif" w:eastAsia="sans-serif" w:hAnsi="sans-serif" w:cs="sans-serif"/>
                <w:b/>
                <w:bCs/>
                <w:color w:val="000000"/>
                <w:sz w:val="20"/>
                <w:szCs w:val="20"/>
              </w:rPr>
              <w:t>April 28,</w:t>
            </w:r>
            <w:r>
              <w:rPr>
                <w:rFonts w:ascii="sans-serif" w:eastAsia="sans-serif" w:hAnsi="sans-serif" w:cs="sans-serif"/>
                <w:b/>
                <w:bCs/>
                <w:color w:val="000000"/>
                <w:sz w:val="20"/>
                <w:szCs w:val="20"/>
              </w:rPr>
              <w:br/>
              <w:t>2019</w:t>
            </w:r>
          </w:p>
        </w:tc>
        <w:tc>
          <w:tcPr>
            <w:tcW w:w="0" w:type="auto"/>
            <w:shd w:val="clear" w:color="auto" w:fill="auto"/>
            <w:vAlign w:val="center"/>
          </w:tcPr>
          <w:p w14:paraId="3693F5C5" w14:textId="77777777" w:rsidR="003734EC" w:rsidRDefault="003734EC">
            <w:pPr>
              <w:rPr>
                <w:rFonts w:ascii="宋体"/>
                <w:vanish/>
              </w:rPr>
            </w:pPr>
          </w:p>
        </w:tc>
        <w:tc>
          <w:tcPr>
            <w:tcW w:w="0" w:type="auto"/>
            <w:shd w:val="clear" w:color="auto" w:fill="auto"/>
            <w:vAlign w:val="center"/>
          </w:tcPr>
          <w:p w14:paraId="3693F5C6" w14:textId="77777777" w:rsidR="003734EC" w:rsidRDefault="003734EC">
            <w:pPr>
              <w:rPr>
                <w:rFonts w:ascii="宋体"/>
                <w:vanish/>
              </w:rPr>
            </w:pPr>
          </w:p>
        </w:tc>
        <w:tc>
          <w:tcPr>
            <w:tcW w:w="0" w:type="auto"/>
            <w:shd w:val="clear" w:color="auto" w:fill="auto"/>
            <w:vAlign w:val="center"/>
          </w:tcPr>
          <w:p w14:paraId="3693F5C7" w14:textId="77777777" w:rsidR="003734EC" w:rsidRDefault="003734EC">
            <w:pPr>
              <w:rPr>
                <w:rFonts w:ascii="宋体"/>
                <w:vanish/>
              </w:rPr>
            </w:pPr>
          </w:p>
        </w:tc>
        <w:tc>
          <w:tcPr>
            <w:tcW w:w="0" w:type="auto"/>
            <w:shd w:val="clear" w:color="auto" w:fill="auto"/>
            <w:vAlign w:val="center"/>
          </w:tcPr>
          <w:p w14:paraId="3693F5C8" w14:textId="77777777" w:rsidR="003734EC" w:rsidRDefault="003734EC">
            <w:pPr>
              <w:rPr>
                <w:rFonts w:ascii="宋体"/>
                <w:vanish/>
              </w:rPr>
            </w:pPr>
          </w:p>
        </w:tc>
        <w:tc>
          <w:tcPr>
            <w:tcW w:w="0" w:type="auto"/>
            <w:shd w:val="clear" w:color="auto" w:fill="auto"/>
            <w:vAlign w:val="center"/>
          </w:tcPr>
          <w:p w14:paraId="3693F5C9" w14:textId="77777777" w:rsidR="003734EC" w:rsidRDefault="003734EC">
            <w:pPr>
              <w:rPr>
                <w:rFonts w:ascii="宋体"/>
              </w:rPr>
            </w:pPr>
          </w:p>
        </w:tc>
        <w:tc>
          <w:tcPr>
            <w:tcW w:w="0" w:type="auto"/>
            <w:shd w:val="clear" w:color="auto" w:fill="auto"/>
            <w:vAlign w:val="center"/>
          </w:tcPr>
          <w:p w14:paraId="3693F5CA" w14:textId="77777777" w:rsidR="003734EC" w:rsidRDefault="003734EC">
            <w:pPr>
              <w:rPr>
                <w:rFonts w:ascii="宋体"/>
              </w:rPr>
            </w:pPr>
          </w:p>
        </w:tc>
        <w:tc>
          <w:tcPr>
            <w:tcW w:w="0" w:type="auto"/>
            <w:shd w:val="clear" w:color="auto" w:fill="auto"/>
            <w:vAlign w:val="center"/>
          </w:tcPr>
          <w:p w14:paraId="3693F5CB" w14:textId="77777777" w:rsidR="003734EC" w:rsidRDefault="003734EC">
            <w:pPr>
              <w:rPr>
                <w:rFonts w:ascii="宋体"/>
              </w:rPr>
            </w:pPr>
          </w:p>
        </w:tc>
        <w:tc>
          <w:tcPr>
            <w:tcW w:w="0" w:type="auto"/>
            <w:shd w:val="clear" w:color="auto" w:fill="auto"/>
            <w:vAlign w:val="center"/>
          </w:tcPr>
          <w:p w14:paraId="3693F5CC" w14:textId="77777777" w:rsidR="003734EC" w:rsidRDefault="003734EC">
            <w:pPr>
              <w:rPr>
                <w:rFonts w:ascii="宋体"/>
              </w:rPr>
            </w:pPr>
          </w:p>
        </w:tc>
        <w:tc>
          <w:tcPr>
            <w:tcW w:w="0" w:type="auto"/>
            <w:shd w:val="clear" w:color="auto" w:fill="auto"/>
            <w:vAlign w:val="center"/>
          </w:tcPr>
          <w:p w14:paraId="3693F5CD" w14:textId="77777777" w:rsidR="003734EC" w:rsidRDefault="003734EC">
            <w:pPr>
              <w:rPr>
                <w:rFonts w:ascii="宋体"/>
              </w:rPr>
            </w:pPr>
          </w:p>
        </w:tc>
        <w:tc>
          <w:tcPr>
            <w:tcW w:w="0" w:type="auto"/>
            <w:shd w:val="clear" w:color="auto" w:fill="auto"/>
            <w:vAlign w:val="center"/>
          </w:tcPr>
          <w:p w14:paraId="3693F5CE" w14:textId="77777777" w:rsidR="003734EC" w:rsidRDefault="003734EC">
            <w:pPr>
              <w:rPr>
                <w:rFonts w:ascii="宋体"/>
              </w:rPr>
            </w:pPr>
          </w:p>
        </w:tc>
      </w:tr>
      <w:tr w:rsidR="003734EC" w14:paraId="3693F5D8" w14:textId="77777777">
        <w:trPr>
          <w:jc w:val="center"/>
        </w:trPr>
        <w:tc>
          <w:tcPr>
            <w:tcW w:w="0" w:type="auto"/>
            <w:gridSpan w:val="3"/>
            <w:shd w:val="clear" w:color="auto" w:fill="auto"/>
            <w:tcMar>
              <w:left w:w="20" w:type="dxa"/>
              <w:right w:w="20" w:type="dxa"/>
            </w:tcMar>
            <w:vAlign w:val="bottom"/>
          </w:tcPr>
          <w:p w14:paraId="3693F5D0" w14:textId="77777777" w:rsidR="003734EC" w:rsidRDefault="003734E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5D1" w14:textId="77777777" w:rsidR="003734EC" w:rsidRDefault="000E364E">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c>
          <w:tcPr>
            <w:tcW w:w="0" w:type="auto"/>
            <w:shd w:val="clear" w:color="auto" w:fill="auto"/>
            <w:vAlign w:val="center"/>
          </w:tcPr>
          <w:p w14:paraId="3693F5D2" w14:textId="77777777" w:rsidR="003734EC" w:rsidRDefault="003734EC">
            <w:pPr>
              <w:rPr>
                <w:rFonts w:ascii="宋体"/>
                <w:vanish/>
              </w:rPr>
            </w:pPr>
          </w:p>
        </w:tc>
        <w:tc>
          <w:tcPr>
            <w:tcW w:w="0" w:type="auto"/>
            <w:shd w:val="clear" w:color="auto" w:fill="auto"/>
            <w:vAlign w:val="center"/>
          </w:tcPr>
          <w:p w14:paraId="3693F5D3" w14:textId="77777777" w:rsidR="003734EC" w:rsidRDefault="003734EC">
            <w:pPr>
              <w:rPr>
                <w:rFonts w:ascii="宋体"/>
                <w:vanish/>
              </w:rPr>
            </w:pPr>
          </w:p>
        </w:tc>
        <w:tc>
          <w:tcPr>
            <w:tcW w:w="0" w:type="auto"/>
            <w:shd w:val="clear" w:color="auto" w:fill="auto"/>
            <w:vAlign w:val="center"/>
          </w:tcPr>
          <w:p w14:paraId="3693F5D4" w14:textId="77777777" w:rsidR="003734EC" w:rsidRDefault="003734EC">
            <w:pPr>
              <w:rPr>
                <w:rFonts w:ascii="宋体"/>
                <w:vanish/>
              </w:rPr>
            </w:pPr>
          </w:p>
        </w:tc>
        <w:tc>
          <w:tcPr>
            <w:tcW w:w="0" w:type="auto"/>
            <w:shd w:val="clear" w:color="auto" w:fill="auto"/>
            <w:vAlign w:val="center"/>
          </w:tcPr>
          <w:p w14:paraId="3693F5D5" w14:textId="77777777" w:rsidR="003734EC" w:rsidRDefault="003734EC">
            <w:pPr>
              <w:rPr>
                <w:rFonts w:ascii="宋体"/>
                <w:vanish/>
              </w:rPr>
            </w:pPr>
          </w:p>
        </w:tc>
        <w:tc>
          <w:tcPr>
            <w:tcW w:w="0" w:type="auto"/>
            <w:gridSpan w:val="3"/>
            <w:shd w:val="clear" w:color="auto" w:fill="auto"/>
            <w:vAlign w:val="center"/>
          </w:tcPr>
          <w:p w14:paraId="3693F5D6" w14:textId="77777777" w:rsidR="003734EC" w:rsidRDefault="003734EC">
            <w:pPr>
              <w:rPr>
                <w:rFonts w:ascii="宋体"/>
                <w:vanish/>
              </w:rPr>
            </w:pPr>
          </w:p>
        </w:tc>
        <w:tc>
          <w:tcPr>
            <w:tcW w:w="0" w:type="auto"/>
            <w:gridSpan w:val="3"/>
            <w:shd w:val="clear" w:color="auto" w:fill="auto"/>
            <w:vAlign w:val="center"/>
          </w:tcPr>
          <w:p w14:paraId="3693F5D7" w14:textId="77777777" w:rsidR="003734EC" w:rsidRDefault="003734EC">
            <w:pPr>
              <w:rPr>
                <w:rFonts w:ascii="宋体"/>
                <w:vanish/>
              </w:rPr>
            </w:pPr>
          </w:p>
        </w:tc>
      </w:tr>
      <w:tr w:rsidR="003734EC" w14:paraId="3693F5E7" w14:textId="77777777">
        <w:trPr>
          <w:jc w:val="center"/>
        </w:trPr>
        <w:tc>
          <w:tcPr>
            <w:tcW w:w="0" w:type="auto"/>
            <w:gridSpan w:val="3"/>
            <w:shd w:val="clear" w:color="auto" w:fill="auto"/>
            <w:tcMar>
              <w:top w:w="40" w:type="dxa"/>
              <w:left w:w="20" w:type="dxa"/>
              <w:bottom w:w="40" w:type="dxa"/>
              <w:right w:w="20" w:type="dxa"/>
            </w:tcMar>
            <w:vAlign w:val="bottom"/>
          </w:tcPr>
          <w:p w14:paraId="3693F5D9" w14:textId="77777777" w:rsidR="003734EC" w:rsidRDefault="000E364E">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left w:w="20" w:type="dxa"/>
              <w:right w:w="20" w:type="dxa"/>
            </w:tcMar>
            <w:vAlign w:val="bottom"/>
          </w:tcPr>
          <w:p w14:paraId="3693F5D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5D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5DC" w14:textId="77777777" w:rsidR="003734EC" w:rsidRDefault="003734EC">
            <w:pPr>
              <w:rPr>
                <w:rFonts w:ascii="宋体"/>
              </w:rPr>
            </w:pPr>
          </w:p>
        </w:tc>
        <w:tc>
          <w:tcPr>
            <w:tcW w:w="0" w:type="auto"/>
            <w:shd w:val="clear" w:color="auto" w:fill="auto"/>
            <w:vAlign w:val="center"/>
          </w:tcPr>
          <w:p w14:paraId="3693F5DD" w14:textId="77777777" w:rsidR="003734EC" w:rsidRDefault="003734EC">
            <w:pPr>
              <w:rPr>
                <w:rFonts w:ascii="宋体"/>
                <w:vanish/>
              </w:rPr>
            </w:pPr>
          </w:p>
        </w:tc>
        <w:tc>
          <w:tcPr>
            <w:tcW w:w="0" w:type="auto"/>
            <w:shd w:val="clear" w:color="auto" w:fill="auto"/>
            <w:vAlign w:val="center"/>
          </w:tcPr>
          <w:p w14:paraId="3693F5DE" w14:textId="77777777" w:rsidR="003734EC" w:rsidRDefault="003734EC">
            <w:pPr>
              <w:rPr>
                <w:rFonts w:ascii="宋体"/>
                <w:vanish/>
              </w:rPr>
            </w:pPr>
          </w:p>
        </w:tc>
        <w:tc>
          <w:tcPr>
            <w:tcW w:w="0" w:type="auto"/>
            <w:shd w:val="clear" w:color="auto" w:fill="auto"/>
            <w:vAlign w:val="center"/>
          </w:tcPr>
          <w:p w14:paraId="3693F5DF" w14:textId="77777777" w:rsidR="003734EC" w:rsidRDefault="003734EC">
            <w:pPr>
              <w:rPr>
                <w:rFonts w:ascii="宋体"/>
                <w:vanish/>
              </w:rPr>
            </w:pPr>
          </w:p>
        </w:tc>
        <w:tc>
          <w:tcPr>
            <w:tcW w:w="0" w:type="auto"/>
            <w:shd w:val="clear" w:color="auto" w:fill="auto"/>
            <w:vAlign w:val="center"/>
          </w:tcPr>
          <w:p w14:paraId="3693F5E0" w14:textId="77777777" w:rsidR="003734EC" w:rsidRDefault="003734EC">
            <w:pPr>
              <w:rPr>
                <w:rFonts w:ascii="宋体"/>
                <w:vanish/>
              </w:rPr>
            </w:pPr>
          </w:p>
        </w:tc>
        <w:tc>
          <w:tcPr>
            <w:tcW w:w="0" w:type="auto"/>
            <w:shd w:val="clear" w:color="auto" w:fill="auto"/>
            <w:vAlign w:val="center"/>
          </w:tcPr>
          <w:p w14:paraId="3693F5E1" w14:textId="77777777" w:rsidR="003734EC" w:rsidRDefault="003734EC">
            <w:pPr>
              <w:rPr>
                <w:rFonts w:ascii="宋体"/>
              </w:rPr>
            </w:pPr>
          </w:p>
        </w:tc>
        <w:tc>
          <w:tcPr>
            <w:tcW w:w="0" w:type="auto"/>
            <w:shd w:val="clear" w:color="auto" w:fill="auto"/>
            <w:vAlign w:val="center"/>
          </w:tcPr>
          <w:p w14:paraId="3693F5E2" w14:textId="77777777" w:rsidR="003734EC" w:rsidRDefault="003734EC">
            <w:pPr>
              <w:rPr>
                <w:rFonts w:ascii="宋体"/>
              </w:rPr>
            </w:pPr>
          </w:p>
        </w:tc>
        <w:tc>
          <w:tcPr>
            <w:tcW w:w="0" w:type="auto"/>
            <w:shd w:val="clear" w:color="auto" w:fill="auto"/>
            <w:vAlign w:val="center"/>
          </w:tcPr>
          <w:p w14:paraId="3693F5E3" w14:textId="77777777" w:rsidR="003734EC" w:rsidRDefault="003734EC">
            <w:pPr>
              <w:rPr>
                <w:rFonts w:ascii="宋体"/>
              </w:rPr>
            </w:pPr>
          </w:p>
        </w:tc>
        <w:tc>
          <w:tcPr>
            <w:tcW w:w="0" w:type="auto"/>
            <w:shd w:val="clear" w:color="auto" w:fill="auto"/>
            <w:vAlign w:val="center"/>
          </w:tcPr>
          <w:p w14:paraId="3693F5E4" w14:textId="77777777" w:rsidR="003734EC" w:rsidRDefault="003734EC">
            <w:pPr>
              <w:rPr>
                <w:rFonts w:ascii="宋体"/>
              </w:rPr>
            </w:pPr>
          </w:p>
        </w:tc>
        <w:tc>
          <w:tcPr>
            <w:tcW w:w="0" w:type="auto"/>
            <w:shd w:val="clear" w:color="auto" w:fill="auto"/>
            <w:vAlign w:val="center"/>
          </w:tcPr>
          <w:p w14:paraId="3693F5E5" w14:textId="77777777" w:rsidR="003734EC" w:rsidRDefault="003734EC">
            <w:pPr>
              <w:rPr>
                <w:rFonts w:ascii="宋体"/>
              </w:rPr>
            </w:pPr>
          </w:p>
        </w:tc>
        <w:tc>
          <w:tcPr>
            <w:tcW w:w="0" w:type="auto"/>
            <w:shd w:val="clear" w:color="auto" w:fill="auto"/>
            <w:vAlign w:val="center"/>
          </w:tcPr>
          <w:p w14:paraId="3693F5E6" w14:textId="77777777" w:rsidR="003734EC" w:rsidRDefault="003734EC">
            <w:pPr>
              <w:rPr>
                <w:rFonts w:ascii="宋体"/>
              </w:rPr>
            </w:pPr>
          </w:p>
        </w:tc>
      </w:tr>
      <w:tr w:rsidR="003734EC" w14:paraId="3693F5F6" w14:textId="77777777">
        <w:trPr>
          <w:jc w:val="center"/>
          <w:hidden/>
        </w:trPr>
        <w:tc>
          <w:tcPr>
            <w:tcW w:w="0" w:type="auto"/>
            <w:gridSpan w:val="3"/>
            <w:shd w:val="clear" w:color="auto" w:fill="auto"/>
            <w:vAlign w:val="center"/>
          </w:tcPr>
          <w:p w14:paraId="3693F5E8" w14:textId="77777777" w:rsidR="003734EC" w:rsidRDefault="003734EC">
            <w:pPr>
              <w:rPr>
                <w:rFonts w:ascii="宋体"/>
                <w:vanish/>
              </w:rPr>
            </w:pPr>
          </w:p>
        </w:tc>
        <w:tc>
          <w:tcPr>
            <w:tcW w:w="0" w:type="auto"/>
            <w:gridSpan w:val="3"/>
            <w:shd w:val="clear" w:color="auto" w:fill="auto"/>
            <w:vAlign w:val="center"/>
          </w:tcPr>
          <w:p w14:paraId="3693F5E9" w14:textId="77777777" w:rsidR="003734EC" w:rsidRDefault="003734EC">
            <w:pPr>
              <w:rPr>
                <w:rFonts w:ascii="宋体"/>
                <w:vanish/>
              </w:rPr>
            </w:pPr>
          </w:p>
        </w:tc>
        <w:tc>
          <w:tcPr>
            <w:tcW w:w="0" w:type="auto"/>
            <w:gridSpan w:val="3"/>
            <w:shd w:val="clear" w:color="auto" w:fill="auto"/>
            <w:vAlign w:val="center"/>
          </w:tcPr>
          <w:p w14:paraId="3693F5EA" w14:textId="77777777" w:rsidR="003734EC" w:rsidRDefault="003734EC">
            <w:pPr>
              <w:rPr>
                <w:rFonts w:ascii="宋体"/>
                <w:vanish/>
              </w:rPr>
            </w:pPr>
          </w:p>
        </w:tc>
        <w:tc>
          <w:tcPr>
            <w:tcW w:w="0" w:type="auto"/>
            <w:gridSpan w:val="3"/>
            <w:shd w:val="clear" w:color="auto" w:fill="auto"/>
            <w:vAlign w:val="center"/>
          </w:tcPr>
          <w:p w14:paraId="3693F5EB" w14:textId="77777777" w:rsidR="003734EC" w:rsidRDefault="003734EC">
            <w:pPr>
              <w:rPr>
                <w:rFonts w:ascii="宋体"/>
                <w:vanish/>
              </w:rPr>
            </w:pPr>
          </w:p>
        </w:tc>
        <w:tc>
          <w:tcPr>
            <w:tcW w:w="0" w:type="auto"/>
            <w:shd w:val="clear" w:color="auto" w:fill="auto"/>
            <w:vAlign w:val="center"/>
          </w:tcPr>
          <w:p w14:paraId="3693F5EC" w14:textId="77777777" w:rsidR="003734EC" w:rsidRDefault="003734EC">
            <w:pPr>
              <w:rPr>
                <w:rFonts w:ascii="宋体"/>
                <w:vanish/>
              </w:rPr>
            </w:pPr>
          </w:p>
        </w:tc>
        <w:tc>
          <w:tcPr>
            <w:tcW w:w="0" w:type="auto"/>
            <w:shd w:val="clear" w:color="auto" w:fill="auto"/>
            <w:vAlign w:val="center"/>
          </w:tcPr>
          <w:p w14:paraId="3693F5ED" w14:textId="77777777" w:rsidR="003734EC" w:rsidRDefault="003734EC">
            <w:pPr>
              <w:rPr>
                <w:rFonts w:ascii="宋体"/>
                <w:vanish/>
              </w:rPr>
            </w:pPr>
          </w:p>
        </w:tc>
        <w:tc>
          <w:tcPr>
            <w:tcW w:w="0" w:type="auto"/>
            <w:shd w:val="clear" w:color="auto" w:fill="auto"/>
            <w:vAlign w:val="center"/>
          </w:tcPr>
          <w:p w14:paraId="3693F5EE" w14:textId="77777777" w:rsidR="003734EC" w:rsidRDefault="003734EC">
            <w:pPr>
              <w:rPr>
                <w:rFonts w:ascii="宋体"/>
                <w:vanish/>
              </w:rPr>
            </w:pPr>
          </w:p>
        </w:tc>
        <w:tc>
          <w:tcPr>
            <w:tcW w:w="0" w:type="auto"/>
            <w:shd w:val="clear" w:color="auto" w:fill="auto"/>
            <w:vAlign w:val="center"/>
          </w:tcPr>
          <w:p w14:paraId="3693F5EF" w14:textId="77777777" w:rsidR="003734EC" w:rsidRDefault="003734EC">
            <w:pPr>
              <w:rPr>
                <w:rFonts w:ascii="宋体"/>
                <w:vanish/>
              </w:rPr>
            </w:pPr>
          </w:p>
        </w:tc>
        <w:tc>
          <w:tcPr>
            <w:tcW w:w="0" w:type="auto"/>
            <w:shd w:val="clear" w:color="auto" w:fill="auto"/>
            <w:vAlign w:val="center"/>
          </w:tcPr>
          <w:p w14:paraId="3693F5F0" w14:textId="77777777" w:rsidR="003734EC" w:rsidRDefault="003734EC">
            <w:pPr>
              <w:rPr>
                <w:rFonts w:ascii="宋体"/>
              </w:rPr>
            </w:pPr>
          </w:p>
        </w:tc>
        <w:tc>
          <w:tcPr>
            <w:tcW w:w="0" w:type="auto"/>
            <w:shd w:val="clear" w:color="auto" w:fill="auto"/>
            <w:vAlign w:val="center"/>
          </w:tcPr>
          <w:p w14:paraId="3693F5F1" w14:textId="77777777" w:rsidR="003734EC" w:rsidRDefault="003734EC">
            <w:pPr>
              <w:rPr>
                <w:rFonts w:ascii="宋体"/>
              </w:rPr>
            </w:pPr>
          </w:p>
        </w:tc>
        <w:tc>
          <w:tcPr>
            <w:tcW w:w="0" w:type="auto"/>
            <w:shd w:val="clear" w:color="auto" w:fill="auto"/>
            <w:vAlign w:val="center"/>
          </w:tcPr>
          <w:p w14:paraId="3693F5F2" w14:textId="77777777" w:rsidR="003734EC" w:rsidRDefault="003734EC">
            <w:pPr>
              <w:rPr>
                <w:rFonts w:ascii="宋体"/>
              </w:rPr>
            </w:pPr>
          </w:p>
        </w:tc>
        <w:tc>
          <w:tcPr>
            <w:tcW w:w="0" w:type="auto"/>
            <w:shd w:val="clear" w:color="auto" w:fill="auto"/>
            <w:vAlign w:val="center"/>
          </w:tcPr>
          <w:p w14:paraId="3693F5F3" w14:textId="77777777" w:rsidR="003734EC" w:rsidRDefault="003734EC">
            <w:pPr>
              <w:rPr>
                <w:rFonts w:ascii="宋体"/>
              </w:rPr>
            </w:pPr>
          </w:p>
        </w:tc>
        <w:tc>
          <w:tcPr>
            <w:tcW w:w="0" w:type="auto"/>
            <w:shd w:val="clear" w:color="auto" w:fill="auto"/>
            <w:vAlign w:val="center"/>
          </w:tcPr>
          <w:p w14:paraId="3693F5F4" w14:textId="77777777" w:rsidR="003734EC" w:rsidRDefault="003734EC">
            <w:pPr>
              <w:rPr>
                <w:rFonts w:ascii="宋体"/>
              </w:rPr>
            </w:pPr>
          </w:p>
        </w:tc>
        <w:tc>
          <w:tcPr>
            <w:tcW w:w="0" w:type="auto"/>
            <w:shd w:val="clear" w:color="auto" w:fill="auto"/>
            <w:vAlign w:val="center"/>
          </w:tcPr>
          <w:p w14:paraId="3693F5F5" w14:textId="77777777" w:rsidR="003734EC" w:rsidRDefault="003734EC">
            <w:pPr>
              <w:rPr>
                <w:rFonts w:ascii="宋体"/>
              </w:rPr>
            </w:pPr>
          </w:p>
        </w:tc>
      </w:tr>
      <w:tr w:rsidR="003734EC" w14:paraId="3693F609" w14:textId="77777777">
        <w:trPr>
          <w:jc w:val="center"/>
        </w:trPr>
        <w:tc>
          <w:tcPr>
            <w:tcW w:w="0" w:type="auto"/>
            <w:gridSpan w:val="3"/>
            <w:shd w:val="clear" w:color="auto" w:fill="E2EFD9"/>
            <w:tcMar>
              <w:top w:w="40" w:type="dxa"/>
              <w:left w:w="20" w:type="dxa"/>
              <w:bottom w:w="40" w:type="dxa"/>
              <w:right w:w="20" w:type="dxa"/>
            </w:tcMar>
            <w:vAlign w:val="bottom"/>
          </w:tcPr>
          <w:p w14:paraId="3693F5F7" w14:textId="77777777" w:rsidR="003734EC" w:rsidRDefault="000E364E">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tcMar>
            <w:vAlign w:val="bottom"/>
          </w:tcPr>
          <w:p w14:paraId="3693F5F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5F9" w14:textId="77777777" w:rsidR="003734EC" w:rsidRDefault="000E364E">
            <w:pPr>
              <w:jc w:val="right"/>
              <w:textAlignment w:val="bottom"/>
            </w:pPr>
            <w:r>
              <w:rPr>
                <w:rFonts w:ascii="sans-serif" w:eastAsia="sans-serif" w:hAnsi="sans-serif" w:cs="sans-serif"/>
                <w:color w:val="000000"/>
                <w:sz w:val="20"/>
                <w:szCs w:val="20"/>
              </w:rPr>
              <w:t>(224)</w:t>
            </w:r>
          </w:p>
        </w:tc>
        <w:tc>
          <w:tcPr>
            <w:tcW w:w="0" w:type="auto"/>
            <w:shd w:val="clear" w:color="auto" w:fill="E2EFD9"/>
            <w:tcMar>
              <w:top w:w="40" w:type="dxa"/>
              <w:bottom w:w="40" w:type="dxa"/>
              <w:right w:w="20" w:type="dxa"/>
            </w:tcMar>
            <w:vAlign w:val="bottom"/>
          </w:tcPr>
          <w:p w14:paraId="3693F5F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5FB"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5F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5FD" w14:textId="77777777" w:rsidR="003734EC" w:rsidRDefault="000E364E">
            <w:pPr>
              <w:jc w:val="right"/>
              <w:textAlignment w:val="bottom"/>
            </w:pPr>
            <w:r>
              <w:rPr>
                <w:rFonts w:ascii="sans-serif" w:eastAsia="sans-serif" w:hAnsi="sans-serif" w:cs="sans-serif"/>
                <w:color w:val="000000"/>
                <w:sz w:val="20"/>
                <w:szCs w:val="20"/>
              </w:rPr>
              <w:t>(178)</w:t>
            </w:r>
          </w:p>
        </w:tc>
        <w:tc>
          <w:tcPr>
            <w:tcW w:w="0" w:type="auto"/>
            <w:shd w:val="clear" w:color="auto" w:fill="E2EFD9"/>
            <w:tcMar>
              <w:top w:w="40" w:type="dxa"/>
              <w:bottom w:w="40" w:type="dxa"/>
              <w:right w:w="20" w:type="dxa"/>
            </w:tcMar>
            <w:vAlign w:val="bottom"/>
          </w:tcPr>
          <w:p w14:paraId="3693F5F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5FF" w14:textId="77777777" w:rsidR="003734EC" w:rsidRDefault="003734EC">
            <w:pPr>
              <w:rPr>
                <w:rFonts w:ascii="宋体"/>
                <w:vanish/>
              </w:rPr>
            </w:pPr>
          </w:p>
        </w:tc>
        <w:tc>
          <w:tcPr>
            <w:tcW w:w="0" w:type="auto"/>
            <w:shd w:val="clear" w:color="auto" w:fill="auto"/>
            <w:vAlign w:val="center"/>
          </w:tcPr>
          <w:p w14:paraId="3693F600" w14:textId="77777777" w:rsidR="003734EC" w:rsidRDefault="003734EC">
            <w:pPr>
              <w:rPr>
                <w:rFonts w:ascii="宋体"/>
                <w:vanish/>
              </w:rPr>
            </w:pPr>
          </w:p>
        </w:tc>
        <w:tc>
          <w:tcPr>
            <w:tcW w:w="0" w:type="auto"/>
            <w:shd w:val="clear" w:color="auto" w:fill="auto"/>
            <w:vAlign w:val="center"/>
          </w:tcPr>
          <w:p w14:paraId="3693F601" w14:textId="77777777" w:rsidR="003734EC" w:rsidRDefault="003734EC">
            <w:pPr>
              <w:rPr>
                <w:rFonts w:ascii="宋体"/>
                <w:vanish/>
              </w:rPr>
            </w:pPr>
          </w:p>
        </w:tc>
        <w:tc>
          <w:tcPr>
            <w:tcW w:w="0" w:type="auto"/>
            <w:shd w:val="clear" w:color="auto" w:fill="auto"/>
            <w:vAlign w:val="center"/>
          </w:tcPr>
          <w:p w14:paraId="3693F602" w14:textId="77777777" w:rsidR="003734EC" w:rsidRDefault="003734EC">
            <w:pPr>
              <w:rPr>
                <w:rFonts w:ascii="宋体"/>
                <w:vanish/>
              </w:rPr>
            </w:pPr>
          </w:p>
        </w:tc>
        <w:tc>
          <w:tcPr>
            <w:tcW w:w="0" w:type="auto"/>
            <w:shd w:val="clear" w:color="auto" w:fill="auto"/>
            <w:vAlign w:val="center"/>
          </w:tcPr>
          <w:p w14:paraId="3693F603" w14:textId="77777777" w:rsidR="003734EC" w:rsidRDefault="003734EC">
            <w:pPr>
              <w:rPr>
                <w:rFonts w:ascii="宋体"/>
              </w:rPr>
            </w:pPr>
          </w:p>
        </w:tc>
        <w:tc>
          <w:tcPr>
            <w:tcW w:w="0" w:type="auto"/>
            <w:shd w:val="clear" w:color="auto" w:fill="auto"/>
            <w:vAlign w:val="center"/>
          </w:tcPr>
          <w:p w14:paraId="3693F604" w14:textId="77777777" w:rsidR="003734EC" w:rsidRDefault="003734EC">
            <w:pPr>
              <w:rPr>
                <w:rFonts w:ascii="宋体"/>
              </w:rPr>
            </w:pPr>
          </w:p>
        </w:tc>
        <w:tc>
          <w:tcPr>
            <w:tcW w:w="0" w:type="auto"/>
            <w:shd w:val="clear" w:color="auto" w:fill="auto"/>
            <w:vAlign w:val="center"/>
          </w:tcPr>
          <w:p w14:paraId="3693F605" w14:textId="77777777" w:rsidR="003734EC" w:rsidRDefault="003734EC">
            <w:pPr>
              <w:rPr>
                <w:rFonts w:ascii="宋体"/>
              </w:rPr>
            </w:pPr>
          </w:p>
        </w:tc>
        <w:tc>
          <w:tcPr>
            <w:tcW w:w="0" w:type="auto"/>
            <w:shd w:val="clear" w:color="auto" w:fill="auto"/>
            <w:vAlign w:val="center"/>
          </w:tcPr>
          <w:p w14:paraId="3693F606" w14:textId="77777777" w:rsidR="003734EC" w:rsidRDefault="003734EC">
            <w:pPr>
              <w:rPr>
                <w:rFonts w:ascii="宋体"/>
              </w:rPr>
            </w:pPr>
          </w:p>
        </w:tc>
        <w:tc>
          <w:tcPr>
            <w:tcW w:w="0" w:type="auto"/>
            <w:shd w:val="clear" w:color="auto" w:fill="auto"/>
            <w:vAlign w:val="center"/>
          </w:tcPr>
          <w:p w14:paraId="3693F607" w14:textId="77777777" w:rsidR="003734EC" w:rsidRDefault="003734EC">
            <w:pPr>
              <w:rPr>
                <w:rFonts w:ascii="宋体"/>
              </w:rPr>
            </w:pPr>
          </w:p>
        </w:tc>
        <w:tc>
          <w:tcPr>
            <w:tcW w:w="0" w:type="auto"/>
            <w:shd w:val="clear" w:color="auto" w:fill="auto"/>
            <w:vAlign w:val="center"/>
          </w:tcPr>
          <w:p w14:paraId="3693F608" w14:textId="77777777" w:rsidR="003734EC" w:rsidRDefault="003734EC">
            <w:pPr>
              <w:rPr>
                <w:rFonts w:ascii="宋体"/>
              </w:rPr>
            </w:pPr>
          </w:p>
        </w:tc>
      </w:tr>
      <w:tr w:rsidR="003734EC" w14:paraId="3693F61A" w14:textId="77777777">
        <w:trPr>
          <w:jc w:val="center"/>
        </w:trPr>
        <w:tc>
          <w:tcPr>
            <w:tcW w:w="0" w:type="auto"/>
            <w:gridSpan w:val="3"/>
            <w:shd w:val="clear" w:color="auto" w:fill="FFFFFF"/>
            <w:tcMar>
              <w:top w:w="40" w:type="dxa"/>
              <w:left w:w="20" w:type="dxa"/>
              <w:bottom w:w="40" w:type="dxa"/>
              <w:right w:w="20" w:type="dxa"/>
            </w:tcMar>
            <w:vAlign w:val="bottom"/>
          </w:tcPr>
          <w:p w14:paraId="3693F60A" w14:textId="77777777" w:rsidR="003734EC" w:rsidRDefault="000E364E">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FFFFFF"/>
            <w:tcMar>
              <w:top w:w="40" w:type="dxa"/>
              <w:left w:w="20" w:type="dxa"/>
              <w:bottom w:w="40" w:type="dxa"/>
              <w:right w:w="0" w:type="dxa"/>
            </w:tcMar>
            <w:vAlign w:val="bottom"/>
          </w:tcPr>
          <w:p w14:paraId="3693F60B" w14:textId="77777777" w:rsidR="003734EC" w:rsidRDefault="000E364E">
            <w:pPr>
              <w:jc w:val="right"/>
              <w:textAlignment w:val="bottom"/>
            </w:pPr>
            <w:r>
              <w:rPr>
                <w:rFonts w:ascii="sans-serif" w:eastAsia="sans-serif" w:hAnsi="sans-serif" w:cs="sans-serif"/>
                <w:color w:val="000000"/>
                <w:sz w:val="20"/>
                <w:szCs w:val="20"/>
              </w:rPr>
              <w:t>(82)</w:t>
            </w:r>
          </w:p>
        </w:tc>
        <w:tc>
          <w:tcPr>
            <w:tcW w:w="0" w:type="auto"/>
            <w:shd w:val="clear" w:color="auto" w:fill="FFFFFF"/>
            <w:tcMar>
              <w:top w:w="40" w:type="dxa"/>
              <w:bottom w:w="40" w:type="dxa"/>
              <w:right w:w="20" w:type="dxa"/>
            </w:tcMar>
            <w:vAlign w:val="bottom"/>
          </w:tcPr>
          <w:p w14:paraId="3693F60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60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60E" w14:textId="77777777" w:rsidR="003734EC" w:rsidRDefault="000E364E">
            <w:pPr>
              <w:jc w:val="right"/>
              <w:textAlignment w:val="bottom"/>
            </w:pPr>
            <w:r>
              <w:rPr>
                <w:rFonts w:ascii="sans-serif" w:eastAsia="sans-serif" w:hAnsi="sans-serif" w:cs="sans-serif"/>
                <w:color w:val="000000"/>
                <w:sz w:val="20"/>
                <w:szCs w:val="20"/>
              </w:rPr>
              <w:t>(70)</w:t>
            </w:r>
          </w:p>
        </w:tc>
        <w:tc>
          <w:tcPr>
            <w:tcW w:w="0" w:type="auto"/>
            <w:shd w:val="clear" w:color="auto" w:fill="FFFFFF"/>
            <w:tcMar>
              <w:top w:w="40" w:type="dxa"/>
              <w:bottom w:w="40" w:type="dxa"/>
              <w:right w:w="20" w:type="dxa"/>
            </w:tcMar>
            <w:vAlign w:val="bottom"/>
          </w:tcPr>
          <w:p w14:paraId="3693F60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10" w14:textId="77777777" w:rsidR="003734EC" w:rsidRDefault="003734EC">
            <w:pPr>
              <w:rPr>
                <w:rFonts w:ascii="宋体"/>
                <w:vanish/>
              </w:rPr>
            </w:pPr>
          </w:p>
        </w:tc>
        <w:tc>
          <w:tcPr>
            <w:tcW w:w="0" w:type="auto"/>
            <w:shd w:val="clear" w:color="auto" w:fill="auto"/>
            <w:vAlign w:val="center"/>
          </w:tcPr>
          <w:p w14:paraId="3693F611" w14:textId="77777777" w:rsidR="003734EC" w:rsidRDefault="003734EC">
            <w:pPr>
              <w:rPr>
                <w:rFonts w:ascii="宋体"/>
                <w:vanish/>
              </w:rPr>
            </w:pPr>
          </w:p>
        </w:tc>
        <w:tc>
          <w:tcPr>
            <w:tcW w:w="0" w:type="auto"/>
            <w:shd w:val="clear" w:color="auto" w:fill="auto"/>
            <w:vAlign w:val="center"/>
          </w:tcPr>
          <w:p w14:paraId="3693F612" w14:textId="77777777" w:rsidR="003734EC" w:rsidRDefault="003734EC">
            <w:pPr>
              <w:rPr>
                <w:rFonts w:ascii="宋体"/>
                <w:vanish/>
              </w:rPr>
            </w:pPr>
          </w:p>
        </w:tc>
        <w:tc>
          <w:tcPr>
            <w:tcW w:w="0" w:type="auto"/>
            <w:shd w:val="clear" w:color="auto" w:fill="auto"/>
            <w:vAlign w:val="center"/>
          </w:tcPr>
          <w:p w14:paraId="3693F613" w14:textId="77777777" w:rsidR="003734EC" w:rsidRDefault="003734EC">
            <w:pPr>
              <w:rPr>
                <w:rFonts w:ascii="宋体"/>
                <w:vanish/>
              </w:rPr>
            </w:pPr>
          </w:p>
        </w:tc>
        <w:tc>
          <w:tcPr>
            <w:tcW w:w="0" w:type="auto"/>
            <w:shd w:val="clear" w:color="auto" w:fill="auto"/>
            <w:vAlign w:val="center"/>
          </w:tcPr>
          <w:p w14:paraId="3693F614" w14:textId="77777777" w:rsidR="003734EC" w:rsidRDefault="003734EC">
            <w:pPr>
              <w:rPr>
                <w:rFonts w:ascii="宋体"/>
              </w:rPr>
            </w:pPr>
          </w:p>
        </w:tc>
        <w:tc>
          <w:tcPr>
            <w:tcW w:w="0" w:type="auto"/>
            <w:shd w:val="clear" w:color="auto" w:fill="auto"/>
            <w:vAlign w:val="center"/>
          </w:tcPr>
          <w:p w14:paraId="3693F615" w14:textId="77777777" w:rsidR="003734EC" w:rsidRDefault="003734EC">
            <w:pPr>
              <w:rPr>
                <w:rFonts w:ascii="宋体"/>
              </w:rPr>
            </w:pPr>
          </w:p>
        </w:tc>
        <w:tc>
          <w:tcPr>
            <w:tcW w:w="0" w:type="auto"/>
            <w:shd w:val="clear" w:color="auto" w:fill="auto"/>
            <w:vAlign w:val="center"/>
          </w:tcPr>
          <w:p w14:paraId="3693F616" w14:textId="77777777" w:rsidR="003734EC" w:rsidRDefault="003734EC">
            <w:pPr>
              <w:rPr>
                <w:rFonts w:ascii="宋体"/>
              </w:rPr>
            </w:pPr>
          </w:p>
        </w:tc>
        <w:tc>
          <w:tcPr>
            <w:tcW w:w="0" w:type="auto"/>
            <w:shd w:val="clear" w:color="auto" w:fill="auto"/>
            <w:vAlign w:val="center"/>
          </w:tcPr>
          <w:p w14:paraId="3693F617" w14:textId="77777777" w:rsidR="003734EC" w:rsidRDefault="003734EC">
            <w:pPr>
              <w:rPr>
                <w:rFonts w:ascii="宋体"/>
              </w:rPr>
            </w:pPr>
          </w:p>
        </w:tc>
        <w:tc>
          <w:tcPr>
            <w:tcW w:w="0" w:type="auto"/>
            <w:shd w:val="clear" w:color="auto" w:fill="auto"/>
            <w:vAlign w:val="center"/>
          </w:tcPr>
          <w:p w14:paraId="3693F618" w14:textId="77777777" w:rsidR="003734EC" w:rsidRDefault="003734EC">
            <w:pPr>
              <w:rPr>
                <w:rFonts w:ascii="宋体"/>
              </w:rPr>
            </w:pPr>
          </w:p>
        </w:tc>
        <w:tc>
          <w:tcPr>
            <w:tcW w:w="0" w:type="auto"/>
            <w:shd w:val="clear" w:color="auto" w:fill="auto"/>
            <w:vAlign w:val="center"/>
          </w:tcPr>
          <w:p w14:paraId="3693F619" w14:textId="77777777" w:rsidR="003734EC" w:rsidRDefault="003734EC">
            <w:pPr>
              <w:rPr>
                <w:rFonts w:ascii="宋体"/>
              </w:rPr>
            </w:pPr>
          </w:p>
        </w:tc>
      </w:tr>
      <w:tr w:rsidR="003734EC" w14:paraId="3693F62B" w14:textId="77777777">
        <w:trPr>
          <w:jc w:val="center"/>
        </w:trPr>
        <w:tc>
          <w:tcPr>
            <w:tcW w:w="0" w:type="auto"/>
            <w:gridSpan w:val="3"/>
            <w:shd w:val="clear" w:color="auto" w:fill="E2EFD9"/>
            <w:tcMar>
              <w:top w:w="40" w:type="dxa"/>
              <w:left w:w="20" w:type="dxa"/>
              <w:bottom w:w="40" w:type="dxa"/>
              <w:right w:w="20" w:type="dxa"/>
            </w:tcMar>
            <w:vAlign w:val="bottom"/>
          </w:tcPr>
          <w:p w14:paraId="3693F61B" w14:textId="77777777" w:rsidR="003734EC" w:rsidRDefault="000E364E">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E2EFD9"/>
            <w:tcMar>
              <w:top w:w="40" w:type="dxa"/>
              <w:left w:w="20" w:type="dxa"/>
              <w:bottom w:w="40" w:type="dxa"/>
              <w:right w:w="0" w:type="dxa"/>
            </w:tcMar>
            <w:vAlign w:val="bottom"/>
          </w:tcPr>
          <w:p w14:paraId="3693F61C" w14:textId="77777777" w:rsidR="003734EC" w:rsidRDefault="000E364E">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bottom w:w="40" w:type="dxa"/>
              <w:right w:w="20" w:type="dxa"/>
            </w:tcMar>
            <w:vAlign w:val="bottom"/>
          </w:tcPr>
          <w:p w14:paraId="3693F61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61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61F" w14:textId="77777777" w:rsidR="003734EC" w:rsidRDefault="000E364E">
            <w:pPr>
              <w:jc w:val="right"/>
              <w:textAlignment w:val="bottom"/>
            </w:pPr>
            <w:r>
              <w:rPr>
                <w:rFonts w:ascii="sans-serif" w:eastAsia="sans-serif" w:hAnsi="sans-serif" w:cs="sans-serif"/>
                <w:color w:val="000000"/>
                <w:sz w:val="20"/>
                <w:szCs w:val="20"/>
              </w:rPr>
              <w:t>(10)</w:t>
            </w:r>
          </w:p>
        </w:tc>
        <w:tc>
          <w:tcPr>
            <w:tcW w:w="0" w:type="auto"/>
            <w:shd w:val="clear" w:color="auto" w:fill="E2EFD9"/>
            <w:tcMar>
              <w:top w:w="40" w:type="dxa"/>
              <w:bottom w:w="40" w:type="dxa"/>
              <w:right w:w="20" w:type="dxa"/>
            </w:tcMar>
            <w:vAlign w:val="bottom"/>
          </w:tcPr>
          <w:p w14:paraId="3693F62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21" w14:textId="77777777" w:rsidR="003734EC" w:rsidRDefault="003734EC">
            <w:pPr>
              <w:rPr>
                <w:rFonts w:ascii="宋体"/>
                <w:vanish/>
              </w:rPr>
            </w:pPr>
          </w:p>
        </w:tc>
        <w:tc>
          <w:tcPr>
            <w:tcW w:w="0" w:type="auto"/>
            <w:shd w:val="clear" w:color="auto" w:fill="auto"/>
            <w:vAlign w:val="center"/>
          </w:tcPr>
          <w:p w14:paraId="3693F622" w14:textId="77777777" w:rsidR="003734EC" w:rsidRDefault="003734EC">
            <w:pPr>
              <w:rPr>
                <w:rFonts w:ascii="宋体"/>
                <w:vanish/>
              </w:rPr>
            </w:pPr>
          </w:p>
        </w:tc>
        <w:tc>
          <w:tcPr>
            <w:tcW w:w="0" w:type="auto"/>
            <w:shd w:val="clear" w:color="auto" w:fill="auto"/>
            <w:vAlign w:val="center"/>
          </w:tcPr>
          <w:p w14:paraId="3693F623" w14:textId="77777777" w:rsidR="003734EC" w:rsidRDefault="003734EC">
            <w:pPr>
              <w:rPr>
                <w:rFonts w:ascii="宋体"/>
                <w:vanish/>
              </w:rPr>
            </w:pPr>
          </w:p>
        </w:tc>
        <w:tc>
          <w:tcPr>
            <w:tcW w:w="0" w:type="auto"/>
            <w:shd w:val="clear" w:color="auto" w:fill="auto"/>
            <w:vAlign w:val="center"/>
          </w:tcPr>
          <w:p w14:paraId="3693F624" w14:textId="77777777" w:rsidR="003734EC" w:rsidRDefault="003734EC">
            <w:pPr>
              <w:rPr>
                <w:rFonts w:ascii="宋体"/>
                <w:vanish/>
              </w:rPr>
            </w:pPr>
          </w:p>
        </w:tc>
        <w:tc>
          <w:tcPr>
            <w:tcW w:w="0" w:type="auto"/>
            <w:shd w:val="clear" w:color="auto" w:fill="auto"/>
            <w:vAlign w:val="center"/>
          </w:tcPr>
          <w:p w14:paraId="3693F625" w14:textId="77777777" w:rsidR="003734EC" w:rsidRDefault="003734EC">
            <w:pPr>
              <w:rPr>
                <w:rFonts w:ascii="宋体"/>
              </w:rPr>
            </w:pPr>
          </w:p>
        </w:tc>
        <w:tc>
          <w:tcPr>
            <w:tcW w:w="0" w:type="auto"/>
            <w:shd w:val="clear" w:color="auto" w:fill="auto"/>
            <w:vAlign w:val="center"/>
          </w:tcPr>
          <w:p w14:paraId="3693F626" w14:textId="77777777" w:rsidR="003734EC" w:rsidRDefault="003734EC">
            <w:pPr>
              <w:rPr>
                <w:rFonts w:ascii="宋体"/>
              </w:rPr>
            </w:pPr>
          </w:p>
        </w:tc>
        <w:tc>
          <w:tcPr>
            <w:tcW w:w="0" w:type="auto"/>
            <w:shd w:val="clear" w:color="auto" w:fill="auto"/>
            <w:vAlign w:val="center"/>
          </w:tcPr>
          <w:p w14:paraId="3693F627" w14:textId="77777777" w:rsidR="003734EC" w:rsidRDefault="003734EC">
            <w:pPr>
              <w:rPr>
                <w:rFonts w:ascii="宋体"/>
              </w:rPr>
            </w:pPr>
          </w:p>
        </w:tc>
        <w:tc>
          <w:tcPr>
            <w:tcW w:w="0" w:type="auto"/>
            <w:shd w:val="clear" w:color="auto" w:fill="auto"/>
            <w:vAlign w:val="center"/>
          </w:tcPr>
          <w:p w14:paraId="3693F628" w14:textId="77777777" w:rsidR="003734EC" w:rsidRDefault="003734EC">
            <w:pPr>
              <w:rPr>
                <w:rFonts w:ascii="宋体"/>
              </w:rPr>
            </w:pPr>
          </w:p>
        </w:tc>
        <w:tc>
          <w:tcPr>
            <w:tcW w:w="0" w:type="auto"/>
            <w:shd w:val="clear" w:color="auto" w:fill="auto"/>
            <w:vAlign w:val="center"/>
          </w:tcPr>
          <w:p w14:paraId="3693F629" w14:textId="77777777" w:rsidR="003734EC" w:rsidRDefault="003734EC">
            <w:pPr>
              <w:rPr>
                <w:rFonts w:ascii="宋体"/>
              </w:rPr>
            </w:pPr>
          </w:p>
        </w:tc>
        <w:tc>
          <w:tcPr>
            <w:tcW w:w="0" w:type="auto"/>
            <w:shd w:val="clear" w:color="auto" w:fill="auto"/>
            <w:vAlign w:val="center"/>
          </w:tcPr>
          <w:p w14:paraId="3693F62A" w14:textId="77777777" w:rsidR="003734EC" w:rsidRDefault="003734EC">
            <w:pPr>
              <w:rPr>
                <w:rFonts w:ascii="宋体"/>
              </w:rPr>
            </w:pPr>
          </w:p>
        </w:tc>
      </w:tr>
      <w:tr w:rsidR="003734EC" w14:paraId="3693F63C" w14:textId="77777777">
        <w:trPr>
          <w:jc w:val="center"/>
        </w:trPr>
        <w:tc>
          <w:tcPr>
            <w:tcW w:w="0" w:type="auto"/>
            <w:gridSpan w:val="3"/>
            <w:shd w:val="clear" w:color="auto" w:fill="FFFFFF"/>
            <w:tcMar>
              <w:top w:w="40" w:type="dxa"/>
              <w:left w:w="20" w:type="dxa"/>
              <w:bottom w:w="40" w:type="dxa"/>
              <w:right w:w="20" w:type="dxa"/>
            </w:tcMar>
            <w:vAlign w:val="bottom"/>
          </w:tcPr>
          <w:p w14:paraId="3693F62C" w14:textId="77777777" w:rsidR="003734EC" w:rsidRDefault="000E364E">
            <w:pPr>
              <w:textAlignment w:val="bottom"/>
            </w:pPr>
            <w:r>
              <w:rPr>
                <w:rFonts w:ascii="sans-serif" w:eastAsia="sans-serif" w:hAnsi="sans-serif" w:cs="sans-serif"/>
                <w:color w:val="000000"/>
                <w:sz w:val="20"/>
                <w:szCs w:val="20"/>
              </w:rPr>
              <w:t>Legal settlement costs</w:t>
            </w:r>
          </w:p>
        </w:tc>
        <w:tc>
          <w:tcPr>
            <w:tcW w:w="0" w:type="auto"/>
            <w:gridSpan w:val="2"/>
            <w:shd w:val="clear" w:color="auto" w:fill="FFFFFF"/>
            <w:tcMar>
              <w:top w:w="40" w:type="dxa"/>
              <w:left w:w="20" w:type="dxa"/>
              <w:bottom w:w="40" w:type="dxa"/>
              <w:right w:w="0" w:type="dxa"/>
            </w:tcMar>
            <w:vAlign w:val="bottom"/>
          </w:tcPr>
          <w:p w14:paraId="3693F62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3693F62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62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630" w14:textId="77777777" w:rsidR="003734EC" w:rsidRDefault="000E364E">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bottom w:w="40" w:type="dxa"/>
              <w:right w:w="20" w:type="dxa"/>
            </w:tcMar>
            <w:vAlign w:val="bottom"/>
          </w:tcPr>
          <w:p w14:paraId="3693F63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32" w14:textId="77777777" w:rsidR="003734EC" w:rsidRDefault="003734EC">
            <w:pPr>
              <w:rPr>
                <w:rFonts w:ascii="宋体"/>
                <w:vanish/>
              </w:rPr>
            </w:pPr>
          </w:p>
        </w:tc>
        <w:tc>
          <w:tcPr>
            <w:tcW w:w="0" w:type="auto"/>
            <w:shd w:val="clear" w:color="auto" w:fill="auto"/>
            <w:vAlign w:val="center"/>
          </w:tcPr>
          <w:p w14:paraId="3693F633" w14:textId="77777777" w:rsidR="003734EC" w:rsidRDefault="003734EC">
            <w:pPr>
              <w:rPr>
                <w:rFonts w:ascii="宋体"/>
                <w:vanish/>
              </w:rPr>
            </w:pPr>
          </w:p>
        </w:tc>
        <w:tc>
          <w:tcPr>
            <w:tcW w:w="0" w:type="auto"/>
            <w:shd w:val="clear" w:color="auto" w:fill="auto"/>
            <w:vAlign w:val="center"/>
          </w:tcPr>
          <w:p w14:paraId="3693F634" w14:textId="77777777" w:rsidR="003734EC" w:rsidRDefault="003734EC">
            <w:pPr>
              <w:rPr>
                <w:rFonts w:ascii="宋体"/>
                <w:vanish/>
              </w:rPr>
            </w:pPr>
          </w:p>
        </w:tc>
        <w:tc>
          <w:tcPr>
            <w:tcW w:w="0" w:type="auto"/>
            <w:shd w:val="clear" w:color="auto" w:fill="auto"/>
            <w:vAlign w:val="center"/>
          </w:tcPr>
          <w:p w14:paraId="3693F635" w14:textId="77777777" w:rsidR="003734EC" w:rsidRDefault="003734EC">
            <w:pPr>
              <w:rPr>
                <w:rFonts w:ascii="宋体"/>
                <w:vanish/>
              </w:rPr>
            </w:pPr>
          </w:p>
        </w:tc>
        <w:tc>
          <w:tcPr>
            <w:tcW w:w="0" w:type="auto"/>
            <w:shd w:val="clear" w:color="auto" w:fill="auto"/>
            <w:vAlign w:val="center"/>
          </w:tcPr>
          <w:p w14:paraId="3693F636" w14:textId="77777777" w:rsidR="003734EC" w:rsidRDefault="003734EC">
            <w:pPr>
              <w:rPr>
                <w:rFonts w:ascii="宋体"/>
              </w:rPr>
            </w:pPr>
          </w:p>
        </w:tc>
        <w:tc>
          <w:tcPr>
            <w:tcW w:w="0" w:type="auto"/>
            <w:shd w:val="clear" w:color="auto" w:fill="auto"/>
            <w:vAlign w:val="center"/>
          </w:tcPr>
          <w:p w14:paraId="3693F637" w14:textId="77777777" w:rsidR="003734EC" w:rsidRDefault="003734EC">
            <w:pPr>
              <w:rPr>
                <w:rFonts w:ascii="宋体"/>
              </w:rPr>
            </w:pPr>
          </w:p>
        </w:tc>
        <w:tc>
          <w:tcPr>
            <w:tcW w:w="0" w:type="auto"/>
            <w:shd w:val="clear" w:color="auto" w:fill="auto"/>
            <w:vAlign w:val="center"/>
          </w:tcPr>
          <w:p w14:paraId="3693F638" w14:textId="77777777" w:rsidR="003734EC" w:rsidRDefault="003734EC">
            <w:pPr>
              <w:rPr>
                <w:rFonts w:ascii="宋体"/>
              </w:rPr>
            </w:pPr>
          </w:p>
        </w:tc>
        <w:tc>
          <w:tcPr>
            <w:tcW w:w="0" w:type="auto"/>
            <w:shd w:val="clear" w:color="auto" w:fill="auto"/>
            <w:vAlign w:val="center"/>
          </w:tcPr>
          <w:p w14:paraId="3693F639" w14:textId="77777777" w:rsidR="003734EC" w:rsidRDefault="003734EC">
            <w:pPr>
              <w:rPr>
                <w:rFonts w:ascii="宋体"/>
              </w:rPr>
            </w:pPr>
          </w:p>
        </w:tc>
        <w:tc>
          <w:tcPr>
            <w:tcW w:w="0" w:type="auto"/>
            <w:shd w:val="clear" w:color="auto" w:fill="auto"/>
            <w:vAlign w:val="center"/>
          </w:tcPr>
          <w:p w14:paraId="3693F63A" w14:textId="77777777" w:rsidR="003734EC" w:rsidRDefault="003734EC">
            <w:pPr>
              <w:rPr>
                <w:rFonts w:ascii="宋体"/>
              </w:rPr>
            </w:pPr>
          </w:p>
        </w:tc>
        <w:tc>
          <w:tcPr>
            <w:tcW w:w="0" w:type="auto"/>
            <w:shd w:val="clear" w:color="auto" w:fill="auto"/>
            <w:vAlign w:val="center"/>
          </w:tcPr>
          <w:p w14:paraId="3693F63B" w14:textId="77777777" w:rsidR="003734EC" w:rsidRDefault="003734EC">
            <w:pPr>
              <w:rPr>
                <w:rFonts w:ascii="宋体"/>
              </w:rPr>
            </w:pPr>
          </w:p>
        </w:tc>
      </w:tr>
      <w:tr w:rsidR="003734EC" w14:paraId="3693F64B" w14:textId="77777777">
        <w:trPr>
          <w:jc w:val="center"/>
          <w:hidden/>
        </w:trPr>
        <w:tc>
          <w:tcPr>
            <w:tcW w:w="0" w:type="auto"/>
            <w:gridSpan w:val="3"/>
            <w:shd w:val="clear" w:color="auto" w:fill="auto"/>
            <w:vAlign w:val="center"/>
          </w:tcPr>
          <w:p w14:paraId="3693F63D" w14:textId="77777777" w:rsidR="003734EC" w:rsidRDefault="003734EC">
            <w:pPr>
              <w:rPr>
                <w:rFonts w:ascii="宋体"/>
                <w:vanish/>
              </w:rPr>
            </w:pPr>
          </w:p>
        </w:tc>
        <w:tc>
          <w:tcPr>
            <w:tcW w:w="0" w:type="auto"/>
            <w:gridSpan w:val="3"/>
            <w:shd w:val="clear" w:color="auto" w:fill="auto"/>
            <w:vAlign w:val="center"/>
          </w:tcPr>
          <w:p w14:paraId="3693F63E" w14:textId="77777777" w:rsidR="003734EC" w:rsidRDefault="003734EC">
            <w:pPr>
              <w:rPr>
                <w:rFonts w:ascii="宋体"/>
                <w:vanish/>
              </w:rPr>
            </w:pPr>
          </w:p>
        </w:tc>
        <w:tc>
          <w:tcPr>
            <w:tcW w:w="0" w:type="auto"/>
            <w:gridSpan w:val="3"/>
            <w:shd w:val="clear" w:color="auto" w:fill="auto"/>
            <w:vAlign w:val="center"/>
          </w:tcPr>
          <w:p w14:paraId="3693F63F" w14:textId="77777777" w:rsidR="003734EC" w:rsidRDefault="003734EC">
            <w:pPr>
              <w:rPr>
                <w:rFonts w:ascii="宋体"/>
                <w:vanish/>
              </w:rPr>
            </w:pPr>
          </w:p>
        </w:tc>
        <w:tc>
          <w:tcPr>
            <w:tcW w:w="0" w:type="auto"/>
            <w:gridSpan w:val="3"/>
            <w:shd w:val="clear" w:color="auto" w:fill="auto"/>
            <w:vAlign w:val="center"/>
          </w:tcPr>
          <w:p w14:paraId="3693F640" w14:textId="77777777" w:rsidR="003734EC" w:rsidRDefault="003734EC">
            <w:pPr>
              <w:rPr>
                <w:rFonts w:ascii="宋体"/>
                <w:vanish/>
              </w:rPr>
            </w:pPr>
          </w:p>
        </w:tc>
        <w:tc>
          <w:tcPr>
            <w:tcW w:w="0" w:type="auto"/>
            <w:shd w:val="clear" w:color="auto" w:fill="auto"/>
            <w:vAlign w:val="center"/>
          </w:tcPr>
          <w:p w14:paraId="3693F641" w14:textId="77777777" w:rsidR="003734EC" w:rsidRDefault="003734EC">
            <w:pPr>
              <w:rPr>
                <w:rFonts w:ascii="宋体"/>
                <w:vanish/>
              </w:rPr>
            </w:pPr>
          </w:p>
        </w:tc>
        <w:tc>
          <w:tcPr>
            <w:tcW w:w="0" w:type="auto"/>
            <w:shd w:val="clear" w:color="auto" w:fill="auto"/>
            <w:vAlign w:val="center"/>
          </w:tcPr>
          <w:p w14:paraId="3693F642" w14:textId="77777777" w:rsidR="003734EC" w:rsidRDefault="003734EC">
            <w:pPr>
              <w:rPr>
                <w:rFonts w:ascii="宋体"/>
                <w:vanish/>
              </w:rPr>
            </w:pPr>
          </w:p>
        </w:tc>
        <w:tc>
          <w:tcPr>
            <w:tcW w:w="0" w:type="auto"/>
            <w:shd w:val="clear" w:color="auto" w:fill="auto"/>
            <w:vAlign w:val="center"/>
          </w:tcPr>
          <w:p w14:paraId="3693F643" w14:textId="77777777" w:rsidR="003734EC" w:rsidRDefault="003734EC">
            <w:pPr>
              <w:rPr>
                <w:rFonts w:ascii="宋体"/>
                <w:vanish/>
              </w:rPr>
            </w:pPr>
          </w:p>
        </w:tc>
        <w:tc>
          <w:tcPr>
            <w:tcW w:w="0" w:type="auto"/>
            <w:shd w:val="clear" w:color="auto" w:fill="auto"/>
            <w:vAlign w:val="center"/>
          </w:tcPr>
          <w:p w14:paraId="3693F644" w14:textId="77777777" w:rsidR="003734EC" w:rsidRDefault="003734EC">
            <w:pPr>
              <w:rPr>
                <w:rFonts w:ascii="宋体"/>
                <w:vanish/>
              </w:rPr>
            </w:pPr>
          </w:p>
        </w:tc>
        <w:tc>
          <w:tcPr>
            <w:tcW w:w="0" w:type="auto"/>
            <w:shd w:val="clear" w:color="auto" w:fill="auto"/>
            <w:vAlign w:val="center"/>
          </w:tcPr>
          <w:p w14:paraId="3693F645" w14:textId="77777777" w:rsidR="003734EC" w:rsidRDefault="003734EC">
            <w:pPr>
              <w:rPr>
                <w:rFonts w:ascii="宋体"/>
              </w:rPr>
            </w:pPr>
          </w:p>
        </w:tc>
        <w:tc>
          <w:tcPr>
            <w:tcW w:w="0" w:type="auto"/>
            <w:shd w:val="clear" w:color="auto" w:fill="auto"/>
            <w:vAlign w:val="center"/>
          </w:tcPr>
          <w:p w14:paraId="3693F646" w14:textId="77777777" w:rsidR="003734EC" w:rsidRDefault="003734EC">
            <w:pPr>
              <w:rPr>
                <w:rFonts w:ascii="宋体"/>
              </w:rPr>
            </w:pPr>
          </w:p>
        </w:tc>
        <w:tc>
          <w:tcPr>
            <w:tcW w:w="0" w:type="auto"/>
            <w:shd w:val="clear" w:color="auto" w:fill="auto"/>
            <w:vAlign w:val="center"/>
          </w:tcPr>
          <w:p w14:paraId="3693F647" w14:textId="77777777" w:rsidR="003734EC" w:rsidRDefault="003734EC">
            <w:pPr>
              <w:rPr>
                <w:rFonts w:ascii="宋体"/>
              </w:rPr>
            </w:pPr>
          </w:p>
        </w:tc>
        <w:tc>
          <w:tcPr>
            <w:tcW w:w="0" w:type="auto"/>
            <w:shd w:val="clear" w:color="auto" w:fill="auto"/>
            <w:vAlign w:val="center"/>
          </w:tcPr>
          <w:p w14:paraId="3693F648" w14:textId="77777777" w:rsidR="003734EC" w:rsidRDefault="003734EC">
            <w:pPr>
              <w:rPr>
                <w:rFonts w:ascii="宋体"/>
              </w:rPr>
            </w:pPr>
          </w:p>
        </w:tc>
        <w:tc>
          <w:tcPr>
            <w:tcW w:w="0" w:type="auto"/>
            <w:shd w:val="clear" w:color="auto" w:fill="auto"/>
            <w:vAlign w:val="center"/>
          </w:tcPr>
          <w:p w14:paraId="3693F649" w14:textId="77777777" w:rsidR="003734EC" w:rsidRDefault="003734EC">
            <w:pPr>
              <w:rPr>
                <w:rFonts w:ascii="宋体"/>
              </w:rPr>
            </w:pPr>
          </w:p>
        </w:tc>
        <w:tc>
          <w:tcPr>
            <w:tcW w:w="0" w:type="auto"/>
            <w:shd w:val="clear" w:color="auto" w:fill="auto"/>
            <w:vAlign w:val="center"/>
          </w:tcPr>
          <w:p w14:paraId="3693F64A" w14:textId="77777777" w:rsidR="003734EC" w:rsidRDefault="003734EC">
            <w:pPr>
              <w:rPr>
                <w:rFonts w:ascii="宋体"/>
              </w:rPr>
            </w:pPr>
          </w:p>
        </w:tc>
      </w:tr>
      <w:tr w:rsidR="003734EC" w14:paraId="3693F65A" w14:textId="77777777">
        <w:trPr>
          <w:jc w:val="center"/>
          <w:hidden/>
        </w:trPr>
        <w:tc>
          <w:tcPr>
            <w:tcW w:w="0" w:type="auto"/>
            <w:gridSpan w:val="3"/>
            <w:shd w:val="clear" w:color="auto" w:fill="auto"/>
            <w:vAlign w:val="center"/>
          </w:tcPr>
          <w:p w14:paraId="3693F64C" w14:textId="77777777" w:rsidR="003734EC" w:rsidRDefault="003734EC">
            <w:pPr>
              <w:rPr>
                <w:rFonts w:ascii="宋体"/>
                <w:vanish/>
              </w:rPr>
            </w:pPr>
          </w:p>
        </w:tc>
        <w:tc>
          <w:tcPr>
            <w:tcW w:w="0" w:type="auto"/>
            <w:gridSpan w:val="3"/>
            <w:shd w:val="clear" w:color="auto" w:fill="auto"/>
            <w:vAlign w:val="center"/>
          </w:tcPr>
          <w:p w14:paraId="3693F64D" w14:textId="77777777" w:rsidR="003734EC" w:rsidRDefault="003734EC">
            <w:pPr>
              <w:rPr>
                <w:rFonts w:ascii="宋体"/>
                <w:vanish/>
              </w:rPr>
            </w:pPr>
          </w:p>
        </w:tc>
        <w:tc>
          <w:tcPr>
            <w:tcW w:w="0" w:type="auto"/>
            <w:gridSpan w:val="3"/>
            <w:shd w:val="clear" w:color="auto" w:fill="auto"/>
            <w:vAlign w:val="center"/>
          </w:tcPr>
          <w:p w14:paraId="3693F64E" w14:textId="77777777" w:rsidR="003734EC" w:rsidRDefault="003734EC">
            <w:pPr>
              <w:rPr>
                <w:rFonts w:ascii="宋体"/>
                <w:vanish/>
              </w:rPr>
            </w:pPr>
          </w:p>
        </w:tc>
        <w:tc>
          <w:tcPr>
            <w:tcW w:w="0" w:type="auto"/>
            <w:gridSpan w:val="3"/>
            <w:shd w:val="clear" w:color="auto" w:fill="auto"/>
            <w:vAlign w:val="center"/>
          </w:tcPr>
          <w:p w14:paraId="3693F64F" w14:textId="77777777" w:rsidR="003734EC" w:rsidRDefault="003734EC">
            <w:pPr>
              <w:rPr>
                <w:rFonts w:ascii="宋体"/>
                <w:vanish/>
              </w:rPr>
            </w:pPr>
          </w:p>
        </w:tc>
        <w:tc>
          <w:tcPr>
            <w:tcW w:w="0" w:type="auto"/>
            <w:shd w:val="clear" w:color="auto" w:fill="auto"/>
            <w:vAlign w:val="center"/>
          </w:tcPr>
          <w:p w14:paraId="3693F650" w14:textId="77777777" w:rsidR="003734EC" w:rsidRDefault="003734EC">
            <w:pPr>
              <w:rPr>
                <w:rFonts w:ascii="宋体"/>
                <w:vanish/>
              </w:rPr>
            </w:pPr>
          </w:p>
        </w:tc>
        <w:tc>
          <w:tcPr>
            <w:tcW w:w="0" w:type="auto"/>
            <w:shd w:val="clear" w:color="auto" w:fill="auto"/>
            <w:vAlign w:val="center"/>
          </w:tcPr>
          <w:p w14:paraId="3693F651" w14:textId="77777777" w:rsidR="003734EC" w:rsidRDefault="003734EC">
            <w:pPr>
              <w:rPr>
                <w:rFonts w:ascii="宋体"/>
                <w:vanish/>
              </w:rPr>
            </w:pPr>
          </w:p>
        </w:tc>
        <w:tc>
          <w:tcPr>
            <w:tcW w:w="0" w:type="auto"/>
            <w:shd w:val="clear" w:color="auto" w:fill="auto"/>
            <w:vAlign w:val="center"/>
          </w:tcPr>
          <w:p w14:paraId="3693F652" w14:textId="77777777" w:rsidR="003734EC" w:rsidRDefault="003734EC">
            <w:pPr>
              <w:rPr>
                <w:rFonts w:ascii="宋体"/>
                <w:vanish/>
              </w:rPr>
            </w:pPr>
          </w:p>
        </w:tc>
        <w:tc>
          <w:tcPr>
            <w:tcW w:w="0" w:type="auto"/>
            <w:shd w:val="clear" w:color="auto" w:fill="auto"/>
            <w:vAlign w:val="center"/>
          </w:tcPr>
          <w:p w14:paraId="3693F653" w14:textId="77777777" w:rsidR="003734EC" w:rsidRDefault="003734EC">
            <w:pPr>
              <w:rPr>
                <w:rFonts w:ascii="宋体"/>
                <w:vanish/>
              </w:rPr>
            </w:pPr>
          </w:p>
        </w:tc>
        <w:tc>
          <w:tcPr>
            <w:tcW w:w="0" w:type="auto"/>
            <w:shd w:val="clear" w:color="auto" w:fill="auto"/>
            <w:vAlign w:val="center"/>
          </w:tcPr>
          <w:p w14:paraId="3693F654" w14:textId="77777777" w:rsidR="003734EC" w:rsidRDefault="003734EC">
            <w:pPr>
              <w:rPr>
                <w:rFonts w:ascii="宋体"/>
              </w:rPr>
            </w:pPr>
          </w:p>
        </w:tc>
        <w:tc>
          <w:tcPr>
            <w:tcW w:w="0" w:type="auto"/>
            <w:shd w:val="clear" w:color="auto" w:fill="auto"/>
            <w:vAlign w:val="center"/>
          </w:tcPr>
          <w:p w14:paraId="3693F655" w14:textId="77777777" w:rsidR="003734EC" w:rsidRDefault="003734EC">
            <w:pPr>
              <w:rPr>
                <w:rFonts w:ascii="宋体"/>
              </w:rPr>
            </w:pPr>
          </w:p>
        </w:tc>
        <w:tc>
          <w:tcPr>
            <w:tcW w:w="0" w:type="auto"/>
            <w:shd w:val="clear" w:color="auto" w:fill="auto"/>
            <w:vAlign w:val="center"/>
          </w:tcPr>
          <w:p w14:paraId="3693F656" w14:textId="77777777" w:rsidR="003734EC" w:rsidRDefault="003734EC">
            <w:pPr>
              <w:rPr>
                <w:rFonts w:ascii="宋体"/>
              </w:rPr>
            </w:pPr>
          </w:p>
        </w:tc>
        <w:tc>
          <w:tcPr>
            <w:tcW w:w="0" w:type="auto"/>
            <w:shd w:val="clear" w:color="auto" w:fill="auto"/>
            <w:vAlign w:val="center"/>
          </w:tcPr>
          <w:p w14:paraId="3693F657" w14:textId="77777777" w:rsidR="003734EC" w:rsidRDefault="003734EC">
            <w:pPr>
              <w:rPr>
                <w:rFonts w:ascii="宋体"/>
              </w:rPr>
            </w:pPr>
          </w:p>
        </w:tc>
        <w:tc>
          <w:tcPr>
            <w:tcW w:w="0" w:type="auto"/>
            <w:shd w:val="clear" w:color="auto" w:fill="auto"/>
            <w:vAlign w:val="center"/>
          </w:tcPr>
          <w:p w14:paraId="3693F658" w14:textId="77777777" w:rsidR="003734EC" w:rsidRDefault="003734EC">
            <w:pPr>
              <w:rPr>
                <w:rFonts w:ascii="宋体"/>
              </w:rPr>
            </w:pPr>
          </w:p>
        </w:tc>
        <w:tc>
          <w:tcPr>
            <w:tcW w:w="0" w:type="auto"/>
            <w:shd w:val="clear" w:color="auto" w:fill="auto"/>
            <w:vAlign w:val="center"/>
          </w:tcPr>
          <w:p w14:paraId="3693F659" w14:textId="77777777" w:rsidR="003734EC" w:rsidRDefault="003734EC">
            <w:pPr>
              <w:rPr>
                <w:rFonts w:ascii="宋体"/>
              </w:rPr>
            </w:pPr>
          </w:p>
        </w:tc>
      </w:tr>
      <w:tr w:rsidR="003734EC" w14:paraId="3693F66D" w14:textId="77777777">
        <w:trPr>
          <w:jc w:val="center"/>
        </w:trPr>
        <w:tc>
          <w:tcPr>
            <w:tcW w:w="0" w:type="auto"/>
            <w:gridSpan w:val="3"/>
            <w:shd w:val="clear" w:color="auto" w:fill="E2EFD9"/>
            <w:tcMar>
              <w:top w:w="40" w:type="dxa"/>
              <w:left w:w="20" w:type="dxa"/>
              <w:bottom w:w="40" w:type="dxa"/>
              <w:right w:w="20" w:type="dxa"/>
            </w:tcMar>
            <w:vAlign w:val="bottom"/>
          </w:tcPr>
          <w:p w14:paraId="3693F65B" w14:textId="77777777" w:rsidR="003734EC" w:rsidRDefault="000E364E">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65C"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65D" w14:textId="77777777" w:rsidR="003734EC" w:rsidRDefault="000E364E">
            <w:pPr>
              <w:jc w:val="right"/>
              <w:textAlignment w:val="bottom"/>
            </w:pPr>
            <w:r>
              <w:rPr>
                <w:rFonts w:ascii="sans-serif" w:eastAsia="sans-serif" w:hAnsi="sans-serif" w:cs="sans-serif"/>
                <w:color w:val="000000"/>
                <w:sz w:val="20"/>
                <w:szCs w:val="20"/>
              </w:rPr>
              <w:t>(311)</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65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65F"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660"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661" w14:textId="77777777" w:rsidR="003734EC" w:rsidRDefault="000E364E">
            <w:pPr>
              <w:jc w:val="right"/>
              <w:textAlignment w:val="bottom"/>
            </w:pPr>
            <w:r>
              <w:rPr>
                <w:rFonts w:ascii="sans-serif" w:eastAsia="sans-serif" w:hAnsi="sans-serif" w:cs="sans-serif"/>
                <w:color w:val="000000"/>
                <w:sz w:val="20"/>
                <w:szCs w:val="20"/>
              </w:rPr>
              <w:t>(269)</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66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63" w14:textId="77777777" w:rsidR="003734EC" w:rsidRDefault="003734EC">
            <w:pPr>
              <w:rPr>
                <w:rFonts w:ascii="宋体"/>
                <w:vanish/>
              </w:rPr>
            </w:pPr>
          </w:p>
        </w:tc>
        <w:tc>
          <w:tcPr>
            <w:tcW w:w="0" w:type="auto"/>
            <w:shd w:val="clear" w:color="auto" w:fill="auto"/>
            <w:vAlign w:val="center"/>
          </w:tcPr>
          <w:p w14:paraId="3693F664" w14:textId="77777777" w:rsidR="003734EC" w:rsidRDefault="003734EC">
            <w:pPr>
              <w:rPr>
                <w:rFonts w:ascii="宋体"/>
                <w:vanish/>
              </w:rPr>
            </w:pPr>
          </w:p>
        </w:tc>
        <w:tc>
          <w:tcPr>
            <w:tcW w:w="0" w:type="auto"/>
            <w:shd w:val="clear" w:color="auto" w:fill="auto"/>
            <w:vAlign w:val="center"/>
          </w:tcPr>
          <w:p w14:paraId="3693F665" w14:textId="77777777" w:rsidR="003734EC" w:rsidRDefault="003734EC">
            <w:pPr>
              <w:rPr>
                <w:rFonts w:ascii="宋体"/>
                <w:vanish/>
              </w:rPr>
            </w:pPr>
          </w:p>
        </w:tc>
        <w:tc>
          <w:tcPr>
            <w:tcW w:w="0" w:type="auto"/>
            <w:shd w:val="clear" w:color="auto" w:fill="auto"/>
            <w:vAlign w:val="center"/>
          </w:tcPr>
          <w:p w14:paraId="3693F666" w14:textId="77777777" w:rsidR="003734EC" w:rsidRDefault="003734EC">
            <w:pPr>
              <w:rPr>
                <w:rFonts w:ascii="宋体"/>
                <w:vanish/>
              </w:rPr>
            </w:pPr>
          </w:p>
        </w:tc>
        <w:tc>
          <w:tcPr>
            <w:tcW w:w="0" w:type="auto"/>
            <w:shd w:val="clear" w:color="auto" w:fill="auto"/>
            <w:vAlign w:val="center"/>
          </w:tcPr>
          <w:p w14:paraId="3693F667" w14:textId="77777777" w:rsidR="003734EC" w:rsidRDefault="003734EC">
            <w:pPr>
              <w:rPr>
                <w:rFonts w:ascii="宋体"/>
              </w:rPr>
            </w:pPr>
          </w:p>
        </w:tc>
        <w:tc>
          <w:tcPr>
            <w:tcW w:w="0" w:type="auto"/>
            <w:shd w:val="clear" w:color="auto" w:fill="auto"/>
            <w:vAlign w:val="center"/>
          </w:tcPr>
          <w:p w14:paraId="3693F668" w14:textId="77777777" w:rsidR="003734EC" w:rsidRDefault="003734EC">
            <w:pPr>
              <w:rPr>
                <w:rFonts w:ascii="宋体"/>
              </w:rPr>
            </w:pPr>
          </w:p>
        </w:tc>
        <w:tc>
          <w:tcPr>
            <w:tcW w:w="0" w:type="auto"/>
            <w:shd w:val="clear" w:color="auto" w:fill="auto"/>
            <w:vAlign w:val="center"/>
          </w:tcPr>
          <w:p w14:paraId="3693F669" w14:textId="77777777" w:rsidR="003734EC" w:rsidRDefault="003734EC">
            <w:pPr>
              <w:rPr>
                <w:rFonts w:ascii="宋体"/>
              </w:rPr>
            </w:pPr>
          </w:p>
        </w:tc>
        <w:tc>
          <w:tcPr>
            <w:tcW w:w="0" w:type="auto"/>
            <w:shd w:val="clear" w:color="auto" w:fill="auto"/>
            <w:vAlign w:val="center"/>
          </w:tcPr>
          <w:p w14:paraId="3693F66A" w14:textId="77777777" w:rsidR="003734EC" w:rsidRDefault="003734EC">
            <w:pPr>
              <w:rPr>
                <w:rFonts w:ascii="宋体"/>
              </w:rPr>
            </w:pPr>
          </w:p>
        </w:tc>
        <w:tc>
          <w:tcPr>
            <w:tcW w:w="0" w:type="auto"/>
            <w:shd w:val="clear" w:color="auto" w:fill="auto"/>
            <w:vAlign w:val="center"/>
          </w:tcPr>
          <w:p w14:paraId="3693F66B" w14:textId="77777777" w:rsidR="003734EC" w:rsidRDefault="003734EC">
            <w:pPr>
              <w:rPr>
                <w:rFonts w:ascii="宋体"/>
              </w:rPr>
            </w:pPr>
          </w:p>
        </w:tc>
        <w:tc>
          <w:tcPr>
            <w:tcW w:w="0" w:type="auto"/>
            <w:shd w:val="clear" w:color="auto" w:fill="auto"/>
            <w:vAlign w:val="center"/>
          </w:tcPr>
          <w:p w14:paraId="3693F66C" w14:textId="77777777" w:rsidR="003734EC" w:rsidRDefault="003734EC">
            <w:pPr>
              <w:rPr>
                <w:rFonts w:ascii="宋体"/>
              </w:rPr>
            </w:pPr>
          </w:p>
        </w:tc>
      </w:tr>
    </w:tbl>
    <w:p w14:paraId="3693F66E" w14:textId="77777777" w:rsidR="003734EC" w:rsidRDefault="003734EC">
      <w:pPr>
        <w:spacing w:before="360" w:after="360"/>
        <w:jc w:val="both"/>
      </w:pPr>
    </w:p>
    <w:p w14:paraId="3693F66F" w14:textId="77777777" w:rsidR="003734EC" w:rsidRDefault="000E364E">
      <w:pPr>
        <w:spacing w:after="180"/>
        <w:jc w:val="center"/>
      </w:pPr>
      <w:r>
        <w:rPr>
          <w:rFonts w:ascii="sans-serif" w:eastAsia="sans-serif" w:hAnsi="sans-serif" w:cs="sans-serif"/>
          <w:color w:val="000000"/>
          <w:sz w:val="20"/>
          <w:szCs w:val="20"/>
        </w:rPr>
        <w:t>19</w:t>
      </w:r>
    </w:p>
    <w:p w14:paraId="3693F670" w14:textId="77777777" w:rsidR="003734EC" w:rsidRDefault="000E364E">
      <w:r>
        <w:pict w14:anchorId="3693FF5C">
          <v:rect id="_x0000_i1042" style="width:415.3pt;height:1.5pt" o:hralign="center" o:hrstd="t" o:hr="t" fillcolor="#a0a0a0" stroked="f"/>
        </w:pict>
      </w:r>
    </w:p>
    <w:p w14:paraId="3693F671" w14:textId="77777777" w:rsidR="003734EC" w:rsidRDefault="000E364E">
      <w:pPr>
        <w:jc w:val="center"/>
      </w:pPr>
      <w:r>
        <w:rPr>
          <w:rFonts w:ascii="sans-serif" w:eastAsia="sans-serif" w:hAnsi="sans-serif" w:cs="sans-serif"/>
          <w:b/>
          <w:bCs/>
          <w:color w:val="000000"/>
          <w:sz w:val="20"/>
          <w:szCs w:val="20"/>
        </w:rPr>
        <w:t>NVIDIA CORPORATION AND SUBSIDIARIES</w:t>
      </w:r>
    </w:p>
    <w:p w14:paraId="3693F672" w14:textId="77777777" w:rsidR="003734EC" w:rsidRDefault="000E364E">
      <w:pPr>
        <w:jc w:val="center"/>
      </w:pPr>
      <w:r>
        <w:rPr>
          <w:rFonts w:ascii="sans-serif" w:eastAsia="sans-serif" w:hAnsi="sans-serif" w:cs="sans-serif"/>
          <w:b/>
          <w:bCs/>
          <w:color w:val="000000"/>
          <w:sz w:val="20"/>
          <w:szCs w:val="20"/>
        </w:rPr>
        <w:t>NOTES TO CONDENSED CONSOLIDATED FINANCIAL STATEMENTS (Continued)</w:t>
      </w:r>
    </w:p>
    <w:p w14:paraId="3693F673" w14:textId="77777777" w:rsidR="003734EC" w:rsidRDefault="000E364E">
      <w:pPr>
        <w:jc w:val="center"/>
      </w:pPr>
      <w:r>
        <w:rPr>
          <w:rFonts w:ascii="sans-serif" w:eastAsia="sans-serif" w:hAnsi="sans-serif" w:cs="sans-serif"/>
          <w:b/>
          <w:bCs/>
          <w:color w:val="000000"/>
          <w:sz w:val="20"/>
          <w:szCs w:val="20"/>
        </w:rPr>
        <w:t>(Unaudited)</w:t>
      </w:r>
    </w:p>
    <w:p w14:paraId="3693F674" w14:textId="77777777" w:rsidR="003734EC" w:rsidRDefault="003734EC">
      <w:pPr>
        <w:spacing w:after="180"/>
        <w:jc w:val="both"/>
      </w:pPr>
    </w:p>
    <w:p w14:paraId="3693F675" w14:textId="77777777" w:rsidR="003734EC" w:rsidRDefault="003734EC">
      <w:pPr>
        <w:spacing w:after="180"/>
        <w:jc w:val="both"/>
      </w:pPr>
    </w:p>
    <w:p w14:paraId="3693F676" w14:textId="77777777" w:rsidR="003734EC" w:rsidRDefault="000E364E">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w:t>
      </w:r>
      <w:r>
        <w:rPr>
          <w:rFonts w:ascii="sans-serif" w:eastAsia="sans-serif" w:hAnsi="sans-serif" w:cs="sans-serif"/>
          <w:color w:val="000000"/>
          <w:sz w:val="20"/>
          <w:szCs w:val="20"/>
        </w:rPr>
        <w:t xml:space="preserv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51"/>
        <w:gridCol w:w="4931"/>
        <w:gridCol w:w="51"/>
        <w:gridCol w:w="137"/>
        <w:gridCol w:w="1211"/>
        <w:gridCol w:w="81"/>
        <w:gridCol w:w="36"/>
        <w:gridCol w:w="36"/>
        <w:gridCol w:w="36"/>
        <w:gridCol w:w="137"/>
        <w:gridCol w:w="1188"/>
        <w:gridCol w:w="81"/>
        <w:gridCol w:w="36"/>
        <w:gridCol w:w="36"/>
        <w:gridCol w:w="36"/>
        <w:gridCol w:w="36"/>
        <w:gridCol w:w="36"/>
        <w:gridCol w:w="36"/>
        <w:gridCol w:w="36"/>
        <w:gridCol w:w="36"/>
        <w:gridCol w:w="36"/>
        <w:gridCol w:w="36"/>
      </w:tblGrid>
      <w:tr w:rsidR="003734EC" w14:paraId="3693F687" w14:textId="77777777">
        <w:trPr>
          <w:gridAfter w:val="6"/>
        </w:trPr>
        <w:tc>
          <w:tcPr>
            <w:tcW w:w="50" w:type="pct"/>
            <w:shd w:val="clear" w:color="auto" w:fill="auto"/>
            <w:vAlign w:val="center"/>
          </w:tcPr>
          <w:p w14:paraId="3693F677" w14:textId="77777777" w:rsidR="003734EC" w:rsidRDefault="003734EC">
            <w:pPr>
              <w:rPr>
                <w:rFonts w:ascii="宋体"/>
              </w:rPr>
            </w:pPr>
          </w:p>
        </w:tc>
        <w:tc>
          <w:tcPr>
            <w:tcW w:w="3109" w:type="pct"/>
            <w:shd w:val="clear" w:color="auto" w:fill="auto"/>
            <w:vAlign w:val="center"/>
          </w:tcPr>
          <w:p w14:paraId="3693F678" w14:textId="77777777" w:rsidR="003734EC" w:rsidRDefault="003734EC">
            <w:pPr>
              <w:rPr>
                <w:rFonts w:ascii="宋体"/>
              </w:rPr>
            </w:pPr>
          </w:p>
        </w:tc>
        <w:tc>
          <w:tcPr>
            <w:tcW w:w="50" w:type="pct"/>
            <w:shd w:val="clear" w:color="auto" w:fill="auto"/>
            <w:vAlign w:val="center"/>
          </w:tcPr>
          <w:p w14:paraId="3693F679" w14:textId="77777777" w:rsidR="003734EC" w:rsidRDefault="003734EC">
            <w:pPr>
              <w:rPr>
                <w:rFonts w:ascii="宋体"/>
              </w:rPr>
            </w:pPr>
          </w:p>
        </w:tc>
        <w:tc>
          <w:tcPr>
            <w:tcW w:w="50" w:type="pct"/>
            <w:shd w:val="clear" w:color="auto" w:fill="auto"/>
            <w:vAlign w:val="center"/>
          </w:tcPr>
          <w:p w14:paraId="3693F67A" w14:textId="77777777" w:rsidR="003734EC" w:rsidRDefault="003734EC">
            <w:pPr>
              <w:rPr>
                <w:rFonts w:ascii="宋体"/>
              </w:rPr>
            </w:pPr>
          </w:p>
        </w:tc>
        <w:tc>
          <w:tcPr>
            <w:tcW w:w="777" w:type="pct"/>
            <w:shd w:val="clear" w:color="auto" w:fill="auto"/>
            <w:vAlign w:val="center"/>
          </w:tcPr>
          <w:p w14:paraId="3693F67B" w14:textId="77777777" w:rsidR="003734EC" w:rsidRDefault="003734EC">
            <w:pPr>
              <w:rPr>
                <w:rFonts w:ascii="宋体"/>
              </w:rPr>
            </w:pPr>
          </w:p>
        </w:tc>
        <w:tc>
          <w:tcPr>
            <w:tcW w:w="50" w:type="pct"/>
            <w:shd w:val="clear" w:color="auto" w:fill="auto"/>
            <w:vAlign w:val="center"/>
          </w:tcPr>
          <w:p w14:paraId="3693F67C" w14:textId="77777777" w:rsidR="003734EC" w:rsidRDefault="003734EC">
            <w:pPr>
              <w:rPr>
                <w:rFonts w:ascii="宋体"/>
              </w:rPr>
            </w:pPr>
          </w:p>
        </w:tc>
        <w:tc>
          <w:tcPr>
            <w:tcW w:w="5" w:type="pct"/>
            <w:shd w:val="clear" w:color="auto" w:fill="auto"/>
            <w:vAlign w:val="center"/>
          </w:tcPr>
          <w:p w14:paraId="3693F67D" w14:textId="77777777" w:rsidR="003734EC" w:rsidRDefault="003734EC">
            <w:pPr>
              <w:rPr>
                <w:rFonts w:ascii="宋体"/>
              </w:rPr>
            </w:pPr>
          </w:p>
        </w:tc>
        <w:tc>
          <w:tcPr>
            <w:tcW w:w="26" w:type="pct"/>
            <w:shd w:val="clear" w:color="auto" w:fill="auto"/>
            <w:vAlign w:val="center"/>
          </w:tcPr>
          <w:p w14:paraId="3693F67E" w14:textId="77777777" w:rsidR="003734EC" w:rsidRDefault="003734EC">
            <w:pPr>
              <w:rPr>
                <w:rFonts w:ascii="宋体"/>
              </w:rPr>
            </w:pPr>
          </w:p>
        </w:tc>
        <w:tc>
          <w:tcPr>
            <w:tcW w:w="5" w:type="pct"/>
            <w:shd w:val="clear" w:color="auto" w:fill="auto"/>
            <w:vAlign w:val="center"/>
          </w:tcPr>
          <w:p w14:paraId="3693F67F" w14:textId="77777777" w:rsidR="003734EC" w:rsidRDefault="003734EC">
            <w:pPr>
              <w:rPr>
                <w:rFonts w:ascii="宋体"/>
              </w:rPr>
            </w:pPr>
          </w:p>
        </w:tc>
        <w:tc>
          <w:tcPr>
            <w:tcW w:w="50" w:type="pct"/>
            <w:shd w:val="clear" w:color="auto" w:fill="auto"/>
            <w:vAlign w:val="center"/>
          </w:tcPr>
          <w:p w14:paraId="3693F680" w14:textId="77777777" w:rsidR="003734EC" w:rsidRDefault="003734EC">
            <w:pPr>
              <w:rPr>
                <w:rFonts w:ascii="宋体"/>
              </w:rPr>
            </w:pPr>
          </w:p>
        </w:tc>
        <w:tc>
          <w:tcPr>
            <w:tcW w:w="777" w:type="pct"/>
            <w:shd w:val="clear" w:color="auto" w:fill="auto"/>
            <w:vAlign w:val="center"/>
          </w:tcPr>
          <w:p w14:paraId="3693F681" w14:textId="77777777" w:rsidR="003734EC" w:rsidRDefault="003734EC">
            <w:pPr>
              <w:rPr>
                <w:rFonts w:ascii="宋体"/>
              </w:rPr>
            </w:pPr>
          </w:p>
        </w:tc>
        <w:tc>
          <w:tcPr>
            <w:tcW w:w="50" w:type="pct"/>
            <w:shd w:val="clear" w:color="auto" w:fill="auto"/>
            <w:vAlign w:val="center"/>
          </w:tcPr>
          <w:p w14:paraId="3693F682" w14:textId="77777777" w:rsidR="003734EC" w:rsidRDefault="003734EC">
            <w:pPr>
              <w:rPr>
                <w:rFonts w:ascii="宋体"/>
              </w:rPr>
            </w:pPr>
          </w:p>
        </w:tc>
        <w:tc>
          <w:tcPr>
            <w:tcW w:w="0" w:type="auto"/>
            <w:shd w:val="clear" w:color="auto" w:fill="auto"/>
            <w:vAlign w:val="center"/>
          </w:tcPr>
          <w:p w14:paraId="3693F683" w14:textId="77777777" w:rsidR="003734EC" w:rsidRDefault="003734EC">
            <w:pPr>
              <w:rPr>
                <w:rFonts w:ascii="宋体"/>
                <w:vanish/>
              </w:rPr>
            </w:pPr>
          </w:p>
        </w:tc>
        <w:tc>
          <w:tcPr>
            <w:tcW w:w="0" w:type="auto"/>
            <w:shd w:val="clear" w:color="auto" w:fill="auto"/>
            <w:vAlign w:val="center"/>
          </w:tcPr>
          <w:p w14:paraId="3693F684" w14:textId="77777777" w:rsidR="003734EC" w:rsidRDefault="003734EC">
            <w:pPr>
              <w:rPr>
                <w:rFonts w:ascii="宋体"/>
                <w:vanish/>
              </w:rPr>
            </w:pPr>
          </w:p>
        </w:tc>
        <w:tc>
          <w:tcPr>
            <w:tcW w:w="0" w:type="auto"/>
            <w:shd w:val="clear" w:color="auto" w:fill="auto"/>
            <w:vAlign w:val="center"/>
          </w:tcPr>
          <w:p w14:paraId="3693F685" w14:textId="77777777" w:rsidR="003734EC" w:rsidRDefault="003734EC">
            <w:pPr>
              <w:rPr>
                <w:rFonts w:ascii="宋体"/>
                <w:vanish/>
              </w:rPr>
            </w:pPr>
          </w:p>
        </w:tc>
        <w:tc>
          <w:tcPr>
            <w:tcW w:w="0" w:type="auto"/>
            <w:shd w:val="clear" w:color="auto" w:fill="auto"/>
            <w:vAlign w:val="center"/>
          </w:tcPr>
          <w:p w14:paraId="3693F686" w14:textId="77777777" w:rsidR="003734EC" w:rsidRDefault="003734EC">
            <w:pPr>
              <w:rPr>
                <w:rFonts w:ascii="宋体"/>
                <w:vanish/>
              </w:rPr>
            </w:pPr>
          </w:p>
        </w:tc>
      </w:tr>
      <w:tr w:rsidR="003734EC" w14:paraId="3693F690" w14:textId="77777777">
        <w:tc>
          <w:tcPr>
            <w:tcW w:w="0" w:type="auto"/>
            <w:gridSpan w:val="3"/>
            <w:shd w:val="clear" w:color="auto" w:fill="auto"/>
            <w:tcMar>
              <w:top w:w="40" w:type="dxa"/>
              <w:left w:w="20" w:type="dxa"/>
              <w:bottom w:w="40" w:type="dxa"/>
              <w:right w:w="20" w:type="dxa"/>
            </w:tcMar>
            <w:vAlign w:val="bottom"/>
          </w:tcPr>
          <w:p w14:paraId="3693F688"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689"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68A" w14:textId="77777777" w:rsidR="003734EC" w:rsidRDefault="003734EC">
            <w:pPr>
              <w:rPr>
                <w:rFonts w:ascii="宋体"/>
                <w:vanish/>
              </w:rPr>
            </w:pPr>
          </w:p>
        </w:tc>
        <w:tc>
          <w:tcPr>
            <w:tcW w:w="0" w:type="auto"/>
            <w:shd w:val="clear" w:color="auto" w:fill="auto"/>
            <w:vAlign w:val="center"/>
          </w:tcPr>
          <w:p w14:paraId="3693F68B" w14:textId="77777777" w:rsidR="003734EC" w:rsidRDefault="003734EC">
            <w:pPr>
              <w:rPr>
                <w:rFonts w:ascii="宋体"/>
                <w:vanish/>
              </w:rPr>
            </w:pPr>
          </w:p>
        </w:tc>
        <w:tc>
          <w:tcPr>
            <w:tcW w:w="0" w:type="auto"/>
            <w:shd w:val="clear" w:color="auto" w:fill="auto"/>
            <w:vAlign w:val="center"/>
          </w:tcPr>
          <w:p w14:paraId="3693F68C" w14:textId="77777777" w:rsidR="003734EC" w:rsidRDefault="003734EC">
            <w:pPr>
              <w:rPr>
                <w:rFonts w:ascii="宋体"/>
                <w:vanish/>
              </w:rPr>
            </w:pPr>
          </w:p>
        </w:tc>
        <w:tc>
          <w:tcPr>
            <w:tcW w:w="0" w:type="auto"/>
            <w:shd w:val="clear" w:color="auto" w:fill="auto"/>
            <w:vAlign w:val="center"/>
          </w:tcPr>
          <w:p w14:paraId="3693F68D" w14:textId="77777777" w:rsidR="003734EC" w:rsidRDefault="003734EC">
            <w:pPr>
              <w:rPr>
                <w:rFonts w:ascii="宋体"/>
                <w:vanish/>
              </w:rPr>
            </w:pPr>
          </w:p>
        </w:tc>
        <w:tc>
          <w:tcPr>
            <w:tcW w:w="0" w:type="auto"/>
            <w:gridSpan w:val="3"/>
            <w:shd w:val="clear" w:color="auto" w:fill="auto"/>
            <w:vAlign w:val="center"/>
          </w:tcPr>
          <w:p w14:paraId="3693F68E" w14:textId="77777777" w:rsidR="003734EC" w:rsidRDefault="003734EC">
            <w:pPr>
              <w:rPr>
                <w:rFonts w:ascii="宋体"/>
                <w:vanish/>
              </w:rPr>
            </w:pPr>
          </w:p>
        </w:tc>
        <w:tc>
          <w:tcPr>
            <w:tcW w:w="0" w:type="auto"/>
            <w:gridSpan w:val="3"/>
            <w:shd w:val="clear" w:color="auto" w:fill="auto"/>
            <w:vAlign w:val="center"/>
          </w:tcPr>
          <w:p w14:paraId="3693F68F" w14:textId="77777777" w:rsidR="003734EC" w:rsidRDefault="003734EC">
            <w:pPr>
              <w:rPr>
                <w:rFonts w:ascii="宋体"/>
                <w:vanish/>
              </w:rPr>
            </w:pPr>
          </w:p>
        </w:tc>
      </w:tr>
      <w:tr w:rsidR="003734EC" w14:paraId="3693F69F" w14:textId="77777777">
        <w:tc>
          <w:tcPr>
            <w:tcW w:w="0" w:type="auto"/>
            <w:gridSpan w:val="3"/>
            <w:shd w:val="clear" w:color="auto" w:fill="auto"/>
            <w:tcMar>
              <w:left w:w="20" w:type="dxa"/>
              <w:right w:w="20" w:type="dxa"/>
            </w:tcMar>
            <w:vAlign w:val="bottom"/>
          </w:tcPr>
          <w:p w14:paraId="3693F691"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692"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tcBorders>
              <w:top w:val="single" w:sz="8" w:space="0" w:color="000000"/>
            </w:tcBorders>
            <w:shd w:val="clear" w:color="auto" w:fill="auto"/>
            <w:tcMar>
              <w:left w:w="20" w:type="dxa"/>
              <w:right w:w="20" w:type="dxa"/>
            </w:tcMar>
            <w:vAlign w:val="bottom"/>
          </w:tcPr>
          <w:p w14:paraId="3693F693"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694" w14:textId="77777777" w:rsidR="003734EC" w:rsidRDefault="000E364E">
            <w:pPr>
              <w:jc w:val="center"/>
              <w:textAlignment w:val="bottom"/>
            </w:pPr>
            <w:r>
              <w:rPr>
                <w:rFonts w:ascii="sans-serif" w:eastAsia="sans-serif" w:hAnsi="sans-serif" w:cs="sans-serif"/>
                <w:b/>
                <w:bCs/>
                <w:color w:val="000000"/>
                <w:sz w:val="20"/>
                <w:szCs w:val="20"/>
              </w:rPr>
              <w:t>April 28,</w:t>
            </w:r>
          </w:p>
        </w:tc>
        <w:tc>
          <w:tcPr>
            <w:tcW w:w="0" w:type="auto"/>
            <w:shd w:val="clear" w:color="auto" w:fill="auto"/>
            <w:vAlign w:val="center"/>
          </w:tcPr>
          <w:p w14:paraId="3693F695" w14:textId="77777777" w:rsidR="003734EC" w:rsidRDefault="003734EC">
            <w:pPr>
              <w:rPr>
                <w:rFonts w:ascii="宋体"/>
                <w:vanish/>
              </w:rPr>
            </w:pPr>
          </w:p>
        </w:tc>
        <w:tc>
          <w:tcPr>
            <w:tcW w:w="0" w:type="auto"/>
            <w:shd w:val="clear" w:color="auto" w:fill="auto"/>
            <w:vAlign w:val="center"/>
          </w:tcPr>
          <w:p w14:paraId="3693F696" w14:textId="77777777" w:rsidR="003734EC" w:rsidRDefault="003734EC">
            <w:pPr>
              <w:rPr>
                <w:rFonts w:ascii="宋体"/>
                <w:vanish/>
              </w:rPr>
            </w:pPr>
          </w:p>
        </w:tc>
        <w:tc>
          <w:tcPr>
            <w:tcW w:w="0" w:type="auto"/>
            <w:shd w:val="clear" w:color="auto" w:fill="auto"/>
            <w:vAlign w:val="center"/>
          </w:tcPr>
          <w:p w14:paraId="3693F697" w14:textId="77777777" w:rsidR="003734EC" w:rsidRDefault="003734EC">
            <w:pPr>
              <w:rPr>
                <w:rFonts w:ascii="宋体"/>
                <w:vanish/>
              </w:rPr>
            </w:pPr>
          </w:p>
        </w:tc>
        <w:tc>
          <w:tcPr>
            <w:tcW w:w="0" w:type="auto"/>
            <w:shd w:val="clear" w:color="auto" w:fill="auto"/>
            <w:vAlign w:val="center"/>
          </w:tcPr>
          <w:p w14:paraId="3693F698" w14:textId="77777777" w:rsidR="003734EC" w:rsidRDefault="003734EC">
            <w:pPr>
              <w:rPr>
                <w:rFonts w:ascii="宋体"/>
                <w:vanish/>
              </w:rPr>
            </w:pPr>
          </w:p>
        </w:tc>
        <w:tc>
          <w:tcPr>
            <w:tcW w:w="0" w:type="auto"/>
            <w:shd w:val="clear" w:color="auto" w:fill="auto"/>
            <w:vAlign w:val="center"/>
          </w:tcPr>
          <w:p w14:paraId="3693F699" w14:textId="77777777" w:rsidR="003734EC" w:rsidRDefault="003734EC">
            <w:pPr>
              <w:rPr>
                <w:rFonts w:ascii="宋体"/>
              </w:rPr>
            </w:pPr>
          </w:p>
        </w:tc>
        <w:tc>
          <w:tcPr>
            <w:tcW w:w="0" w:type="auto"/>
            <w:shd w:val="clear" w:color="auto" w:fill="auto"/>
            <w:vAlign w:val="center"/>
          </w:tcPr>
          <w:p w14:paraId="3693F69A" w14:textId="77777777" w:rsidR="003734EC" w:rsidRDefault="003734EC">
            <w:pPr>
              <w:rPr>
                <w:rFonts w:ascii="宋体"/>
              </w:rPr>
            </w:pPr>
          </w:p>
        </w:tc>
        <w:tc>
          <w:tcPr>
            <w:tcW w:w="0" w:type="auto"/>
            <w:shd w:val="clear" w:color="auto" w:fill="auto"/>
            <w:vAlign w:val="center"/>
          </w:tcPr>
          <w:p w14:paraId="3693F69B" w14:textId="77777777" w:rsidR="003734EC" w:rsidRDefault="003734EC">
            <w:pPr>
              <w:rPr>
                <w:rFonts w:ascii="宋体"/>
              </w:rPr>
            </w:pPr>
          </w:p>
        </w:tc>
        <w:tc>
          <w:tcPr>
            <w:tcW w:w="0" w:type="auto"/>
            <w:shd w:val="clear" w:color="auto" w:fill="auto"/>
            <w:vAlign w:val="center"/>
          </w:tcPr>
          <w:p w14:paraId="3693F69C" w14:textId="77777777" w:rsidR="003734EC" w:rsidRDefault="003734EC">
            <w:pPr>
              <w:rPr>
                <w:rFonts w:ascii="宋体"/>
              </w:rPr>
            </w:pPr>
          </w:p>
        </w:tc>
        <w:tc>
          <w:tcPr>
            <w:tcW w:w="0" w:type="auto"/>
            <w:shd w:val="clear" w:color="auto" w:fill="auto"/>
            <w:vAlign w:val="center"/>
          </w:tcPr>
          <w:p w14:paraId="3693F69D" w14:textId="77777777" w:rsidR="003734EC" w:rsidRDefault="003734EC">
            <w:pPr>
              <w:rPr>
                <w:rFonts w:ascii="宋体"/>
              </w:rPr>
            </w:pPr>
          </w:p>
        </w:tc>
        <w:tc>
          <w:tcPr>
            <w:tcW w:w="0" w:type="auto"/>
            <w:shd w:val="clear" w:color="auto" w:fill="auto"/>
            <w:vAlign w:val="center"/>
          </w:tcPr>
          <w:p w14:paraId="3693F69E" w14:textId="77777777" w:rsidR="003734EC" w:rsidRDefault="003734EC">
            <w:pPr>
              <w:rPr>
                <w:rFonts w:ascii="宋体"/>
              </w:rPr>
            </w:pPr>
          </w:p>
        </w:tc>
      </w:tr>
      <w:tr w:rsidR="003734EC" w14:paraId="3693F6AE" w14:textId="77777777">
        <w:tc>
          <w:tcPr>
            <w:tcW w:w="0" w:type="auto"/>
            <w:gridSpan w:val="3"/>
            <w:shd w:val="clear" w:color="auto" w:fill="auto"/>
            <w:tcMar>
              <w:top w:w="40" w:type="dxa"/>
              <w:left w:w="20" w:type="dxa"/>
              <w:bottom w:w="40" w:type="dxa"/>
              <w:right w:w="20" w:type="dxa"/>
            </w:tcMar>
            <w:vAlign w:val="bottom"/>
          </w:tcPr>
          <w:p w14:paraId="3693F6A0"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6A1"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F6A2"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6A3" w14:textId="77777777" w:rsidR="003734EC" w:rsidRDefault="000E364E">
            <w:pPr>
              <w:jc w:val="center"/>
              <w:textAlignment w:val="bottom"/>
            </w:pPr>
            <w:r>
              <w:rPr>
                <w:rFonts w:ascii="sans-serif" w:eastAsia="sans-serif" w:hAnsi="sans-serif" w:cs="sans-serif"/>
                <w:b/>
                <w:bCs/>
                <w:color w:val="000000"/>
                <w:sz w:val="20"/>
                <w:szCs w:val="20"/>
              </w:rPr>
              <w:t>2019</w:t>
            </w:r>
          </w:p>
        </w:tc>
        <w:tc>
          <w:tcPr>
            <w:tcW w:w="0" w:type="auto"/>
            <w:shd w:val="clear" w:color="auto" w:fill="auto"/>
            <w:vAlign w:val="center"/>
          </w:tcPr>
          <w:p w14:paraId="3693F6A4" w14:textId="77777777" w:rsidR="003734EC" w:rsidRDefault="003734EC">
            <w:pPr>
              <w:rPr>
                <w:rFonts w:ascii="宋体"/>
                <w:vanish/>
              </w:rPr>
            </w:pPr>
          </w:p>
        </w:tc>
        <w:tc>
          <w:tcPr>
            <w:tcW w:w="0" w:type="auto"/>
            <w:shd w:val="clear" w:color="auto" w:fill="auto"/>
            <w:vAlign w:val="center"/>
          </w:tcPr>
          <w:p w14:paraId="3693F6A5" w14:textId="77777777" w:rsidR="003734EC" w:rsidRDefault="003734EC">
            <w:pPr>
              <w:rPr>
                <w:rFonts w:ascii="宋体"/>
                <w:vanish/>
              </w:rPr>
            </w:pPr>
          </w:p>
        </w:tc>
        <w:tc>
          <w:tcPr>
            <w:tcW w:w="0" w:type="auto"/>
            <w:shd w:val="clear" w:color="auto" w:fill="auto"/>
            <w:vAlign w:val="center"/>
          </w:tcPr>
          <w:p w14:paraId="3693F6A6" w14:textId="77777777" w:rsidR="003734EC" w:rsidRDefault="003734EC">
            <w:pPr>
              <w:rPr>
                <w:rFonts w:ascii="宋体"/>
                <w:vanish/>
              </w:rPr>
            </w:pPr>
          </w:p>
        </w:tc>
        <w:tc>
          <w:tcPr>
            <w:tcW w:w="0" w:type="auto"/>
            <w:shd w:val="clear" w:color="auto" w:fill="auto"/>
            <w:vAlign w:val="center"/>
          </w:tcPr>
          <w:p w14:paraId="3693F6A7" w14:textId="77777777" w:rsidR="003734EC" w:rsidRDefault="003734EC">
            <w:pPr>
              <w:rPr>
                <w:rFonts w:ascii="宋体"/>
                <w:vanish/>
              </w:rPr>
            </w:pPr>
          </w:p>
        </w:tc>
        <w:tc>
          <w:tcPr>
            <w:tcW w:w="0" w:type="auto"/>
            <w:shd w:val="clear" w:color="auto" w:fill="auto"/>
            <w:vAlign w:val="center"/>
          </w:tcPr>
          <w:p w14:paraId="3693F6A8" w14:textId="77777777" w:rsidR="003734EC" w:rsidRDefault="003734EC">
            <w:pPr>
              <w:rPr>
                <w:rFonts w:ascii="宋体"/>
              </w:rPr>
            </w:pPr>
          </w:p>
        </w:tc>
        <w:tc>
          <w:tcPr>
            <w:tcW w:w="0" w:type="auto"/>
            <w:shd w:val="clear" w:color="auto" w:fill="auto"/>
            <w:vAlign w:val="center"/>
          </w:tcPr>
          <w:p w14:paraId="3693F6A9" w14:textId="77777777" w:rsidR="003734EC" w:rsidRDefault="003734EC">
            <w:pPr>
              <w:rPr>
                <w:rFonts w:ascii="宋体"/>
              </w:rPr>
            </w:pPr>
          </w:p>
        </w:tc>
        <w:tc>
          <w:tcPr>
            <w:tcW w:w="0" w:type="auto"/>
            <w:shd w:val="clear" w:color="auto" w:fill="auto"/>
            <w:vAlign w:val="center"/>
          </w:tcPr>
          <w:p w14:paraId="3693F6AA" w14:textId="77777777" w:rsidR="003734EC" w:rsidRDefault="003734EC">
            <w:pPr>
              <w:rPr>
                <w:rFonts w:ascii="宋体"/>
              </w:rPr>
            </w:pPr>
          </w:p>
        </w:tc>
        <w:tc>
          <w:tcPr>
            <w:tcW w:w="0" w:type="auto"/>
            <w:shd w:val="clear" w:color="auto" w:fill="auto"/>
            <w:vAlign w:val="center"/>
          </w:tcPr>
          <w:p w14:paraId="3693F6AB" w14:textId="77777777" w:rsidR="003734EC" w:rsidRDefault="003734EC">
            <w:pPr>
              <w:rPr>
                <w:rFonts w:ascii="宋体"/>
              </w:rPr>
            </w:pPr>
          </w:p>
        </w:tc>
        <w:tc>
          <w:tcPr>
            <w:tcW w:w="0" w:type="auto"/>
            <w:shd w:val="clear" w:color="auto" w:fill="auto"/>
            <w:vAlign w:val="center"/>
          </w:tcPr>
          <w:p w14:paraId="3693F6AC" w14:textId="77777777" w:rsidR="003734EC" w:rsidRDefault="003734EC">
            <w:pPr>
              <w:rPr>
                <w:rFonts w:ascii="宋体"/>
              </w:rPr>
            </w:pPr>
          </w:p>
        </w:tc>
        <w:tc>
          <w:tcPr>
            <w:tcW w:w="0" w:type="auto"/>
            <w:shd w:val="clear" w:color="auto" w:fill="auto"/>
            <w:vAlign w:val="center"/>
          </w:tcPr>
          <w:p w14:paraId="3693F6AD" w14:textId="77777777" w:rsidR="003734EC" w:rsidRDefault="003734EC">
            <w:pPr>
              <w:rPr>
                <w:rFonts w:ascii="宋体"/>
              </w:rPr>
            </w:pPr>
          </w:p>
        </w:tc>
      </w:tr>
      <w:tr w:rsidR="003734EC" w14:paraId="3693F6B7" w14:textId="77777777">
        <w:tc>
          <w:tcPr>
            <w:tcW w:w="0" w:type="auto"/>
            <w:gridSpan w:val="3"/>
            <w:shd w:val="clear" w:color="auto" w:fill="auto"/>
            <w:tcMar>
              <w:top w:w="40" w:type="dxa"/>
              <w:left w:w="20" w:type="dxa"/>
              <w:bottom w:w="40" w:type="dxa"/>
              <w:right w:w="20" w:type="dxa"/>
            </w:tcMar>
            <w:vAlign w:val="bottom"/>
          </w:tcPr>
          <w:p w14:paraId="3693F6AF"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6B0"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center"/>
          </w:tcPr>
          <w:p w14:paraId="3693F6B1" w14:textId="77777777" w:rsidR="003734EC" w:rsidRDefault="003734EC">
            <w:pPr>
              <w:rPr>
                <w:rFonts w:ascii="宋体"/>
                <w:vanish/>
              </w:rPr>
            </w:pPr>
          </w:p>
        </w:tc>
        <w:tc>
          <w:tcPr>
            <w:tcW w:w="0" w:type="auto"/>
            <w:shd w:val="clear" w:color="auto" w:fill="auto"/>
            <w:vAlign w:val="center"/>
          </w:tcPr>
          <w:p w14:paraId="3693F6B2" w14:textId="77777777" w:rsidR="003734EC" w:rsidRDefault="003734EC">
            <w:pPr>
              <w:rPr>
                <w:rFonts w:ascii="宋体"/>
                <w:vanish/>
              </w:rPr>
            </w:pPr>
          </w:p>
        </w:tc>
        <w:tc>
          <w:tcPr>
            <w:tcW w:w="0" w:type="auto"/>
            <w:shd w:val="clear" w:color="auto" w:fill="auto"/>
            <w:vAlign w:val="center"/>
          </w:tcPr>
          <w:p w14:paraId="3693F6B3" w14:textId="77777777" w:rsidR="003734EC" w:rsidRDefault="003734EC">
            <w:pPr>
              <w:rPr>
                <w:rFonts w:ascii="宋体"/>
                <w:vanish/>
              </w:rPr>
            </w:pPr>
          </w:p>
        </w:tc>
        <w:tc>
          <w:tcPr>
            <w:tcW w:w="0" w:type="auto"/>
            <w:shd w:val="clear" w:color="auto" w:fill="auto"/>
            <w:vAlign w:val="center"/>
          </w:tcPr>
          <w:p w14:paraId="3693F6B4" w14:textId="77777777" w:rsidR="003734EC" w:rsidRDefault="003734EC">
            <w:pPr>
              <w:rPr>
                <w:rFonts w:ascii="宋体"/>
                <w:vanish/>
              </w:rPr>
            </w:pPr>
          </w:p>
        </w:tc>
        <w:tc>
          <w:tcPr>
            <w:tcW w:w="0" w:type="auto"/>
            <w:gridSpan w:val="3"/>
            <w:shd w:val="clear" w:color="auto" w:fill="auto"/>
            <w:vAlign w:val="center"/>
          </w:tcPr>
          <w:p w14:paraId="3693F6B5" w14:textId="77777777" w:rsidR="003734EC" w:rsidRDefault="003734EC">
            <w:pPr>
              <w:rPr>
                <w:rFonts w:ascii="宋体"/>
                <w:vanish/>
              </w:rPr>
            </w:pPr>
          </w:p>
        </w:tc>
        <w:tc>
          <w:tcPr>
            <w:tcW w:w="0" w:type="auto"/>
            <w:gridSpan w:val="3"/>
            <w:shd w:val="clear" w:color="auto" w:fill="auto"/>
            <w:vAlign w:val="center"/>
          </w:tcPr>
          <w:p w14:paraId="3693F6B6" w14:textId="77777777" w:rsidR="003734EC" w:rsidRDefault="003734EC">
            <w:pPr>
              <w:rPr>
                <w:rFonts w:ascii="宋体"/>
                <w:vanish/>
              </w:rPr>
            </w:pPr>
          </w:p>
        </w:tc>
      </w:tr>
      <w:tr w:rsidR="003734EC" w14:paraId="3693F6C6" w14:textId="77777777">
        <w:tc>
          <w:tcPr>
            <w:tcW w:w="0" w:type="auto"/>
            <w:gridSpan w:val="3"/>
            <w:shd w:val="clear" w:color="auto" w:fill="auto"/>
            <w:tcMar>
              <w:top w:w="40" w:type="dxa"/>
              <w:left w:w="20" w:type="dxa"/>
              <w:bottom w:w="40" w:type="dxa"/>
              <w:right w:w="20" w:type="dxa"/>
            </w:tcMar>
            <w:vAlign w:val="bottom"/>
          </w:tcPr>
          <w:p w14:paraId="3693F6B8" w14:textId="77777777" w:rsidR="003734EC" w:rsidRDefault="000E364E">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3693F6B9"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3693F6B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6BB"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BC" w14:textId="77777777" w:rsidR="003734EC" w:rsidRDefault="003734EC">
            <w:pPr>
              <w:rPr>
                <w:rFonts w:ascii="宋体"/>
                <w:vanish/>
              </w:rPr>
            </w:pPr>
          </w:p>
        </w:tc>
        <w:tc>
          <w:tcPr>
            <w:tcW w:w="0" w:type="auto"/>
            <w:shd w:val="clear" w:color="auto" w:fill="auto"/>
            <w:vAlign w:val="center"/>
          </w:tcPr>
          <w:p w14:paraId="3693F6BD" w14:textId="77777777" w:rsidR="003734EC" w:rsidRDefault="003734EC">
            <w:pPr>
              <w:rPr>
                <w:rFonts w:ascii="宋体"/>
                <w:vanish/>
              </w:rPr>
            </w:pPr>
          </w:p>
        </w:tc>
        <w:tc>
          <w:tcPr>
            <w:tcW w:w="0" w:type="auto"/>
            <w:shd w:val="clear" w:color="auto" w:fill="auto"/>
            <w:vAlign w:val="center"/>
          </w:tcPr>
          <w:p w14:paraId="3693F6BE" w14:textId="77777777" w:rsidR="003734EC" w:rsidRDefault="003734EC">
            <w:pPr>
              <w:rPr>
                <w:rFonts w:ascii="宋体"/>
                <w:vanish/>
              </w:rPr>
            </w:pPr>
          </w:p>
        </w:tc>
        <w:tc>
          <w:tcPr>
            <w:tcW w:w="0" w:type="auto"/>
            <w:shd w:val="clear" w:color="auto" w:fill="auto"/>
            <w:vAlign w:val="center"/>
          </w:tcPr>
          <w:p w14:paraId="3693F6BF" w14:textId="77777777" w:rsidR="003734EC" w:rsidRDefault="003734EC">
            <w:pPr>
              <w:rPr>
                <w:rFonts w:ascii="宋体"/>
                <w:vanish/>
              </w:rPr>
            </w:pPr>
          </w:p>
        </w:tc>
        <w:tc>
          <w:tcPr>
            <w:tcW w:w="0" w:type="auto"/>
            <w:shd w:val="clear" w:color="auto" w:fill="auto"/>
            <w:vAlign w:val="center"/>
          </w:tcPr>
          <w:p w14:paraId="3693F6C0" w14:textId="77777777" w:rsidR="003734EC" w:rsidRDefault="003734EC">
            <w:pPr>
              <w:rPr>
                <w:rFonts w:ascii="宋体"/>
              </w:rPr>
            </w:pPr>
          </w:p>
        </w:tc>
        <w:tc>
          <w:tcPr>
            <w:tcW w:w="0" w:type="auto"/>
            <w:shd w:val="clear" w:color="auto" w:fill="auto"/>
            <w:vAlign w:val="center"/>
          </w:tcPr>
          <w:p w14:paraId="3693F6C1" w14:textId="77777777" w:rsidR="003734EC" w:rsidRDefault="003734EC">
            <w:pPr>
              <w:rPr>
                <w:rFonts w:ascii="宋体"/>
              </w:rPr>
            </w:pPr>
          </w:p>
        </w:tc>
        <w:tc>
          <w:tcPr>
            <w:tcW w:w="0" w:type="auto"/>
            <w:shd w:val="clear" w:color="auto" w:fill="auto"/>
            <w:vAlign w:val="center"/>
          </w:tcPr>
          <w:p w14:paraId="3693F6C2" w14:textId="77777777" w:rsidR="003734EC" w:rsidRDefault="003734EC">
            <w:pPr>
              <w:rPr>
                <w:rFonts w:ascii="宋体"/>
              </w:rPr>
            </w:pPr>
          </w:p>
        </w:tc>
        <w:tc>
          <w:tcPr>
            <w:tcW w:w="0" w:type="auto"/>
            <w:shd w:val="clear" w:color="auto" w:fill="auto"/>
            <w:vAlign w:val="center"/>
          </w:tcPr>
          <w:p w14:paraId="3693F6C3" w14:textId="77777777" w:rsidR="003734EC" w:rsidRDefault="003734EC">
            <w:pPr>
              <w:rPr>
                <w:rFonts w:ascii="宋体"/>
              </w:rPr>
            </w:pPr>
          </w:p>
        </w:tc>
        <w:tc>
          <w:tcPr>
            <w:tcW w:w="0" w:type="auto"/>
            <w:shd w:val="clear" w:color="auto" w:fill="auto"/>
            <w:vAlign w:val="center"/>
          </w:tcPr>
          <w:p w14:paraId="3693F6C4" w14:textId="77777777" w:rsidR="003734EC" w:rsidRDefault="003734EC">
            <w:pPr>
              <w:rPr>
                <w:rFonts w:ascii="宋体"/>
              </w:rPr>
            </w:pPr>
          </w:p>
        </w:tc>
        <w:tc>
          <w:tcPr>
            <w:tcW w:w="0" w:type="auto"/>
            <w:shd w:val="clear" w:color="auto" w:fill="auto"/>
            <w:vAlign w:val="center"/>
          </w:tcPr>
          <w:p w14:paraId="3693F6C5" w14:textId="77777777" w:rsidR="003734EC" w:rsidRDefault="003734EC">
            <w:pPr>
              <w:rPr>
                <w:rFonts w:ascii="宋体"/>
              </w:rPr>
            </w:pPr>
          </w:p>
        </w:tc>
      </w:tr>
      <w:tr w:rsidR="003734EC" w14:paraId="3693F6D9" w14:textId="77777777">
        <w:tc>
          <w:tcPr>
            <w:tcW w:w="0" w:type="auto"/>
            <w:gridSpan w:val="3"/>
            <w:shd w:val="clear" w:color="auto" w:fill="E2EFD9"/>
            <w:tcMar>
              <w:top w:w="40" w:type="dxa"/>
              <w:left w:w="360" w:type="dxa"/>
              <w:bottom w:w="40" w:type="dxa"/>
              <w:right w:w="20" w:type="dxa"/>
            </w:tcMar>
            <w:vAlign w:val="bottom"/>
          </w:tcPr>
          <w:p w14:paraId="3693F6C7" w14:textId="77777777" w:rsidR="003734EC" w:rsidRDefault="000E364E">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tcMar>
            <w:vAlign w:val="bottom"/>
          </w:tcPr>
          <w:p w14:paraId="3693F6C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6C9" w14:textId="77777777" w:rsidR="003734EC" w:rsidRDefault="000E364E">
            <w:pPr>
              <w:jc w:val="right"/>
              <w:textAlignment w:val="bottom"/>
            </w:pPr>
            <w:r>
              <w:rPr>
                <w:rFonts w:ascii="sans-serif" w:eastAsia="sans-serif" w:hAnsi="sans-serif" w:cs="sans-serif"/>
                <w:color w:val="000000"/>
                <w:sz w:val="20"/>
                <w:szCs w:val="20"/>
              </w:rPr>
              <w:t>813 </w:t>
            </w:r>
          </w:p>
        </w:tc>
        <w:tc>
          <w:tcPr>
            <w:tcW w:w="0" w:type="auto"/>
            <w:shd w:val="clear" w:color="auto" w:fill="E2EFD9"/>
            <w:tcMar>
              <w:top w:w="40" w:type="dxa"/>
              <w:bottom w:w="40" w:type="dxa"/>
              <w:right w:w="20" w:type="dxa"/>
            </w:tcMar>
            <w:vAlign w:val="bottom"/>
          </w:tcPr>
          <w:p w14:paraId="3693F6C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6CB"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6C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6CD" w14:textId="77777777" w:rsidR="003734EC" w:rsidRDefault="000E364E">
            <w:pPr>
              <w:jc w:val="right"/>
              <w:textAlignment w:val="bottom"/>
            </w:pPr>
            <w:r>
              <w:rPr>
                <w:rFonts w:ascii="sans-serif" w:eastAsia="sans-serif" w:hAnsi="sans-serif" w:cs="sans-serif"/>
                <w:color w:val="000000"/>
                <w:sz w:val="20"/>
                <w:szCs w:val="20"/>
              </w:rPr>
              <w:t>698 </w:t>
            </w:r>
          </w:p>
        </w:tc>
        <w:tc>
          <w:tcPr>
            <w:tcW w:w="0" w:type="auto"/>
            <w:shd w:val="clear" w:color="auto" w:fill="E2EFD9"/>
            <w:tcMar>
              <w:top w:w="40" w:type="dxa"/>
              <w:bottom w:w="40" w:type="dxa"/>
              <w:right w:w="20" w:type="dxa"/>
            </w:tcMar>
            <w:vAlign w:val="bottom"/>
          </w:tcPr>
          <w:p w14:paraId="3693F6C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CF" w14:textId="77777777" w:rsidR="003734EC" w:rsidRDefault="003734EC">
            <w:pPr>
              <w:rPr>
                <w:rFonts w:ascii="宋体"/>
                <w:vanish/>
              </w:rPr>
            </w:pPr>
          </w:p>
        </w:tc>
        <w:tc>
          <w:tcPr>
            <w:tcW w:w="0" w:type="auto"/>
            <w:shd w:val="clear" w:color="auto" w:fill="auto"/>
            <w:vAlign w:val="center"/>
          </w:tcPr>
          <w:p w14:paraId="3693F6D0" w14:textId="77777777" w:rsidR="003734EC" w:rsidRDefault="003734EC">
            <w:pPr>
              <w:rPr>
                <w:rFonts w:ascii="宋体"/>
                <w:vanish/>
              </w:rPr>
            </w:pPr>
          </w:p>
        </w:tc>
        <w:tc>
          <w:tcPr>
            <w:tcW w:w="0" w:type="auto"/>
            <w:shd w:val="clear" w:color="auto" w:fill="auto"/>
            <w:vAlign w:val="center"/>
          </w:tcPr>
          <w:p w14:paraId="3693F6D1" w14:textId="77777777" w:rsidR="003734EC" w:rsidRDefault="003734EC">
            <w:pPr>
              <w:rPr>
                <w:rFonts w:ascii="宋体"/>
                <w:vanish/>
              </w:rPr>
            </w:pPr>
          </w:p>
        </w:tc>
        <w:tc>
          <w:tcPr>
            <w:tcW w:w="0" w:type="auto"/>
            <w:shd w:val="clear" w:color="auto" w:fill="auto"/>
            <w:vAlign w:val="center"/>
          </w:tcPr>
          <w:p w14:paraId="3693F6D2" w14:textId="77777777" w:rsidR="003734EC" w:rsidRDefault="003734EC">
            <w:pPr>
              <w:rPr>
                <w:rFonts w:ascii="宋体"/>
                <w:vanish/>
              </w:rPr>
            </w:pPr>
          </w:p>
        </w:tc>
        <w:tc>
          <w:tcPr>
            <w:tcW w:w="0" w:type="auto"/>
            <w:shd w:val="clear" w:color="auto" w:fill="auto"/>
            <w:vAlign w:val="center"/>
          </w:tcPr>
          <w:p w14:paraId="3693F6D3" w14:textId="77777777" w:rsidR="003734EC" w:rsidRDefault="003734EC">
            <w:pPr>
              <w:rPr>
                <w:rFonts w:ascii="宋体"/>
              </w:rPr>
            </w:pPr>
          </w:p>
        </w:tc>
        <w:tc>
          <w:tcPr>
            <w:tcW w:w="0" w:type="auto"/>
            <w:shd w:val="clear" w:color="auto" w:fill="auto"/>
            <w:vAlign w:val="center"/>
          </w:tcPr>
          <w:p w14:paraId="3693F6D4" w14:textId="77777777" w:rsidR="003734EC" w:rsidRDefault="003734EC">
            <w:pPr>
              <w:rPr>
                <w:rFonts w:ascii="宋体"/>
              </w:rPr>
            </w:pPr>
          </w:p>
        </w:tc>
        <w:tc>
          <w:tcPr>
            <w:tcW w:w="0" w:type="auto"/>
            <w:shd w:val="clear" w:color="auto" w:fill="auto"/>
            <w:vAlign w:val="center"/>
          </w:tcPr>
          <w:p w14:paraId="3693F6D5" w14:textId="77777777" w:rsidR="003734EC" w:rsidRDefault="003734EC">
            <w:pPr>
              <w:rPr>
                <w:rFonts w:ascii="宋体"/>
              </w:rPr>
            </w:pPr>
          </w:p>
        </w:tc>
        <w:tc>
          <w:tcPr>
            <w:tcW w:w="0" w:type="auto"/>
            <w:shd w:val="clear" w:color="auto" w:fill="auto"/>
            <w:vAlign w:val="center"/>
          </w:tcPr>
          <w:p w14:paraId="3693F6D6" w14:textId="77777777" w:rsidR="003734EC" w:rsidRDefault="003734EC">
            <w:pPr>
              <w:rPr>
                <w:rFonts w:ascii="宋体"/>
              </w:rPr>
            </w:pPr>
          </w:p>
        </w:tc>
        <w:tc>
          <w:tcPr>
            <w:tcW w:w="0" w:type="auto"/>
            <w:shd w:val="clear" w:color="auto" w:fill="auto"/>
            <w:vAlign w:val="center"/>
          </w:tcPr>
          <w:p w14:paraId="3693F6D7" w14:textId="77777777" w:rsidR="003734EC" w:rsidRDefault="003734EC">
            <w:pPr>
              <w:rPr>
                <w:rFonts w:ascii="宋体"/>
              </w:rPr>
            </w:pPr>
          </w:p>
        </w:tc>
        <w:tc>
          <w:tcPr>
            <w:tcW w:w="0" w:type="auto"/>
            <w:shd w:val="clear" w:color="auto" w:fill="auto"/>
            <w:vAlign w:val="center"/>
          </w:tcPr>
          <w:p w14:paraId="3693F6D8" w14:textId="77777777" w:rsidR="003734EC" w:rsidRDefault="003734EC">
            <w:pPr>
              <w:rPr>
                <w:rFonts w:ascii="宋体"/>
              </w:rPr>
            </w:pPr>
          </w:p>
        </w:tc>
      </w:tr>
      <w:tr w:rsidR="003734EC" w14:paraId="3693F6EA" w14:textId="77777777">
        <w:tc>
          <w:tcPr>
            <w:tcW w:w="0" w:type="auto"/>
            <w:gridSpan w:val="3"/>
            <w:shd w:val="clear" w:color="auto" w:fill="FFFFFF"/>
            <w:tcMar>
              <w:top w:w="40" w:type="dxa"/>
              <w:left w:w="360" w:type="dxa"/>
              <w:bottom w:w="40" w:type="dxa"/>
              <w:right w:w="20" w:type="dxa"/>
            </w:tcMar>
            <w:vAlign w:val="bottom"/>
          </w:tcPr>
          <w:p w14:paraId="3693F6DA" w14:textId="77777777" w:rsidR="003734EC" w:rsidRDefault="000E364E">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3693F6DB" w14:textId="77777777" w:rsidR="003734EC" w:rsidRDefault="000E364E">
            <w:pPr>
              <w:jc w:val="right"/>
              <w:textAlignment w:val="bottom"/>
            </w:pPr>
            <w:r>
              <w:rPr>
                <w:rFonts w:ascii="sans-serif" w:eastAsia="sans-serif" w:hAnsi="sans-serif" w:cs="sans-serif"/>
                <w:color w:val="000000"/>
                <w:sz w:val="20"/>
                <w:szCs w:val="20"/>
              </w:rPr>
              <w:t>758 </w:t>
            </w:r>
          </w:p>
        </w:tc>
        <w:tc>
          <w:tcPr>
            <w:tcW w:w="0" w:type="auto"/>
            <w:shd w:val="clear" w:color="auto" w:fill="FFFFFF"/>
            <w:tcMar>
              <w:top w:w="40" w:type="dxa"/>
              <w:bottom w:w="40" w:type="dxa"/>
              <w:right w:w="20" w:type="dxa"/>
            </w:tcMar>
            <w:vAlign w:val="bottom"/>
          </w:tcPr>
          <w:p w14:paraId="3693F6D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6D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6DE" w14:textId="77777777" w:rsidR="003734EC" w:rsidRDefault="000E364E">
            <w:pPr>
              <w:jc w:val="right"/>
              <w:textAlignment w:val="bottom"/>
            </w:pPr>
            <w:r>
              <w:rPr>
                <w:rFonts w:ascii="sans-serif" w:eastAsia="sans-serif" w:hAnsi="sans-serif" w:cs="sans-serif"/>
                <w:color w:val="000000"/>
                <w:sz w:val="20"/>
                <w:szCs w:val="20"/>
              </w:rPr>
              <w:t>553 </w:t>
            </w:r>
          </w:p>
        </w:tc>
        <w:tc>
          <w:tcPr>
            <w:tcW w:w="0" w:type="auto"/>
            <w:shd w:val="clear" w:color="auto" w:fill="FFFFFF"/>
            <w:tcMar>
              <w:top w:w="40" w:type="dxa"/>
              <w:bottom w:w="40" w:type="dxa"/>
              <w:right w:w="20" w:type="dxa"/>
            </w:tcMar>
            <w:vAlign w:val="bottom"/>
          </w:tcPr>
          <w:p w14:paraId="3693F6D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E0" w14:textId="77777777" w:rsidR="003734EC" w:rsidRDefault="003734EC">
            <w:pPr>
              <w:rPr>
                <w:rFonts w:ascii="宋体"/>
                <w:vanish/>
              </w:rPr>
            </w:pPr>
          </w:p>
        </w:tc>
        <w:tc>
          <w:tcPr>
            <w:tcW w:w="0" w:type="auto"/>
            <w:shd w:val="clear" w:color="auto" w:fill="auto"/>
            <w:vAlign w:val="center"/>
          </w:tcPr>
          <w:p w14:paraId="3693F6E1" w14:textId="77777777" w:rsidR="003734EC" w:rsidRDefault="003734EC">
            <w:pPr>
              <w:rPr>
                <w:rFonts w:ascii="宋体"/>
                <w:vanish/>
              </w:rPr>
            </w:pPr>
          </w:p>
        </w:tc>
        <w:tc>
          <w:tcPr>
            <w:tcW w:w="0" w:type="auto"/>
            <w:shd w:val="clear" w:color="auto" w:fill="auto"/>
            <w:vAlign w:val="center"/>
          </w:tcPr>
          <w:p w14:paraId="3693F6E2" w14:textId="77777777" w:rsidR="003734EC" w:rsidRDefault="003734EC">
            <w:pPr>
              <w:rPr>
                <w:rFonts w:ascii="宋体"/>
                <w:vanish/>
              </w:rPr>
            </w:pPr>
          </w:p>
        </w:tc>
        <w:tc>
          <w:tcPr>
            <w:tcW w:w="0" w:type="auto"/>
            <w:shd w:val="clear" w:color="auto" w:fill="auto"/>
            <w:vAlign w:val="center"/>
          </w:tcPr>
          <w:p w14:paraId="3693F6E3" w14:textId="77777777" w:rsidR="003734EC" w:rsidRDefault="003734EC">
            <w:pPr>
              <w:rPr>
                <w:rFonts w:ascii="宋体"/>
                <w:vanish/>
              </w:rPr>
            </w:pPr>
          </w:p>
        </w:tc>
        <w:tc>
          <w:tcPr>
            <w:tcW w:w="0" w:type="auto"/>
            <w:shd w:val="clear" w:color="auto" w:fill="auto"/>
            <w:vAlign w:val="center"/>
          </w:tcPr>
          <w:p w14:paraId="3693F6E4" w14:textId="77777777" w:rsidR="003734EC" w:rsidRDefault="003734EC">
            <w:pPr>
              <w:rPr>
                <w:rFonts w:ascii="宋体"/>
              </w:rPr>
            </w:pPr>
          </w:p>
        </w:tc>
        <w:tc>
          <w:tcPr>
            <w:tcW w:w="0" w:type="auto"/>
            <w:shd w:val="clear" w:color="auto" w:fill="auto"/>
            <w:vAlign w:val="center"/>
          </w:tcPr>
          <w:p w14:paraId="3693F6E5" w14:textId="77777777" w:rsidR="003734EC" w:rsidRDefault="003734EC">
            <w:pPr>
              <w:rPr>
                <w:rFonts w:ascii="宋体"/>
              </w:rPr>
            </w:pPr>
          </w:p>
        </w:tc>
        <w:tc>
          <w:tcPr>
            <w:tcW w:w="0" w:type="auto"/>
            <w:shd w:val="clear" w:color="auto" w:fill="auto"/>
            <w:vAlign w:val="center"/>
          </w:tcPr>
          <w:p w14:paraId="3693F6E6" w14:textId="77777777" w:rsidR="003734EC" w:rsidRDefault="003734EC">
            <w:pPr>
              <w:rPr>
                <w:rFonts w:ascii="宋体"/>
              </w:rPr>
            </w:pPr>
          </w:p>
        </w:tc>
        <w:tc>
          <w:tcPr>
            <w:tcW w:w="0" w:type="auto"/>
            <w:shd w:val="clear" w:color="auto" w:fill="auto"/>
            <w:vAlign w:val="center"/>
          </w:tcPr>
          <w:p w14:paraId="3693F6E7" w14:textId="77777777" w:rsidR="003734EC" w:rsidRDefault="003734EC">
            <w:pPr>
              <w:rPr>
                <w:rFonts w:ascii="宋体"/>
              </w:rPr>
            </w:pPr>
          </w:p>
        </w:tc>
        <w:tc>
          <w:tcPr>
            <w:tcW w:w="0" w:type="auto"/>
            <w:shd w:val="clear" w:color="auto" w:fill="auto"/>
            <w:vAlign w:val="center"/>
          </w:tcPr>
          <w:p w14:paraId="3693F6E8" w14:textId="77777777" w:rsidR="003734EC" w:rsidRDefault="003734EC">
            <w:pPr>
              <w:rPr>
                <w:rFonts w:ascii="宋体"/>
              </w:rPr>
            </w:pPr>
          </w:p>
        </w:tc>
        <w:tc>
          <w:tcPr>
            <w:tcW w:w="0" w:type="auto"/>
            <w:shd w:val="clear" w:color="auto" w:fill="auto"/>
            <w:vAlign w:val="center"/>
          </w:tcPr>
          <w:p w14:paraId="3693F6E9" w14:textId="77777777" w:rsidR="003734EC" w:rsidRDefault="003734EC">
            <w:pPr>
              <w:rPr>
                <w:rFonts w:ascii="宋体"/>
              </w:rPr>
            </w:pPr>
          </w:p>
        </w:tc>
      </w:tr>
      <w:tr w:rsidR="003734EC" w14:paraId="3693F6FB" w14:textId="77777777">
        <w:tc>
          <w:tcPr>
            <w:tcW w:w="0" w:type="auto"/>
            <w:gridSpan w:val="3"/>
            <w:shd w:val="clear" w:color="auto" w:fill="E2EFD9"/>
            <w:tcMar>
              <w:top w:w="40" w:type="dxa"/>
              <w:left w:w="360" w:type="dxa"/>
              <w:bottom w:w="40" w:type="dxa"/>
              <w:right w:w="20" w:type="dxa"/>
            </w:tcMar>
            <w:vAlign w:val="bottom"/>
          </w:tcPr>
          <w:p w14:paraId="3693F6EB" w14:textId="77777777" w:rsidR="003734EC" w:rsidRDefault="000E364E">
            <w:pPr>
              <w:textAlignment w:val="bottom"/>
            </w:pPr>
            <w:r>
              <w:rPr>
                <w:rFonts w:ascii="sans-serif" w:eastAsia="sans-serif" w:hAnsi="sans-serif" w:cs="sans-serif"/>
                <w:color w:val="000000"/>
                <w:sz w:val="20"/>
                <w:szCs w:val="20"/>
              </w:rPr>
              <w:t>Other Asia Pacific</w:t>
            </w:r>
          </w:p>
        </w:tc>
        <w:tc>
          <w:tcPr>
            <w:tcW w:w="0" w:type="auto"/>
            <w:gridSpan w:val="2"/>
            <w:shd w:val="clear" w:color="auto" w:fill="E2EFD9"/>
            <w:tcMar>
              <w:top w:w="40" w:type="dxa"/>
              <w:left w:w="20" w:type="dxa"/>
              <w:bottom w:w="40" w:type="dxa"/>
              <w:right w:w="0" w:type="dxa"/>
            </w:tcMar>
            <w:vAlign w:val="bottom"/>
          </w:tcPr>
          <w:p w14:paraId="3693F6EC" w14:textId="77777777" w:rsidR="003734EC" w:rsidRDefault="000E364E">
            <w:pPr>
              <w:jc w:val="right"/>
              <w:textAlignment w:val="bottom"/>
            </w:pPr>
            <w:r>
              <w:rPr>
                <w:rFonts w:ascii="sans-serif" w:eastAsia="sans-serif" w:hAnsi="sans-serif" w:cs="sans-serif"/>
                <w:color w:val="000000"/>
                <w:sz w:val="20"/>
                <w:szCs w:val="20"/>
              </w:rPr>
              <w:t>607 </w:t>
            </w:r>
          </w:p>
        </w:tc>
        <w:tc>
          <w:tcPr>
            <w:tcW w:w="0" w:type="auto"/>
            <w:shd w:val="clear" w:color="auto" w:fill="E2EFD9"/>
            <w:tcMar>
              <w:top w:w="40" w:type="dxa"/>
              <w:bottom w:w="40" w:type="dxa"/>
              <w:right w:w="20" w:type="dxa"/>
            </w:tcMar>
            <w:vAlign w:val="bottom"/>
          </w:tcPr>
          <w:p w14:paraId="3693F6E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6E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6EF" w14:textId="77777777" w:rsidR="003734EC" w:rsidRDefault="000E364E">
            <w:pPr>
              <w:jc w:val="right"/>
              <w:textAlignment w:val="bottom"/>
            </w:pPr>
            <w:r>
              <w:rPr>
                <w:rFonts w:ascii="sans-serif" w:eastAsia="sans-serif" w:hAnsi="sans-serif" w:cs="sans-serif"/>
                <w:color w:val="000000"/>
                <w:sz w:val="20"/>
                <w:szCs w:val="20"/>
              </w:rPr>
              <w:t>422 </w:t>
            </w:r>
          </w:p>
        </w:tc>
        <w:tc>
          <w:tcPr>
            <w:tcW w:w="0" w:type="auto"/>
            <w:shd w:val="clear" w:color="auto" w:fill="E2EFD9"/>
            <w:tcMar>
              <w:top w:w="40" w:type="dxa"/>
              <w:bottom w:w="40" w:type="dxa"/>
              <w:right w:w="20" w:type="dxa"/>
            </w:tcMar>
            <w:vAlign w:val="bottom"/>
          </w:tcPr>
          <w:p w14:paraId="3693F6F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6F1" w14:textId="77777777" w:rsidR="003734EC" w:rsidRDefault="003734EC">
            <w:pPr>
              <w:rPr>
                <w:rFonts w:ascii="宋体"/>
                <w:vanish/>
              </w:rPr>
            </w:pPr>
          </w:p>
        </w:tc>
        <w:tc>
          <w:tcPr>
            <w:tcW w:w="0" w:type="auto"/>
            <w:shd w:val="clear" w:color="auto" w:fill="auto"/>
            <w:vAlign w:val="center"/>
          </w:tcPr>
          <w:p w14:paraId="3693F6F2" w14:textId="77777777" w:rsidR="003734EC" w:rsidRDefault="003734EC">
            <w:pPr>
              <w:rPr>
                <w:rFonts w:ascii="宋体"/>
                <w:vanish/>
              </w:rPr>
            </w:pPr>
          </w:p>
        </w:tc>
        <w:tc>
          <w:tcPr>
            <w:tcW w:w="0" w:type="auto"/>
            <w:shd w:val="clear" w:color="auto" w:fill="auto"/>
            <w:vAlign w:val="center"/>
          </w:tcPr>
          <w:p w14:paraId="3693F6F3" w14:textId="77777777" w:rsidR="003734EC" w:rsidRDefault="003734EC">
            <w:pPr>
              <w:rPr>
                <w:rFonts w:ascii="宋体"/>
                <w:vanish/>
              </w:rPr>
            </w:pPr>
          </w:p>
        </w:tc>
        <w:tc>
          <w:tcPr>
            <w:tcW w:w="0" w:type="auto"/>
            <w:shd w:val="clear" w:color="auto" w:fill="auto"/>
            <w:vAlign w:val="center"/>
          </w:tcPr>
          <w:p w14:paraId="3693F6F4" w14:textId="77777777" w:rsidR="003734EC" w:rsidRDefault="003734EC">
            <w:pPr>
              <w:rPr>
                <w:rFonts w:ascii="宋体"/>
                <w:vanish/>
              </w:rPr>
            </w:pPr>
          </w:p>
        </w:tc>
        <w:tc>
          <w:tcPr>
            <w:tcW w:w="0" w:type="auto"/>
            <w:shd w:val="clear" w:color="auto" w:fill="auto"/>
            <w:vAlign w:val="center"/>
          </w:tcPr>
          <w:p w14:paraId="3693F6F5" w14:textId="77777777" w:rsidR="003734EC" w:rsidRDefault="003734EC">
            <w:pPr>
              <w:rPr>
                <w:rFonts w:ascii="宋体"/>
              </w:rPr>
            </w:pPr>
          </w:p>
        </w:tc>
        <w:tc>
          <w:tcPr>
            <w:tcW w:w="0" w:type="auto"/>
            <w:shd w:val="clear" w:color="auto" w:fill="auto"/>
            <w:vAlign w:val="center"/>
          </w:tcPr>
          <w:p w14:paraId="3693F6F6" w14:textId="77777777" w:rsidR="003734EC" w:rsidRDefault="003734EC">
            <w:pPr>
              <w:rPr>
                <w:rFonts w:ascii="宋体"/>
              </w:rPr>
            </w:pPr>
          </w:p>
        </w:tc>
        <w:tc>
          <w:tcPr>
            <w:tcW w:w="0" w:type="auto"/>
            <w:shd w:val="clear" w:color="auto" w:fill="auto"/>
            <w:vAlign w:val="center"/>
          </w:tcPr>
          <w:p w14:paraId="3693F6F7" w14:textId="77777777" w:rsidR="003734EC" w:rsidRDefault="003734EC">
            <w:pPr>
              <w:rPr>
                <w:rFonts w:ascii="宋体"/>
              </w:rPr>
            </w:pPr>
          </w:p>
        </w:tc>
        <w:tc>
          <w:tcPr>
            <w:tcW w:w="0" w:type="auto"/>
            <w:shd w:val="clear" w:color="auto" w:fill="auto"/>
            <w:vAlign w:val="center"/>
          </w:tcPr>
          <w:p w14:paraId="3693F6F8" w14:textId="77777777" w:rsidR="003734EC" w:rsidRDefault="003734EC">
            <w:pPr>
              <w:rPr>
                <w:rFonts w:ascii="宋体"/>
              </w:rPr>
            </w:pPr>
          </w:p>
        </w:tc>
        <w:tc>
          <w:tcPr>
            <w:tcW w:w="0" w:type="auto"/>
            <w:shd w:val="clear" w:color="auto" w:fill="auto"/>
            <w:vAlign w:val="center"/>
          </w:tcPr>
          <w:p w14:paraId="3693F6F9" w14:textId="77777777" w:rsidR="003734EC" w:rsidRDefault="003734EC">
            <w:pPr>
              <w:rPr>
                <w:rFonts w:ascii="宋体"/>
              </w:rPr>
            </w:pPr>
          </w:p>
        </w:tc>
        <w:tc>
          <w:tcPr>
            <w:tcW w:w="0" w:type="auto"/>
            <w:shd w:val="clear" w:color="auto" w:fill="auto"/>
            <w:vAlign w:val="center"/>
          </w:tcPr>
          <w:p w14:paraId="3693F6FA" w14:textId="77777777" w:rsidR="003734EC" w:rsidRDefault="003734EC">
            <w:pPr>
              <w:rPr>
                <w:rFonts w:ascii="宋体"/>
              </w:rPr>
            </w:pPr>
          </w:p>
        </w:tc>
      </w:tr>
      <w:tr w:rsidR="003734EC" w14:paraId="3693F70C" w14:textId="77777777">
        <w:tc>
          <w:tcPr>
            <w:tcW w:w="0" w:type="auto"/>
            <w:gridSpan w:val="3"/>
            <w:shd w:val="clear" w:color="auto" w:fill="FFFFFF"/>
            <w:tcMar>
              <w:top w:w="40" w:type="dxa"/>
              <w:left w:w="360" w:type="dxa"/>
              <w:bottom w:w="40" w:type="dxa"/>
              <w:right w:w="20" w:type="dxa"/>
            </w:tcMar>
            <w:vAlign w:val="bottom"/>
          </w:tcPr>
          <w:p w14:paraId="3693F6FC" w14:textId="77777777" w:rsidR="003734EC" w:rsidRDefault="000E364E">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3693F6FD" w14:textId="77777777" w:rsidR="003734EC" w:rsidRDefault="000E364E">
            <w:pPr>
              <w:jc w:val="right"/>
              <w:textAlignment w:val="bottom"/>
            </w:pPr>
            <w:r>
              <w:rPr>
                <w:rFonts w:ascii="sans-serif" w:eastAsia="sans-serif" w:hAnsi="sans-serif" w:cs="sans-serif"/>
                <w:color w:val="000000"/>
                <w:sz w:val="20"/>
                <w:szCs w:val="20"/>
              </w:rPr>
              <w:t>497 </w:t>
            </w:r>
          </w:p>
        </w:tc>
        <w:tc>
          <w:tcPr>
            <w:tcW w:w="0" w:type="auto"/>
            <w:shd w:val="clear" w:color="auto" w:fill="FFFFFF"/>
            <w:tcMar>
              <w:top w:w="40" w:type="dxa"/>
              <w:bottom w:w="40" w:type="dxa"/>
              <w:right w:w="20" w:type="dxa"/>
            </w:tcMar>
            <w:vAlign w:val="bottom"/>
          </w:tcPr>
          <w:p w14:paraId="3693F6F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6F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700" w14:textId="77777777" w:rsidR="003734EC" w:rsidRDefault="000E364E">
            <w:pPr>
              <w:jc w:val="right"/>
              <w:textAlignment w:val="bottom"/>
            </w:pPr>
            <w:r>
              <w:rPr>
                <w:rFonts w:ascii="sans-serif" w:eastAsia="sans-serif" w:hAnsi="sans-serif" w:cs="sans-serif"/>
                <w:color w:val="000000"/>
                <w:sz w:val="20"/>
                <w:szCs w:val="20"/>
              </w:rPr>
              <w:t>165 </w:t>
            </w:r>
          </w:p>
        </w:tc>
        <w:tc>
          <w:tcPr>
            <w:tcW w:w="0" w:type="auto"/>
            <w:shd w:val="clear" w:color="auto" w:fill="FFFFFF"/>
            <w:tcMar>
              <w:top w:w="40" w:type="dxa"/>
              <w:bottom w:w="40" w:type="dxa"/>
              <w:right w:w="20" w:type="dxa"/>
            </w:tcMar>
            <w:vAlign w:val="bottom"/>
          </w:tcPr>
          <w:p w14:paraId="3693F70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02" w14:textId="77777777" w:rsidR="003734EC" w:rsidRDefault="003734EC">
            <w:pPr>
              <w:rPr>
                <w:rFonts w:ascii="宋体"/>
                <w:vanish/>
              </w:rPr>
            </w:pPr>
          </w:p>
        </w:tc>
        <w:tc>
          <w:tcPr>
            <w:tcW w:w="0" w:type="auto"/>
            <w:shd w:val="clear" w:color="auto" w:fill="auto"/>
            <w:vAlign w:val="center"/>
          </w:tcPr>
          <w:p w14:paraId="3693F703" w14:textId="77777777" w:rsidR="003734EC" w:rsidRDefault="003734EC">
            <w:pPr>
              <w:rPr>
                <w:rFonts w:ascii="宋体"/>
                <w:vanish/>
              </w:rPr>
            </w:pPr>
          </w:p>
        </w:tc>
        <w:tc>
          <w:tcPr>
            <w:tcW w:w="0" w:type="auto"/>
            <w:shd w:val="clear" w:color="auto" w:fill="auto"/>
            <w:vAlign w:val="center"/>
          </w:tcPr>
          <w:p w14:paraId="3693F704" w14:textId="77777777" w:rsidR="003734EC" w:rsidRDefault="003734EC">
            <w:pPr>
              <w:rPr>
                <w:rFonts w:ascii="宋体"/>
                <w:vanish/>
              </w:rPr>
            </w:pPr>
          </w:p>
        </w:tc>
        <w:tc>
          <w:tcPr>
            <w:tcW w:w="0" w:type="auto"/>
            <w:shd w:val="clear" w:color="auto" w:fill="auto"/>
            <w:vAlign w:val="center"/>
          </w:tcPr>
          <w:p w14:paraId="3693F705" w14:textId="77777777" w:rsidR="003734EC" w:rsidRDefault="003734EC">
            <w:pPr>
              <w:rPr>
                <w:rFonts w:ascii="宋体"/>
                <w:vanish/>
              </w:rPr>
            </w:pPr>
          </w:p>
        </w:tc>
        <w:tc>
          <w:tcPr>
            <w:tcW w:w="0" w:type="auto"/>
            <w:shd w:val="clear" w:color="auto" w:fill="auto"/>
            <w:vAlign w:val="center"/>
          </w:tcPr>
          <w:p w14:paraId="3693F706" w14:textId="77777777" w:rsidR="003734EC" w:rsidRDefault="003734EC">
            <w:pPr>
              <w:rPr>
                <w:rFonts w:ascii="宋体"/>
              </w:rPr>
            </w:pPr>
          </w:p>
        </w:tc>
        <w:tc>
          <w:tcPr>
            <w:tcW w:w="0" w:type="auto"/>
            <w:shd w:val="clear" w:color="auto" w:fill="auto"/>
            <w:vAlign w:val="center"/>
          </w:tcPr>
          <w:p w14:paraId="3693F707" w14:textId="77777777" w:rsidR="003734EC" w:rsidRDefault="003734EC">
            <w:pPr>
              <w:rPr>
                <w:rFonts w:ascii="宋体"/>
              </w:rPr>
            </w:pPr>
          </w:p>
        </w:tc>
        <w:tc>
          <w:tcPr>
            <w:tcW w:w="0" w:type="auto"/>
            <w:shd w:val="clear" w:color="auto" w:fill="auto"/>
            <w:vAlign w:val="center"/>
          </w:tcPr>
          <w:p w14:paraId="3693F708" w14:textId="77777777" w:rsidR="003734EC" w:rsidRDefault="003734EC">
            <w:pPr>
              <w:rPr>
                <w:rFonts w:ascii="宋体"/>
              </w:rPr>
            </w:pPr>
          </w:p>
        </w:tc>
        <w:tc>
          <w:tcPr>
            <w:tcW w:w="0" w:type="auto"/>
            <w:shd w:val="clear" w:color="auto" w:fill="auto"/>
            <w:vAlign w:val="center"/>
          </w:tcPr>
          <w:p w14:paraId="3693F709" w14:textId="77777777" w:rsidR="003734EC" w:rsidRDefault="003734EC">
            <w:pPr>
              <w:rPr>
                <w:rFonts w:ascii="宋体"/>
              </w:rPr>
            </w:pPr>
          </w:p>
        </w:tc>
        <w:tc>
          <w:tcPr>
            <w:tcW w:w="0" w:type="auto"/>
            <w:shd w:val="clear" w:color="auto" w:fill="auto"/>
            <w:vAlign w:val="center"/>
          </w:tcPr>
          <w:p w14:paraId="3693F70A" w14:textId="77777777" w:rsidR="003734EC" w:rsidRDefault="003734EC">
            <w:pPr>
              <w:rPr>
                <w:rFonts w:ascii="宋体"/>
              </w:rPr>
            </w:pPr>
          </w:p>
        </w:tc>
        <w:tc>
          <w:tcPr>
            <w:tcW w:w="0" w:type="auto"/>
            <w:shd w:val="clear" w:color="auto" w:fill="auto"/>
            <w:vAlign w:val="center"/>
          </w:tcPr>
          <w:p w14:paraId="3693F70B" w14:textId="77777777" w:rsidR="003734EC" w:rsidRDefault="003734EC">
            <w:pPr>
              <w:rPr>
                <w:rFonts w:ascii="宋体"/>
              </w:rPr>
            </w:pPr>
          </w:p>
        </w:tc>
      </w:tr>
      <w:tr w:rsidR="003734EC" w14:paraId="3693F71D" w14:textId="77777777">
        <w:tc>
          <w:tcPr>
            <w:tcW w:w="0" w:type="auto"/>
            <w:gridSpan w:val="3"/>
            <w:shd w:val="clear" w:color="auto" w:fill="E2EFD9"/>
            <w:tcMar>
              <w:top w:w="40" w:type="dxa"/>
              <w:left w:w="360" w:type="dxa"/>
              <w:bottom w:w="40" w:type="dxa"/>
              <w:right w:w="20" w:type="dxa"/>
            </w:tcMar>
            <w:vAlign w:val="bottom"/>
          </w:tcPr>
          <w:p w14:paraId="3693F70D" w14:textId="77777777" w:rsidR="003734EC" w:rsidRDefault="000E364E">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3693F70E" w14:textId="77777777" w:rsidR="003734EC" w:rsidRDefault="000E364E">
            <w:pPr>
              <w:jc w:val="right"/>
              <w:textAlignment w:val="bottom"/>
            </w:pPr>
            <w:r>
              <w:rPr>
                <w:rFonts w:ascii="sans-serif" w:eastAsia="sans-serif" w:hAnsi="sans-serif" w:cs="sans-serif"/>
                <w:color w:val="000000"/>
                <w:sz w:val="20"/>
                <w:szCs w:val="20"/>
              </w:rPr>
              <w:t>254 </w:t>
            </w:r>
          </w:p>
        </w:tc>
        <w:tc>
          <w:tcPr>
            <w:tcW w:w="0" w:type="auto"/>
            <w:shd w:val="clear" w:color="auto" w:fill="E2EFD9"/>
            <w:tcMar>
              <w:top w:w="40" w:type="dxa"/>
              <w:bottom w:w="40" w:type="dxa"/>
              <w:right w:w="20" w:type="dxa"/>
            </w:tcMar>
            <w:vAlign w:val="bottom"/>
          </w:tcPr>
          <w:p w14:paraId="3693F70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710"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711" w14:textId="77777777" w:rsidR="003734EC" w:rsidRDefault="000E364E">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bottom w:w="40" w:type="dxa"/>
              <w:right w:w="20" w:type="dxa"/>
            </w:tcMar>
            <w:vAlign w:val="bottom"/>
          </w:tcPr>
          <w:p w14:paraId="3693F71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13" w14:textId="77777777" w:rsidR="003734EC" w:rsidRDefault="003734EC">
            <w:pPr>
              <w:rPr>
                <w:rFonts w:ascii="宋体"/>
                <w:vanish/>
              </w:rPr>
            </w:pPr>
          </w:p>
        </w:tc>
        <w:tc>
          <w:tcPr>
            <w:tcW w:w="0" w:type="auto"/>
            <w:shd w:val="clear" w:color="auto" w:fill="auto"/>
            <w:vAlign w:val="center"/>
          </w:tcPr>
          <w:p w14:paraId="3693F714" w14:textId="77777777" w:rsidR="003734EC" w:rsidRDefault="003734EC">
            <w:pPr>
              <w:rPr>
                <w:rFonts w:ascii="宋体"/>
                <w:vanish/>
              </w:rPr>
            </w:pPr>
          </w:p>
        </w:tc>
        <w:tc>
          <w:tcPr>
            <w:tcW w:w="0" w:type="auto"/>
            <w:shd w:val="clear" w:color="auto" w:fill="auto"/>
            <w:vAlign w:val="center"/>
          </w:tcPr>
          <w:p w14:paraId="3693F715" w14:textId="77777777" w:rsidR="003734EC" w:rsidRDefault="003734EC">
            <w:pPr>
              <w:rPr>
                <w:rFonts w:ascii="宋体"/>
                <w:vanish/>
              </w:rPr>
            </w:pPr>
          </w:p>
        </w:tc>
        <w:tc>
          <w:tcPr>
            <w:tcW w:w="0" w:type="auto"/>
            <w:shd w:val="clear" w:color="auto" w:fill="auto"/>
            <w:vAlign w:val="center"/>
          </w:tcPr>
          <w:p w14:paraId="3693F716" w14:textId="77777777" w:rsidR="003734EC" w:rsidRDefault="003734EC">
            <w:pPr>
              <w:rPr>
                <w:rFonts w:ascii="宋体"/>
                <w:vanish/>
              </w:rPr>
            </w:pPr>
          </w:p>
        </w:tc>
        <w:tc>
          <w:tcPr>
            <w:tcW w:w="0" w:type="auto"/>
            <w:shd w:val="clear" w:color="auto" w:fill="auto"/>
            <w:vAlign w:val="center"/>
          </w:tcPr>
          <w:p w14:paraId="3693F717" w14:textId="77777777" w:rsidR="003734EC" w:rsidRDefault="003734EC">
            <w:pPr>
              <w:rPr>
                <w:rFonts w:ascii="宋体"/>
              </w:rPr>
            </w:pPr>
          </w:p>
        </w:tc>
        <w:tc>
          <w:tcPr>
            <w:tcW w:w="0" w:type="auto"/>
            <w:shd w:val="clear" w:color="auto" w:fill="auto"/>
            <w:vAlign w:val="center"/>
          </w:tcPr>
          <w:p w14:paraId="3693F718" w14:textId="77777777" w:rsidR="003734EC" w:rsidRDefault="003734EC">
            <w:pPr>
              <w:rPr>
                <w:rFonts w:ascii="宋体"/>
              </w:rPr>
            </w:pPr>
          </w:p>
        </w:tc>
        <w:tc>
          <w:tcPr>
            <w:tcW w:w="0" w:type="auto"/>
            <w:shd w:val="clear" w:color="auto" w:fill="auto"/>
            <w:vAlign w:val="center"/>
          </w:tcPr>
          <w:p w14:paraId="3693F719" w14:textId="77777777" w:rsidR="003734EC" w:rsidRDefault="003734EC">
            <w:pPr>
              <w:rPr>
                <w:rFonts w:ascii="宋体"/>
              </w:rPr>
            </w:pPr>
          </w:p>
        </w:tc>
        <w:tc>
          <w:tcPr>
            <w:tcW w:w="0" w:type="auto"/>
            <w:shd w:val="clear" w:color="auto" w:fill="auto"/>
            <w:vAlign w:val="center"/>
          </w:tcPr>
          <w:p w14:paraId="3693F71A" w14:textId="77777777" w:rsidR="003734EC" w:rsidRDefault="003734EC">
            <w:pPr>
              <w:rPr>
                <w:rFonts w:ascii="宋体"/>
              </w:rPr>
            </w:pPr>
          </w:p>
        </w:tc>
        <w:tc>
          <w:tcPr>
            <w:tcW w:w="0" w:type="auto"/>
            <w:shd w:val="clear" w:color="auto" w:fill="auto"/>
            <w:vAlign w:val="center"/>
          </w:tcPr>
          <w:p w14:paraId="3693F71B" w14:textId="77777777" w:rsidR="003734EC" w:rsidRDefault="003734EC">
            <w:pPr>
              <w:rPr>
                <w:rFonts w:ascii="宋体"/>
              </w:rPr>
            </w:pPr>
          </w:p>
        </w:tc>
        <w:tc>
          <w:tcPr>
            <w:tcW w:w="0" w:type="auto"/>
            <w:shd w:val="clear" w:color="auto" w:fill="auto"/>
            <w:vAlign w:val="center"/>
          </w:tcPr>
          <w:p w14:paraId="3693F71C" w14:textId="77777777" w:rsidR="003734EC" w:rsidRDefault="003734EC">
            <w:pPr>
              <w:rPr>
                <w:rFonts w:ascii="宋体"/>
              </w:rPr>
            </w:pPr>
          </w:p>
        </w:tc>
      </w:tr>
      <w:tr w:rsidR="003734EC" w14:paraId="3693F72E" w14:textId="77777777">
        <w:tc>
          <w:tcPr>
            <w:tcW w:w="0" w:type="auto"/>
            <w:gridSpan w:val="3"/>
            <w:shd w:val="clear" w:color="auto" w:fill="FFFFFF"/>
            <w:tcMar>
              <w:top w:w="40" w:type="dxa"/>
              <w:left w:w="360" w:type="dxa"/>
              <w:bottom w:w="40" w:type="dxa"/>
              <w:right w:w="20" w:type="dxa"/>
            </w:tcMar>
            <w:vAlign w:val="bottom"/>
          </w:tcPr>
          <w:p w14:paraId="3693F71E" w14:textId="77777777" w:rsidR="003734EC" w:rsidRDefault="000E364E">
            <w:pPr>
              <w:textAlignment w:val="bottom"/>
            </w:pPr>
            <w:r>
              <w:rPr>
                <w:rFonts w:ascii="sans-serif" w:eastAsia="sans-serif" w:hAnsi="sans-serif" w:cs="sans-serif"/>
                <w:color w:val="000000"/>
                <w:sz w:val="20"/>
                <w:szCs w:val="20"/>
              </w:rPr>
              <w:t xml:space="preserve">Other </w:t>
            </w:r>
            <w:r>
              <w:rPr>
                <w:rFonts w:ascii="sans-serif" w:eastAsia="sans-serif" w:hAnsi="sans-serif" w:cs="sans-serif"/>
                <w:color w:val="000000"/>
                <w:sz w:val="20"/>
                <w:szCs w:val="20"/>
              </w:rPr>
              <w:t>countries</w:t>
            </w:r>
          </w:p>
        </w:tc>
        <w:tc>
          <w:tcPr>
            <w:tcW w:w="0" w:type="auto"/>
            <w:gridSpan w:val="2"/>
            <w:shd w:val="clear" w:color="auto" w:fill="FFFFFF"/>
            <w:tcMar>
              <w:top w:w="40" w:type="dxa"/>
              <w:left w:w="20" w:type="dxa"/>
              <w:bottom w:w="40" w:type="dxa"/>
              <w:right w:w="0" w:type="dxa"/>
            </w:tcMar>
            <w:vAlign w:val="bottom"/>
          </w:tcPr>
          <w:p w14:paraId="3693F71F" w14:textId="77777777" w:rsidR="003734EC" w:rsidRDefault="000E364E">
            <w:pPr>
              <w:jc w:val="right"/>
              <w:textAlignment w:val="bottom"/>
            </w:pPr>
            <w:r>
              <w:rPr>
                <w:rFonts w:ascii="sans-serif" w:eastAsia="sans-serif" w:hAnsi="sans-serif" w:cs="sans-serif"/>
                <w:color w:val="000000"/>
                <w:sz w:val="20"/>
                <w:szCs w:val="20"/>
              </w:rPr>
              <w:t>151 </w:t>
            </w:r>
          </w:p>
        </w:tc>
        <w:tc>
          <w:tcPr>
            <w:tcW w:w="0" w:type="auto"/>
            <w:shd w:val="clear" w:color="auto" w:fill="FFFFFF"/>
            <w:tcMar>
              <w:top w:w="40" w:type="dxa"/>
              <w:bottom w:w="40" w:type="dxa"/>
              <w:right w:w="20" w:type="dxa"/>
            </w:tcMar>
            <w:vAlign w:val="bottom"/>
          </w:tcPr>
          <w:p w14:paraId="3693F72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721"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722" w14:textId="77777777" w:rsidR="003734EC" w:rsidRDefault="000E364E">
            <w:pPr>
              <w:jc w:val="right"/>
              <w:textAlignment w:val="bottom"/>
            </w:pPr>
            <w:r>
              <w:rPr>
                <w:rFonts w:ascii="sans-serif" w:eastAsia="sans-serif" w:hAnsi="sans-serif" w:cs="sans-serif"/>
                <w:color w:val="000000"/>
                <w:sz w:val="20"/>
                <w:szCs w:val="20"/>
              </w:rPr>
              <w:t>133 </w:t>
            </w:r>
          </w:p>
        </w:tc>
        <w:tc>
          <w:tcPr>
            <w:tcW w:w="0" w:type="auto"/>
            <w:shd w:val="clear" w:color="auto" w:fill="FFFFFF"/>
            <w:tcMar>
              <w:top w:w="40" w:type="dxa"/>
              <w:bottom w:w="40" w:type="dxa"/>
              <w:right w:w="20" w:type="dxa"/>
            </w:tcMar>
            <w:vAlign w:val="bottom"/>
          </w:tcPr>
          <w:p w14:paraId="3693F72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24" w14:textId="77777777" w:rsidR="003734EC" w:rsidRDefault="003734EC">
            <w:pPr>
              <w:rPr>
                <w:rFonts w:ascii="宋体"/>
                <w:vanish/>
              </w:rPr>
            </w:pPr>
          </w:p>
        </w:tc>
        <w:tc>
          <w:tcPr>
            <w:tcW w:w="0" w:type="auto"/>
            <w:shd w:val="clear" w:color="auto" w:fill="auto"/>
            <w:vAlign w:val="center"/>
          </w:tcPr>
          <w:p w14:paraId="3693F725" w14:textId="77777777" w:rsidR="003734EC" w:rsidRDefault="003734EC">
            <w:pPr>
              <w:rPr>
                <w:rFonts w:ascii="宋体"/>
                <w:vanish/>
              </w:rPr>
            </w:pPr>
          </w:p>
        </w:tc>
        <w:tc>
          <w:tcPr>
            <w:tcW w:w="0" w:type="auto"/>
            <w:shd w:val="clear" w:color="auto" w:fill="auto"/>
            <w:vAlign w:val="center"/>
          </w:tcPr>
          <w:p w14:paraId="3693F726" w14:textId="77777777" w:rsidR="003734EC" w:rsidRDefault="003734EC">
            <w:pPr>
              <w:rPr>
                <w:rFonts w:ascii="宋体"/>
                <w:vanish/>
              </w:rPr>
            </w:pPr>
          </w:p>
        </w:tc>
        <w:tc>
          <w:tcPr>
            <w:tcW w:w="0" w:type="auto"/>
            <w:shd w:val="clear" w:color="auto" w:fill="auto"/>
            <w:vAlign w:val="center"/>
          </w:tcPr>
          <w:p w14:paraId="3693F727" w14:textId="77777777" w:rsidR="003734EC" w:rsidRDefault="003734EC">
            <w:pPr>
              <w:rPr>
                <w:rFonts w:ascii="宋体"/>
                <w:vanish/>
              </w:rPr>
            </w:pPr>
          </w:p>
        </w:tc>
        <w:tc>
          <w:tcPr>
            <w:tcW w:w="0" w:type="auto"/>
            <w:shd w:val="clear" w:color="auto" w:fill="auto"/>
            <w:vAlign w:val="center"/>
          </w:tcPr>
          <w:p w14:paraId="3693F728" w14:textId="77777777" w:rsidR="003734EC" w:rsidRDefault="003734EC">
            <w:pPr>
              <w:rPr>
                <w:rFonts w:ascii="宋体"/>
              </w:rPr>
            </w:pPr>
          </w:p>
        </w:tc>
        <w:tc>
          <w:tcPr>
            <w:tcW w:w="0" w:type="auto"/>
            <w:shd w:val="clear" w:color="auto" w:fill="auto"/>
            <w:vAlign w:val="center"/>
          </w:tcPr>
          <w:p w14:paraId="3693F729" w14:textId="77777777" w:rsidR="003734EC" w:rsidRDefault="003734EC">
            <w:pPr>
              <w:rPr>
                <w:rFonts w:ascii="宋体"/>
              </w:rPr>
            </w:pPr>
          </w:p>
        </w:tc>
        <w:tc>
          <w:tcPr>
            <w:tcW w:w="0" w:type="auto"/>
            <w:shd w:val="clear" w:color="auto" w:fill="auto"/>
            <w:vAlign w:val="center"/>
          </w:tcPr>
          <w:p w14:paraId="3693F72A" w14:textId="77777777" w:rsidR="003734EC" w:rsidRDefault="003734EC">
            <w:pPr>
              <w:rPr>
                <w:rFonts w:ascii="宋体"/>
              </w:rPr>
            </w:pPr>
          </w:p>
        </w:tc>
        <w:tc>
          <w:tcPr>
            <w:tcW w:w="0" w:type="auto"/>
            <w:shd w:val="clear" w:color="auto" w:fill="auto"/>
            <w:vAlign w:val="center"/>
          </w:tcPr>
          <w:p w14:paraId="3693F72B" w14:textId="77777777" w:rsidR="003734EC" w:rsidRDefault="003734EC">
            <w:pPr>
              <w:rPr>
                <w:rFonts w:ascii="宋体"/>
              </w:rPr>
            </w:pPr>
          </w:p>
        </w:tc>
        <w:tc>
          <w:tcPr>
            <w:tcW w:w="0" w:type="auto"/>
            <w:shd w:val="clear" w:color="auto" w:fill="auto"/>
            <w:vAlign w:val="center"/>
          </w:tcPr>
          <w:p w14:paraId="3693F72C" w14:textId="77777777" w:rsidR="003734EC" w:rsidRDefault="003734EC">
            <w:pPr>
              <w:rPr>
                <w:rFonts w:ascii="宋体"/>
              </w:rPr>
            </w:pPr>
          </w:p>
        </w:tc>
        <w:tc>
          <w:tcPr>
            <w:tcW w:w="0" w:type="auto"/>
            <w:shd w:val="clear" w:color="auto" w:fill="auto"/>
            <w:vAlign w:val="center"/>
          </w:tcPr>
          <w:p w14:paraId="3693F72D" w14:textId="77777777" w:rsidR="003734EC" w:rsidRDefault="003734EC">
            <w:pPr>
              <w:rPr>
                <w:rFonts w:ascii="宋体"/>
              </w:rPr>
            </w:pPr>
          </w:p>
        </w:tc>
      </w:tr>
      <w:tr w:rsidR="003734EC" w14:paraId="3693F741" w14:textId="77777777">
        <w:tc>
          <w:tcPr>
            <w:tcW w:w="0" w:type="auto"/>
            <w:gridSpan w:val="3"/>
            <w:shd w:val="clear" w:color="auto" w:fill="E2EFD9"/>
            <w:tcMar>
              <w:top w:w="40" w:type="dxa"/>
              <w:left w:w="20" w:type="dxa"/>
              <w:bottom w:w="40" w:type="dxa"/>
              <w:right w:w="20" w:type="dxa"/>
            </w:tcMar>
            <w:vAlign w:val="bottom"/>
          </w:tcPr>
          <w:p w14:paraId="3693F72F" w14:textId="77777777" w:rsidR="003734EC" w:rsidRDefault="000E364E">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730"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731"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73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733"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734"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735"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73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37" w14:textId="77777777" w:rsidR="003734EC" w:rsidRDefault="003734EC">
            <w:pPr>
              <w:rPr>
                <w:rFonts w:ascii="宋体"/>
                <w:vanish/>
              </w:rPr>
            </w:pPr>
          </w:p>
        </w:tc>
        <w:tc>
          <w:tcPr>
            <w:tcW w:w="0" w:type="auto"/>
            <w:shd w:val="clear" w:color="auto" w:fill="auto"/>
            <w:vAlign w:val="center"/>
          </w:tcPr>
          <w:p w14:paraId="3693F738" w14:textId="77777777" w:rsidR="003734EC" w:rsidRDefault="003734EC">
            <w:pPr>
              <w:rPr>
                <w:rFonts w:ascii="宋体"/>
                <w:vanish/>
              </w:rPr>
            </w:pPr>
          </w:p>
        </w:tc>
        <w:tc>
          <w:tcPr>
            <w:tcW w:w="0" w:type="auto"/>
            <w:shd w:val="clear" w:color="auto" w:fill="auto"/>
            <w:vAlign w:val="center"/>
          </w:tcPr>
          <w:p w14:paraId="3693F739" w14:textId="77777777" w:rsidR="003734EC" w:rsidRDefault="003734EC">
            <w:pPr>
              <w:rPr>
                <w:rFonts w:ascii="宋体"/>
                <w:vanish/>
              </w:rPr>
            </w:pPr>
          </w:p>
        </w:tc>
        <w:tc>
          <w:tcPr>
            <w:tcW w:w="0" w:type="auto"/>
            <w:shd w:val="clear" w:color="auto" w:fill="auto"/>
            <w:vAlign w:val="center"/>
          </w:tcPr>
          <w:p w14:paraId="3693F73A" w14:textId="77777777" w:rsidR="003734EC" w:rsidRDefault="003734EC">
            <w:pPr>
              <w:rPr>
                <w:rFonts w:ascii="宋体"/>
                <w:vanish/>
              </w:rPr>
            </w:pPr>
          </w:p>
        </w:tc>
        <w:tc>
          <w:tcPr>
            <w:tcW w:w="0" w:type="auto"/>
            <w:shd w:val="clear" w:color="auto" w:fill="auto"/>
            <w:vAlign w:val="center"/>
          </w:tcPr>
          <w:p w14:paraId="3693F73B" w14:textId="77777777" w:rsidR="003734EC" w:rsidRDefault="003734EC">
            <w:pPr>
              <w:rPr>
                <w:rFonts w:ascii="宋体"/>
              </w:rPr>
            </w:pPr>
          </w:p>
        </w:tc>
        <w:tc>
          <w:tcPr>
            <w:tcW w:w="0" w:type="auto"/>
            <w:shd w:val="clear" w:color="auto" w:fill="auto"/>
            <w:vAlign w:val="center"/>
          </w:tcPr>
          <w:p w14:paraId="3693F73C" w14:textId="77777777" w:rsidR="003734EC" w:rsidRDefault="003734EC">
            <w:pPr>
              <w:rPr>
                <w:rFonts w:ascii="宋体"/>
              </w:rPr>
            </w:pPr>
          </w:p>
        </w:tc>
        <w:tc>
          <w:tcPr>
            <w:tcW w:w="0" w:type="auto"/>
            <w:shd w:val="clear" w:color="auto" w:fill="auto"/>
            <w:vAlign w:val="center"/>
          </w:tcPr>
          <w:p w14:paraId="3693F73D" w14:textId="77777777" w:rsidR="003734EC" w:rsidRDefault="003734EC">
            <w:pPr>
              <w:rPr>
                <w:rFonts w:ascii="宋体"/>
              </w:rPr>
            </w:pPr>
          </w:p>
        </w:tc>
        <w:tc>
          <w:tcPr>
            <w:tcW w:w="0" w:type="auto"/>
            <w:shd w:val="clear" w:color="auto" w:fill="auto"/>
            <w:vAlign w:val="center"/>
          </w:tcPr>
          <w:p w14:paraId="3693F73E" w14:textId="77777777" w:rsidR="003734EC" w:rsidRDefault="003734EC">
            <w:pPr>
              <w:rPr>
                <w:rFonts w:ascii="宋体"/>
              </w:rPr>
            </w:pPr>
          </w:p>
        </w:tc>
        <w:tc>
          <w:tcPr>
            <w:tcW w:w="0" w:type="auto"/>
            <w:shd w:val="clear" w:color="auto" w:fill="auto"/>
            <w:vAlign w:val="center"/>
          </w:tcPr>
          <w:p w14:paraId="3693F73F" w14:textId="77777777" w:rsidR="003734EC" w:rsidRDefault="003734EC">
            <w:pPr>
              <w:rPr>
                <w:rFonts w:ascii="宋体"/>
              </w:rPr>
            </w:pPr>
          </w:p>
        </w:tc>
        <w:tc>
          <w:tcPr>
            <w:tcW w:w="0" w:type="auto"/>
            <w:shd w:val="clear" w:color="auto" w:fill="auto"/>
            <w:vAlign w:val="center"/>
          </w:tcPr>
          <w:p w14:paraId="3693F740" w14:textId="77777777" w:rsidR="003734EC" w:rsidRDefault="003734EC">
            <w:pPr>
              <w:rPr>
                <w:rFonts w:ascii="宋体"/>
              </w:rPr>
            </w:pPr>
          </w:p>
        </w:tc>
      </w:tr>
    </w:tbl>
    <w:p w14:paraId="3693F742" w14:textId="77777777" w:rsidR="003734EC" w:rsidRDefault="000E364E">
      <w:pPr>
        <w:spacing w:before="360" w:after="360"/>
        <w:jc w:val="both"/>
      </w:pPr>
      <w:r>
        <w:rPr>
          <w:rFonts w:ascii="sans-serif" w:eastAsia="sans-serif" w:hAnsi="sans-serif" w:cs="sans-serif"/>
          <w:color w:val="000000"/>
          <w:sz w:val="20"/>
          <w:szCs w:val="20"/>
        </w:rPr>
        <w:t>The</w:t>
      </w:r>
      <w:r>
        <w:rPr>
          <w:rFonts w:ascii="sans-serif" w:eastAsia="sans-serif" w:hAnsi="sans-serif" w:cs="sans-serif"/>
          <w:color w:val="000000"/>
          <w:sz w:val="20"/>
          <w:szCs w:val="20"/>
        </w:rPr>
        <w:t xml:space="preserve"> following table summarizes information pertaining to our revenue by each of the specialized markets we serve:</w:t>
      </w:r>
    </w:p>
    <w:tbl>
      <w:tblPr>
        <w:tblW w:w="5000" w:type="pct"/>
        <w:tblCellMar>
          <w:top w:w="15" w:type="dxa"/>
          <w:left w:w="15" w:type="dxa"/>
          <w:bottom w:w="15" w:type="dxa"/>
          <w:right w:w="15" w:type="dxa"/>
        </w:tblCellMar>
        <w:tblLook w:val="04A0" w:firstRow="1" w:lastRow="0" w:firstColumn="1" w:lastColumn="0" w:noHBand="0" w:noVBand="1"/>
      </w:tblPr>
      <w:tblGrid>
        <w:gridCol w:w="51"/>
        <w:gridCol w:w="4931"/>
        <w:gridCol w:w="51"/>
        <w:gridCol w:w="137"/>
        <w:gridCol w:w="1211"/>
        <w:gridCol w:w="81"/>
        <w:gridCol w:w="36"/>
        <w:gridCol w:w="36"/>
        <w:gridCol w:w="36"/>
        <w:gridCol w:w="137"/>
        <w:gridCol w:w="1188"/>
        <w:gridCol w:w="81"/>
        <w:gridCol w:w="36"/>
        <w:gridCol w:w="36"/>
        <w:gridCol w:w="36"/>
        <w:gridCol w:w="36"/>
        <w:gridCol w:w="36"/>
        <w:gridCol w:w="36"/>
        <w:gridCol w:w="36"/>
        <w:gridCol w:w="36"/>
        <w:gridCol w:w="36"/>
        <w:gridCol w:w="36"/>
      </w:tblGrid>
      <w:tr w:rsidR="003734EC" w14:paraId="3693F753" w14:textId="77777777">
        <w:trPr>
          <w:gridAfter w:val="6"/>
        </w:trPr>
        <w:tc>
          <w:tcPr>
            <w:tcW w:w="50" w:type="pct"/>
            <w:shd w:val="clear" w:color="auto" w:fill="auto"/>
            <w:vAlign w:val="center"/>
          </w:tcPr>
          <w:p w14:paraId="3693F743" w14:textId="77777777" w:rsidR="003734EC" w:rsidRDefault="003734EC">
            <w:pPr>
              <w:rPr>
                <w:rFonts w:ascii="宋体"/>
              </w:rPr>
            </w:pPr>
          </w:p>
        </w:tc>
        <w:tc>
          <w:tcPr>
            <w:tcW w:w="3109" w:type="pct"/>
            <w:shd w:val="clear" w:color="auto" w:fill="auto"/>
            <w:vAlign w:val="center"/>
          </w:tcPr>
          <w:p w14:paraId="3693F744" w14:textId="77777777" w:rsidR="003734EC" w:rsidRDefault="003734EC">
            <w:pPr>
              <w:rPr>
                <w:rFonts w:ascii="宋体"/>
              </w:rPr>
            </w:pPr>
          </w:p>
        </w:tc>
        <w:tc>
          <w:tcPr>
            <w:tcW w:w="50" w:type="pct"/>
            <w:shd w:val="clear" w:color="auto" w:fill="auto"/>
            <w:vAlign w:val="center"/>
          </w:tcPr>
          <w:p w14:paraId="3693F745" w14:textId="77777777" w:rsidR="003734EC" w:rsidRDefault="003734EC">
            <w:pPr>
              <w:rPr>
                <w:rFonts w:ascii="宋体"/>
              </w:rPr>
            </w:pPr>
          </w:p>
        </w:tc>
        <w:tc>
          <w:tcPr>
            <w:tcW w:w="50" w:type="pct"/>
            <w:shd w:val="clear" w:color="auto" w:fill="auto"/>
            <w:vAlign w:val="center"/>
          </w:tcPr>
          <w:p w14:paraId="3693F746" w14:textId="77777777" w:rsidR="003734EC" w:rsidRDefault="003734EC">
            <w:pPr>
              <w:rPr>
                <w:rFonts w:ascii="宋体"/>
              </w:rPr>
            </w:pPr>
          </w:p>
        </w:tc>
        <w:tc>
          <w:tcPr>
            <w:tcW w:w="777" w:type="pct"/>
            <w:shd w:val="clear" w:color="auto" w:fill="auto"/>
            <w:vAlign w:val="center"/>
          </w:tcPr>
          <w:p w14:paraId="3693F747" w14:textId="77777777" w:rsidR="003734EC" w:rsidRDefault="003734EC">
            <w:pPr>
              <w:rPr>
                <w:rFonts w:ascii="宋体"/>
              </w:rPr>
            </w:pPr>
          </w:p>
        </w:tc>
        <w:tc>
          <w:tcPr>
            <w:tcW w:w="50" w:type="pct"/>
            <w:shd w:val="clear" w:color="auto" w:fill="auto"/>
            <w:vAlign w:val="center"/>
          </w:tcPr>
          <w:p w14:paraId="3693F748" w14:textId="77777777" w:rsidR="003734EC" w:rsidRDefault="003734EC">
            <w:pPr>
              <w:rPr>
                <w:rFonts w:ascii="宋体"/>
              </w:rPr>
            </w:pPr>
          </w:p>
        </w:tc>
        <w:tc>
          <w:tcPr>
            <w:tcW w:w="5" w:type="pct"/>
            <w:shd w:val="clear" w:color="auto" w:fill="auto"/>
            <w:vAlign w:val="center"/>
          </w:tcPr>
          <w:p w14:paraId="3693F749" w14:textId="77777777" w:rsidR="003734EC" w:rsidRDefault="003734EC">
            <w:pPr>
              <w:rPr>
                <w:rFonts w:ascii="宋体"/>
              </w:rPr>
            </w:pPr>
          </w:p>
        </w:tc>
        <w:tc>
          <w:tcPr>
            <w:tcW w:w="26" w:type="pct"/>
            <w:shd w:val="clear" w:color="auto" w:fill="auto"/>
            <w:vAlign w:val="center"/>
          </w:tcPr>
          <w:p w14:paraId="3693F74A" w14:textId="77777777" w:rsidR="003734EC" w:rsidRDefault="003734EC">
            <w:pPr>
              <w:rPr>
                <w:rFonts w:ascii="宋体"/>
              </w:rPr>
            </w:pPr>
          </w:p>
        </w:tc>
        <w:tc>
          <w:tcPr>
            <w:tcW w:w="5" w:type="pct"/>
            <w:shd w:val="clear" w:color="auto" w:fill="auto"/>
            <w:vAlign w:val="center"/>
          </w:tcPr>
          <w:p w14:paraId="3693F74B" w14:textId="77777777" w:rsidR="003734EC" w:rsidRDefault="003734EC">
            <w:pPr>
              <w:rPr>
                <w:rFonts w:ascii="宋体"/>
              </w:rPr>
            </w:pPr>
          </w:p>
        </w:tc>
        <w:tc>
          <w:tcPr>
            <w:tcW w:w="50" w:type="pct"/>
            <w:shd w:val="clear" w:color="auto" w:fill="auto"/>
            <w:vAlign w:val="center"/>
          </w:tcPr>
          <w:p w14:paraId="3693F74C" w14:textId="77777777" w:rsidR="003734EC" w:rsidRDefault="003734EC">
            <w:pPr>
              <w:rPr>
                <w:rFonts w:ascii="宋体"/>
              </w:rPr>
            </w:pPr>
          </w:p>
        </w:tc>
        <w:tc>
          <w:tcPr>
            <w:tcW w:w="777" w:type="pct"/>
            <w:shd w:val="clear" w:color="auto" w:fill="auto"/>
            <w:vAlign w:val="center"/>
          </w:tcPr>
          <w:p w14:paraId="3693F74D" w14:textId="77777777" w:rsidR="003734EC" w:rsidRDefault="003734EC">
            <w:pPr>
              <w:rPr>
                <w:rFonts w:ascii="宋体"/>
              </w:rPr>
            </w:pPr>
          </w:p>
        </w:tc>
        <w:tc>
          <w:tcPr>
            <w:tcW w:w="50" w:type="pct"/>
            <w:shd w:val="clear" w:color="auto" w:fill="auto"/>
            <w:vAlign w:val="center"/>
          </w:tcPr>
          <w:p w14:paraId="3693F74E" w14:textId="77777777" w:rsidR="003734EC" w:rsidRDefault="003734EC">
            <w:pPr>
              <w:rPr>
                <w:rFonts w:ascii="宋体"/>
              </w:rPr>
            </w:pPr>
          </w:p>
        </w:tc>
        <w:tc>
          <w:tcPr>
            <w:tcW w:w="0" w:type="auto"/>
            <w:shd w:val="clear" w:color="auto" w:fill="auto"/>
            <w:vAlign w:val="center"/>
          </w:tcPr>
          <w:p w14:paraId="3693F74F" w14:textId="77777777" w:rsidR="003734EC" w:rsidRDefault="003734EC">
            <w:pPr>
              <w:rPr>
                <w:rFonts w:ascii="宋体"/>
                <w:vanish/>
              </w:rPr>
            </w:pPr>
          </w:p>
        </w:tc>
        <w:tc>
          <w:tcPr>
            <w:tcW w:w="0" w:type="auto"/>
            <w:shd w:val="clear" w:color="auto" w:fill="auto"/>
            <w:vAlign w:val="center"/>
          </w:tcPr>
          <w:p w14:paraId="3693F750" w14:textId="77777777" w:rsidR="003734EC" w:rsidRDefault="003734EC">
            <w:pPr>
              <w:rPr>
                <w:rFonts w:ascii="宋体"/>
                <w:vanish/>
              </w:rPr>
            </w:pPr>
          </w:p>
        </w:tc>
        <w:tc>
          <w:tcPr>
            <w:tcW w:w="0" w:type="auto"/>
            <w:shd w:val="clear" w:color="auto" w:fill="auto"/>
            <w:vAlign w:val="center"/>
          </w:tcPr>
          <w:p w14:paraId="3693F751" w14:textId="77777777" w:rsidR="003734EC" w:rsidRDefault="003734EC">
            <w:pPr>
              <w:rPr>
                <w:rFonts w:ascii="宋体"/>
                <w:vanish/>
              </w:rPr>
            </w:pPr>
          </w:p>
        </w:tc>
        <w:tc>
          <w:tcPr>
            <w:tcW w:w="0" w:type="auto"/>
            <w:shd w:val="clear" w:color="auto" w:fill="auto"/>
            <w:vAlign w:val="center"/>
          </w:tcPr>
          <w:p w14:paraId="3693F752" w14:textId="77777777" w:rsidR="003734EC" w:rsidRDefault="003734EC">
            <w:pPr>
              <w:rPr>
                <w:rFonts w:ascii="宋体"/>
                <w:vanish/>
              </w:rPr>
            </w:pPr>
          </w:p>
        </w:tc>
      </w:tr>
      <w:tr w:rsidR="003734EC" w14:paraId="3693F75C" w14:textId="77777777">
        <w:tc>
          <w:tcPr>
            <w:tcW w:w="0" w:type="auto"/>
            <w:gridSpan w:val="3"/>
            <w:shd w:val="clear" w:color="auto" w:fill="auto"/>
            <w:tcMar>
              <w:top w:w="40" w:type="dxa"/>
              <w:left w:w="20" w:type="dxa"/>
              <w:bottom w:w="40" w:type="dxa"/>
              <w:right w:w="20" w:type="dxa"/>
            </w:tcMar>
            <w:vAlign w:val="bottom"/>
          </w:tcPr>
          <w:p w14:paraId="3693F754"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755"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756" w14:textId="77777777" w:rsidR="003734EC" w:rsidRDefault="003734EC">
            <w:pPr>
              <w:rPr>
                <w:rFonts w:ascii="宋体"/>
                <w:vanish/>
              </w:rPr>
            </w:pPr>
          </w:p>
        </w:tc>
        <w:tc>
          <w:tcPr>
            <w:tcW w:w="0" w:type="auto"/>
            <w:shd w:val="clear" w:color="auto" w:fill="auto"/>
            <w:vAlign w:val="center"/>
          </w:tcPr>
          <w:p w14:paraId="3693F757" w14:textId="77777777" w:rsidR="003734EC" w:rsidRDefault="003734EC">
            <w:pPr>
              <w:rPr>
                <w:rFonts w:ascii="宋体"/>
                <w:vanish/>
              </w:rPr>
            </w:pPr>
          </w:p>
        </w:tc>
        <w:tc>
          <w:tcPr>
            <w:tcW w:w="0" w:type="auto"/>
            <w:shd w:val="clear" w:color="auto" w:fill="auto"/>
            <w:vAlign w:val="center"/>
          </w:tcPr>
          <w:p w14:paraId="3693F758" w14:textId="77777777" w:rsidR="003734EC" w:rsidRDefault="003734EC">
            <w:pPr>
              <w:rPr>
                <w:rFonts w:ascii="宋体"/>
                <w:vanish/>
              </w:rPr>
            </w:pPr>
          </w:p>
        </w:tc>
        <w:tc>
          <w:tcPr>
            <w:tcW w:w="0" w:type="auto"/>
            <w:shd w:val="clear" w:color="auto" w:fill="auto"/>
            <w:vAlign w:val="center"/>
          </w:tcPr>
          <w:p w14:paraId="3693F759" w14:textId="77777777" w:rsidR="003734EC" w:rsidRDefault="003734EC">
            <w:pPr>
              <w:rPr>
                <w:rFonts w:ascii="宋体"/>
                <w:vanish/>
              </w:rPr>
            </w:pPr>
          </w:p>
        </w:tc>
        <w:tc>
          <w:tcPr>
            <w:tcW w:w="0" w:type="auto"/>
            <w:gridSpan w:val="3"/>
            <w:shd w:val="clear" w:color="auto" w:fill="auto"/>
            <w:vAlign w:val="center"/>
          </w:tcPr>
          <w:p w14:paraId="3693F75A" w14:textId="77777777" w:rsidR="003734EC" w:rsidRDefault="003734EC">
            <w:pPr>
              <w:rPr>
                <w:rFonts w:ascii="宋体"/>
                <w:vanish/>
              </w:rPr>
            </w:pPr>
          </w:p>
        </w:tc>
        <w:tc>
          <w:tcPr>
            <w:tcW w:w="0" w:type="auto"/>
            <w:gridSpan w:val="3"/>
            <w:shd w:val="clear" w:color="auto" w:fill="auto"/>
            <w:vAlign w:val="center"/>
          </w:tcPr>
          <w:p w14:paraId="3693F75B" w14:textId="77777777" w:rsidR="003734EC" w:rsidRDefault="003734EC">
            <w:pPr>
              <w:rPr>
                <w:rFonts w:ascii="宋体"/>
                <w:vanish/>
              </w:rPr>
            </w:pPr>
          </w:p>
        </w:tc>
      </w:tr>
      <w:tr w:rsidR="003734EC" w14:paraId="3693F76B" w14:textId="77777777">
        <w:tc>
          <w:tcPr>
            <w:tcW w:w="0" w:type="auto"/>
            <w:gridSpan w:val="3"/>
            <w:shd w:val="clear" w:color="auto" w:fill="auto"/>
            <w:tcMar>
              <w:left w:w="20" w:type="dxa"/>
              <w:right w:w="20" w:type="dxa"/>
            </w:tcMar>
            <w:vAlign w:val="bottom"/>
          </w:tcPr>
          <w:p w14:paraId="3693F75D"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75E" w14:textId="77777777" w:rsidR="003734EC" w:rsidRDefault="000E364E">
            <w:pPr>
              <w:jc w:val="center"/>
              <w:textAlignment w:val="bottom"/>
            </w:pPr>
            <w:r>
              <w:rPr>
                <w:rFonts w:ascii="sans-serif" w:eastAsia="sans-serif" w:hAnsi="sans-serif" w:cs="sans-serif"/>
                <w:b/>
                <w:bCs/>
                <w:color w:val="000000"/>
                <w:sz w:val="20"/>
                <w:szCs w:val="20"/>
              </w:rPr>
              <w:t>April 26,</w:t>
            </w:r>
          </w:p>
        </w:tc>
        <w:tc>
          <w:tcPr>
            <w:tcW w:w="0" w:type="auto"/>
            <w:gridSpan w:val="3"/>
            <w:tcBorders>
              <w:top w:val="single" w:sz="8" w:space="0" w:color="000000"/>
            </w:tcBorders>
            <w:shd w:val="clear" w:color="auto" w:fill="auto"/>
            <w:tcMar>
              <w:left w:w="20" w:type="dxa"/>
              <w:right w:w="20" w:type="dxa"/>
            </w:tcMar>
            <w:vAlign w:val="bottom"/>
          </w:tcPr>
          <w:p w14:paraId="3693F75F"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760" w14:textId="77777777" w:rsidR="003734EC" w:rsidRDefault="000E364E">
            <w:pPr>
              <w:jc w:val="center"/>
              <w:textAlignment w:val="bottom"/>
            </w:pPr>
            <w:r>
              <w:rPr>
                <w:rFonts w:ascii="sans-serif" w:eastAsia="sans-serif" w:hAnsi="sans-serif" w:cs="sans-serif"/>
                <w:b/>
                <w:bCs/>
                <w:color w:val="000000"/>
                <w:sz w:val="20"/>
                <w:szCs w:val="20"/>
              </w:rPr>
              <w:t>April 28,</w:t>
            </w:r>
          </w:p>
        </w:tc>
        <w:tc>
          <w:tcPr>
            <w:tcW w:w="0" w:type="auto"/>
            <w:shd w:val="clear" w:color="auto" w:fill="auto"/>
            <w:vAlign w:val="center"/>
          </w:tcPr>
          <w:p w14:paraId="3693F761" w14:textId="77777777" w:rsidR="003734EC" w:rsidRDefault="003734EC">
            <w:pPr>
              <w:rPr>
                <w:rFonts w:ascii="宋体"/>
                <w:vanish/>
              </w:rPr>
            </w:pPr>
          </w:p>
        </w:tc>
        <w:tc>
          <w:tcPr>
            <w:tcW w:w="0" w:type="auto"/>
            <w:shd w:val="clear" w:color="auto" w:fill="auto"/>
            <w:vAlign w:val="center"/>
          </w:tcPr>
          <w:p w14:paraId="3693F762" w14:textId="77777777" w:rsidR="003734EC" w:rsidRDefault="003734EC">
            <w:pPr>
              <w:rPr>
                <w:rFonts w:ascii="宋体"/>
                <w:vanish/>
              </w:rPr>
            </w:pPr>
          </w:p>
        </w:tc>
        <w:tc>
          <w:tcPr>
            <w:tcW w:w="0" w:type="auto"/>
            <w:shd w:val="clear" w:color="auto" w:fill="auto"/>
            <w:vAlign w:val="center"/>
          </w:tcPr>
          <w:p w14:paraId="3693F763" w14:textId="77777777" w:rsidR="003734EC" w:rsidRDefault="003734EC">
            <w:pPr>
              <w:rPr>
                <w:rFonts w:ascii="宋体"/>
                <w:vanish/>
              </w:rPr>
            </w:pPr>
          </w:p>
        </w:tc>
        <w:tc>
          <w:tcPr>
            <w:tcW w:w="0" w:type="auto"/>
            <w:shd w:val="clear" w:color="auto" w:fill="auto"/>
            <w:vAlign w:val="center"/>
          </w:tcPr>
          <w:p w14:paraId="3693F764" w14:textId="77777777" w:rsidR="003734EC" w:rsidRDefault="003734EC">
            <w:pPr>
              <w:rPr>
                <w:rFonts w:ascii="宋体"/>
                <w:vanish/>
              </w:rPr>
            </w:pPr>
          </w:p>
        </w:tc>
        <w:tc>
          <w:tcPr>
            <w:tcW w:w="0" w:type="auto"/>
            <w:shd w:val="clear" w:color="auto" w:fill="auto"/>
            <w:vAlign w:val="center"/>
          </w:tcPr>
          <w:p w14:paraId="3693F765" w14:textId="77777777" w:rsidR="003734EC" w:rsidRDefault="003734EC">
            <w:pPr>
              <w:rPr>
                <w:rFonts w:ascii="宋体"/>
              </w:rPr>
            </w:pPr>
          </w:p>
        </w:tc>
        <w:tc>
          <w:tcPr>
            <w:tcW w:w="0" w:type="auto"/>
            <w:shd w:val="clear" w:color="auto" w:fill="auto"/>
            <w:vAlign w:val="center"/>
          </w:tcPr>
          <w:p w14:paraId="3693F766" w14:textId="77777777" w:rsidR="003734EC" w:rsidRDefault="003734EC">
            <w:pPr>
              <w:rPr>
                <w:rFonts w:ascii="宋体"/>
              </w:rPr>
            </w:pPr>
          </w:p>
        </w:tc>
        <w:tc>
          <w:tcPr>
            <w:tcW w:w="0" w:type="auto"/>
            <w:shd w:val="clear" w:color="auto" w:fill="auto"/>
            <w:vAlign w:val="center"/>
          </w:tcPr>
          <w:p w14:paraId="3693F767" w14:textId="77777777" w:rsidR="003734EC" w:rsidRDefault="003734EC">
            <w:pPr>
              <w:rPr>
                <w:rFonts w:ascii="宋体"/>
              </w:rPr>
            </w:pPr>
          </w:p>
        </w:tc>
        <w:tc>
          <w:tcPr>
            <w:tcW w:w="0" w:type="auto"/>
            <w:shd w:val="clear" w:color="auto" w:fill="auto"/>
            <w:vAlign w:val="center"/>
          </w:tcPr>
          <w:p w14:paraId="3693F768" w14:textId="77777777" w:rsidR="003734EC" w:rsidRDefault="003734EC">
            <w:pPr>
              <w:rPr>
                <w:rFonts w:ascii="宋体"/>
              </w:rPr>
            </w:pPr>
          </w:p>
        </w:tc>
        <w:tc>
          <w:tcPr>
            <w:tcW w:w="0" w:type="auto"/>
            <w:shd w:val="clear" w:color="auto" w:fill="auto"/>
            <w:vAlign w:val="center"/>
          </w:tcPr>
          <w:p w14:paraId="3693F769" w14:textId="77777777" w:rsidR="003734EC" w:rsidRDefault="003734EC">
            <w:pPr>
              <w:rPr>
                <w:rFonts w:ascii="宋体"/>
              </w:rPr>
            </w:pPr>
          </w:p>
        </w:tc>
        <w:tc>
          <w:tcPr>
            <w:tcW w:w="0" w:type="auto"/>
            <w:shd w:val="clear" w:color="auto" w:fill="auto"/>
            <w:vAlign w:val="center"/>
          </w:tcPr>
          <w:p w14:paraId="3693F76A" w14:textId="77777777" w:rsidR="003734EC" w:rsidRDefault="003734EC">
            <w:pPr>
              <w:rPr>
                <w:rFonts w:ascii="宋体"/>
              </w:rPr>
            </w:pPr>
          </w:p>
        </w:tc>
      </w:tr>
      <w:tr w:rsidR="003734EC" w14:paraId="3693F77A" w14:textId="77777777">
        <w:tc>
          <w:tcPr>
            <w:tcW w:w="0" w:type="auto"/>
            <w:gridSpan w:val="3"/>
            <w:shd w:val="clear" w:color="auto" w:fill="auto"/>
            <w:tcMar>
              <w:top w:w="40" w:type="dxa"/>
              <w:left w:w="20" w:type="dxa"/>
              <w:bottom w:w="40" w:type="dxa"/>
              <w:right w:w="20" w:type="dxa"/>
            </w:tcMar>
            <w:vAlign w:val="bottom"/>
          </w:tcPr>
          <w:p w14:paraId="3693F76C"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93F76D" w14:textId="77777777" w:rsidR="003734EC" w:rsidRDefault="000E364E">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3693F76E"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76F" w14:textId="77777777" w:rsidR="003734EC" w:rsidRDefault="000E364E">
            <w:pPr>
              <w:jc w:val="center"/>
              <w:textAlignment w:val="bottom"/>
            </w:pPr>
            <w:r>
              <w:rPr>
                <w:rFonts w:ascii="sans-serif" w:eastAsia="sans-serif" w:hAnsi="sans-serif" w:cs="sans-serif"/>
                <w:b/>
                <w:bCs/>
                <w:color w:val="000000"/>
                <w:sz w:val="20"/>
                <w:szCs w:val="20"/>
              </w:rPr>
              <w:t>2019</w:t>
            </w:r>
          </w:p>
        </w:tc>
        <w:tc>
          <w:tcPr>
            <w:tcW w:w="0" w:type="auto"/>
            <w:shd w:val="clear" w:color="auto" w:fill="auto"/>
            <w:vAlign w:val="center"/>
          </w:tcPr>
          <w:p w14:paraId="3693F770" w14:textId="77777777" w:rsidR="003734EC" w:rsidRDefault="003734EC">
            <w:pPr>
              <w:rPr>
                <w:rFonts w:ascii="宋体"/>
                <w:vanish/>
              </w:rPr>
            </w:pPr>
          </w:p>
        </w:tc>
        <w:tc>
          <w:tcPr>
            <w:tcW w:w="0" w:type="auto"/>
            <w:shd w:val="clear" w:color="auto" w:fill="auto"/>
            <w:vAlign w:val="center"/>
          </w:tcPr>
          <w:p w14:paraId="3693F771" w14:textId="77777777" w:rsidR="003734EC" w:rsidRDefault="003734EC">
            <w:pPr>
              <w:rPr>
                <w:rFonts w:ascii="宋体"/>
                <w:vanish/>
              </w:rPr>
            </w:pPr>
          </w:p>
        </w:tc>
        <w:tc>
          <w:tcPr>
            <w:tcW w:w="0" w:type="auto"/>
            <w:shd w:val="clear" w:color="auto" w:fill="auto"/>
            <w:vAlign w:val="center"/>
          </w:tcPr>
          <w:p w14:paraId="3693F772" w14:textId="77777777" w:rsidR="003734EC" w:rsidRDefault="003734EC">
            <w:pPr>
              <w:rPr>
                <w:rFonts w:ascii="宋体"/>
                <w:vanish/>
              </w:rPr>
            </w:pPr>
          </w:p>
        </w:tc>
        <w:tc>
          <w:tcPr>
            <w:tcW w:w="0" w:type="auto"/>
            <w:shd w:val="clear" w:color="auto" w:fill="auto"/>
            <w:vAlign w:val="center"/>
          </w:tcPr>
          <w:p w14:paraId="3693F773" w14:textId="77777777" w:rsidR="003734EC" w:rsidRDefault="003734EC">
            <w:pPr>
              <w:rPr>
                <w:rFonts w:ascii="宋体"/>
                <w:vanish/>
              </w:rPr>
            </w:pPr>
          </w:p>
        </w:tc>
        <w:tc>
          <w:tcPr>
            <w:tcW w:w="0" w:type="auto"/>
            <w:shd w:val="clear" w:color="auto" w:fill="auto"/>
            <w:vAlign w:val="center"/>
          </w:tcPr>
          <w:p w14:paraId="3693F774" w14:textId="77777777" w:rsidR="003734EC" w:rsidRDefault="003734EC">
            <w:pPr>
              <w:rPr>
                <w:rFonts w:ascii="宋体"/>
              </w:rPr>
            </w:pPr>
          </w:p>
        </w:tc>
        <w:tc>
          <w:tcPr>
            <w:tcW w:w="0" w:type="auto"/>
            <w:shd w:val="clear" w:color="auto" w:fill="auto"/>
            <w:vAlign w:val="center"/>
          </w:tcPr>
          <w:p w14:paraId="3693F775" w14:textId="77777777" w:rsidR="003734EC" w:rsidRDefault="003734EC">
            <w:pPr>
              <w:rPr>
                <w:rFonts w:ascii="宋体"/>
              </w:rPr>
            </w:pPr>
          </w:p>
        </w:tc>
        <w:tc>
          <w:tcPr>
            <w:tcW w:w="0" w:type="auto"/>
            <w:shd w:val="clear" w:color="auto" w:fill="auto"/>
            <w:vAlign w:val="center"/>
          </w:tcPr>
          <w:p w14:paraId="3693F776" w14:textId="77777777" w:rsidR="003734EC" w:rsidRDefault="003734EC">
            <w:pPr>
              <w:rPr>
                <w:rFonts w:ascii="宋体"/>
              </w:rPr>
            </w:pPr>
          </w:p>
        </w:tc>
        <w:tc>
          <w:tcPr>
            <w:tcW w:w="0" w:type="auto"/>
            <w:shd w:val="clear" w:color="auto" w:fill="auto"/>
            <w:vAlign w:val="center"/>
          </w:tcPr>
          <w:p w14:paraId="3693F777" w14:textId="77777777" w:rsidR="003734EC" w:rsidRDefault="003734EC">
            <w:pPr>
              <w:rPr>
                <w:rFonts w:ascii="宋体"/>
              </w:rPr>
            </w:pPr>
          </w:p>
        </w:tc>
        <w:tc>
          <w:tcPr>
            <w:tcW w:w="0" w:type="auto"/>
            <w:shd w:val="clear" w:color="auto" w:fill="auto"/>
            <w:vAlign w:val="center"/>
          </w:tcPr>
          <w:p w14:paraId="3693F778" w14:textId="77777777" w:rsidR="003734EC" w:rsidRDefault="003734EC">
            <w:pPr>
              <w:rPr>
                <w:rFonts w:ascii="宋体"/>
              </w:rPr>
            </w:pPr>
          </w:p>
        </w:tc>
        <w:tc>
          <w:tcPr>
            <w:tcW w:w="0" w:type="auto"/>
            <w:shd w:val="clear" w:color="auto" w:fill="auto"/>
            <w:vAlign w:val="center"/>
          </w:tcPr>
          <w:p w14:paraId="3693F779" w14:textId="77777777" w:rsidR="003734EC" w:rsidRDefault="003734EC">
            <w:pPr>
              <w:rPr>
                <w:rFonts w:ascii="宋体"/>
              </w:rPr>
            </w:pPr>
          </w:p>
        </w:tc>
      </w:tr>
      <w:tr w:rsidR="003734EC" w14:paraId="3693F783" w14:textId="77777777">
        <w:tc>
          <w:tcPr>
            <w:tcW w:w="0" w:type="auto"/>
            <w:gridSpan w:val="3"/>
            <w:shd w:val="clear" w:color="auto" w:fill="auto"/>
            <w:tcMar>
              <w:top w:w="40" w:type="dxa"/>
              <w:left w:w="20" w:type="dxa"/>
              <w:bottom w:w="40" w:type="dxa"/>
              <w:right w:w="20" w:type="dxa"/>
            </w:tcMar>
            <w:vAlign w:val="bottom"/>
          </w:tcPr>
          <w:p w14:paraId="3693F77B"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77C"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center"/>
          </w:tcPr>
          <w:p w14:paraId="3693F77D" w14:textId="77777777" w:rsidR="003734EC" w:rsidRDefault="003734EC">
            <w:pPr>
              <w:rPr>
                <w:rFonts w:ascii="宋体"/>
                <w:vanish/>
              </w:rPr>
            </w:pPr>
          </w:p>
        </w:tc>
        <w:tc>
          <w:tcPr>
            <w:tcW w:w="0" w:type="auto"/>
            <w:shd w:val="clear" w:color="auto" w:fill="auto"/>
            <w:vAlign w:val="center"/>
          </w:tcPr>
          <w:p w14:paraId="3693F77E" w14:textId="77777777" w:rsidR="003734EC" w:rsidRDefault="003734EC">
            <w:pPr>
              <w:rPr>
                <w:rFonts w:ascii="宋体"/>
                <w:vanish/>
              </w:rPr>
            </w:pPr>
          </w:p>
        </w:tc>
        <w:tc>
          <w:tcPr>
            <w:tcW w:w="0" w:type="auto"/>
            <w:shd w:val="clear" w:color="auto" w:fill="auto"/>
            <w:vAlign w:val="center"/>
          </w:tcPr>
          <w:p w14:paraId="3693F77F" w14:textId="77777777" w:rsidR="003734EC" w:rsidRDefault="003734EC">
            <w:pPr>
              <w:rPr>
                <w:rFonts w:ascii="宋体"/>
                <w:vanish/>
              </w:rPr>
            </w:pPr>
          </w:p>
        </w:tc>
        <w:tc>
          <w:tcPr>
            <w:tcW w:w="0" w:type="auto"/>
            <w:shd w:val="clear" w:color="auto" w:fill="auto"/>
            <w:vAlign w:val="center"/>
          </w:tcPr>
          <w:p w14:paraId="3693F780" w14:textId="77777777" w:rsidR="003734EC" w:rsidRDefault="003734EC">
            <w:pPr>
              <w:rPr>
                <w:rFonts w:ascii="宋体"/>
                <w:vanish/>
              </w:rPr>
            </w:pPr>
          </w:p>
        </w:tc>
        <w:tc>
          <w:tcPr>
            <w:tcW w:w="0" w:type="auto"/>
            <w:gridSpan w:val="3"/>
            <w:shd w:val="clear" w:color="auto" w:fill="auto"/>
            <w:vAlign w:val="center"/>
          </w:tcPr>
          <w:p w14:paraId="3693F781" w14:textId="77777777" w:rsidR="003734EC" w:rsidRDefault="003734EC">
            <w:pPr>
              <w:rPr>
                <w:rFonts w:ascii="宋体"/>
                <w:vanish/>
              </w:rPr>
            </w:pPr>
          </w:p>
        </w:tc>
        <w:tc>
          <w:tcPr>
            <w:tcW w:w="0" w:type="auto"/>
            <w:gridSpan w:val="3"/>
            <w:shd w:val="clear" w:color="auto" w:fill="auto"/>
            <w:vAlign w:val="center"/>
          </w:tcPr>
          <w:p w14:paraId="3693F782" w14:textId="77777777" w:rsidR="003734EC" w:rsidRDefault="003734EC">
            <w:pPr>
              <w:rPr>
                <w:rFonts w:ascii="宋体"/>
                <w:vanish/>
              </w:rPr>
            </w:pPr>
          </w:p>
        </w:tc>
      </w:tr>
      <w:tr w:rsidR="003734EC" w14:paraId="3693F792" w14:textId="77777777">
        <w:tc>
          <w:tcPr>
            <w:tcW w:w="0" w:type="auto"/>
            <w:gridSpan w:val="3"/>
            <w:shd w:val="clear" w:color="auto" w:fill="auto"/>
            <w:tcMar>
              <w:top w:w="40" w:type="dxa"/>
              <w:left w:w="20" w:type="dxa"/>
              <w:bottom w:w="40" w:type="dxa"/>
              <w:right w:w="20" w:type="dxa"/>
            </w:tcMar>
            <w:vAlign w:val="bottom"/>
          </w:tcPr>
          <w:p w14:paraId="3693F784" w14:textId="77777777" w:rsidR="003734EC" w:rsidRDefault="000E364E">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3693F785"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3693F786"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787" w14:textId="77777777" w:rsidR="003734EC" w:rsidRDefault="000E364E">
            <w:pPr>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88" w14:textId="77777777" w:rsidR="003734EC" w:rsidRDefault="003734EC">
            <w:pPr>
              <w:rPr>
                <w:rFonts w:ascii="宋体"/>
                <w:vanish/>
              </w:rPr>
            </w:pPr>
          </w:p>
        </w:tc>
        <w:tc>
          <w:tcPr>
            <w:tcW w:w="0" w:type="auto"/>
            <w:shd w:val="clear" w:color="auto" w:fill="auto"/>
            <w:vAlign w:val="center"/>
          </w:tcPr>
          <w:p w14:paraId="3693F789" w14:textId="77777777" w:rsidR="003734EC" w:rsidRDefault="003734EC">
            <w:pPr>
              <w:rPr>
                <w:rFonts w:ascii="宋体"/>
                <w:vanish/>
              </w:rPr>
            </w:pPr>
          </w:p>
        </w:tc>
        <w:tc>
          <w:tcPr>
            <w:tcW w:w="0" w:type="auto"/>
            <w:shd w:val="clear" w:color="auto" w:fill="auto"/>
            <w:vAlign w:val="center"/>
          </w:tcPr>
          <w:p w14:paraId="3693F78A" w14:textId="77777777" w:rsidR="003734EC" w:rsidRDefault="003734EC">
            <w:pPr>
              <w:rPr>
                <w:rFonts w:ascii="宋体"/>
                <w:vanish/>
              </w:rPr>
            </w:pPr>
          </w:p>
        </w:tc>
        <w:tc>
          <w:tcPr>
            <w:tcW w:w="0" w:type="auto"/>
            <w:shd w:val="clear" w:color="auto" w:fill="auto"/>
            <w:vAlign w:val="center"/>
          </w:tcPr>
          <w:p w14:paraId="3693F78B" w14:textId="77777777" w:rsidR="003734EC" w:rsidRDefault="003734EC">
            <w:pPr>
              <w:rPr>
                <w:rFonts w:ascii="宋体"/>
                <w:vanish/>
              </w:rPr>
            </w:pPr>
          </w:p>
        </w:tc>
        <w:tc>
          <w:tcPr>
            <w:tcW w:w="0" w:type="auto"/>
            <w:shd w:val="clear" w:color="auto" w:fill="auto"/>
            <w:vAlign w:val="center"/>
          </w:tcPr>
          <w:p w14:paraId="3693F78C" w14:textId="77777777" w:rsidR="003734EC" w:rsidRDefault="003734EC">
            <w:pPr>
              <w:rPr>
                <w:rFonts w:ascii="宋体"/>
              </w:rPr>
            </w:pPr>
          </w:p>
        </w:tc>
        <w:tc>
          <w:tcPr>
            <w:tcW w:w="0" w:type="auto"/>
            <w:shd w:val="clear" w:color="auto" w:fill="auto"/>
            <w:vAlign w:val="center"/>
          </w:tcPr>
          <w:p w14:paraId="3693F78D" w14:textId="77777777" w:rsidR="003734EC" w:rsidRDefault="003734EC">
            <w:pPr>
              <w:rPr>
                <w:rFonts w:ascii="宋体"/>
              </w:rPr>
            </w:pPr>
          </w:p>
        </w:tc>
        <w:tc>
          <w:tcPr>
            <w:tcW w:w="0" w:type="auto"/>
            <w:shd w:val="clear" w:color="auto" w:fill="auto"/>
            <w:vAlign w:val="center"/>
          </w:tcPr>
          <w:p w14:paraId="3693F78E" w14:textId="77777777" w:rsidR="003734EC" w:rsidRDefault="003734EC">
            <w:pPr>
              <w:rPr>
                <w:rFonts w:ascii="宋体"/>
              </w:rPr>
            </w:pPr>
          </w:p>
        </w:tc>
        <w:tc>
          <w:tcPr>
            <w:tcW w:w="0" w:type="auto"/>
            <w:shd w:val="clear" w:color="auto" w:fill="auto"/>
            <w:vAlign w:val="center"/>
          </w:tcPr>
          <w:p w14:paraId="3693F78F" w14:textId="77777777" w:rsidR="003734EC" w:rsidRDefault="003734EC">
            <w:pPr>
              <w:rPr>
                <w:rFonts w:ascii="宋体"/>
              </w:rPr>
            </w:pPr>
          </w:p>
        </w:tc>
        <w:tc>
          <w:tcPr>
            <w:tcW w:w="0" w:type="auto"/>
            <w:shd w:val="clear" w:color="auto" w:fill="auto"/>
            <w:vAlign w:val="center"/>
          </w:tcPr>
          <w:p w14:paraId="3693F790" w14:textId="77777777" w:rsidR="003734EC" w:rsidRDefault="003734EC">
            <w:pPr>
              <w:rPr>
                <w:rFonts w:ascii="宋体"/>
              </w:rPr>
            </w:pPr>
          </w:p>
        </w:tc>
        <w:tc>
          <w:tcPr>
            <w:tcW w:w="0" w:type="auto"/>
            <w:shd w:val="clear" w:color="auto" w:fill="auto"/>
            <w:vAlign w:val="center"/>
          </w:tcPr>
          <w:p w14:paraId="3693F791" w14:textId="77777777" w:rsidR="003734EC" w:rsidRDefault="003734EC">
            <w:pPr>
              <w:rPr>
                <w:rFonts w:ascii="宋体"/>
              </w:rPr>
            </w:pPr>
          </w:p>
        </w:tc>
      </w:tr>
      <w:tr w:rsidR="003734EC" w14:paraId="3693F7A5" w14:textId="77777777">
        <w:tc>
          <w:tcPr>
            <w:tcW w:w="0" w:type="auto"/>
            <w:gridSpan w:val="3"/>
            <w:shd w:val="clear" w:color="auto" w:fill="E2EFD9"/>
            <w:tcMar>
              <w:top w:w="40" w:type="dxa"/>
              <w:left w:w="225" w:type="dxa"/>
              <w:bottom w:w="40" w:type="dxa"/>
              <w:right w:w="20" w:type="dxa"/>
            </w:tcMar>
            <w:vAlign w:val="bottom"/>
          </w:tcPr>
          <w:p w14:paraId="3693F793" w14:textId="77777777" w:rsidR="003734EC" w:rsidRDefault="000E364E">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tcMar>
            <w:vAlign w:val="bottom"/>
          </w:tcPr>
          <w:p w14:paraId="3693F79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795" w14:textId="77777777" w:rsidR="003734EC" w:rsidRDefault="000E364E">
            <w:pPr>
              <w:jc w:val="right"/>
              <w:textAlignment w:val="bottom"/>
            </w:pPr>
            <w:r>
              <w:rPr>
                <w:rFonts w:ascii="sans-serif" w:eastAsia="sans-serif" w:hAnsi="sans-serif" w:cs="sans-serif"/>
                <w:color w:val="000000"/>
                <w:sz w:val="20"/>
                <w:szCs w:val="20"/>
              </w:rPr>
              <w:t>1,339 </w:t>
            </w:r>
          </w:p>
        </w:tc>
        <w:tc>
          <w:tcPr>
            <w:tcW w:w="0" w:type="auto"/>
            <w:shd w:val="clear" w:color="auto" w:fill="E2EFD9"/>
            <w:tcMar>
              <w:top w:w="40" w:type="dxa"/>
              <w:bottom w:w="40" w:type="dxa"/>
              <w:right w:w="20" w:type="dxa"/>
            </w:tcMar>
            <w:vAlign w:val="bottom"/>
          </w:tcPr>
          <w:p w14:paraId="3693F79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797"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79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799" w14:textId="77777777" w:rsidR="003734EC" w:rsidRDefault="000E364E">
            <w:pPr>
              <w:jc w:val="right"/>
              <w:textAlignment w:val="bottom"/>
            </w:pPr>
            <w:r>
              <w:rPr>
                <w:rFonts w:ascii="sans-serif" w:eastAsia="sans-serif" w:hAnsi="sans-serif" w:cs="sans-serif"/>
                <w:color w:val="000000"/>
                <w:sz w:val="20"/>
                <w:szCs w:val="20"/>
              </w:rPr>
              <w:t>1,055 </w:t>
            </w:r>
          </w:p>
        </w:tc>
        <w:tc>
          <w:tcPr>
            <w:tcW w:w="0" w:type="auto"/>
            <w:shd w:val="clear" w:color="auto" w:fill="E2EFD9"/>
            <w:tcMar>
              <w:top w:w="40" w:type="dxa"/>
              <w:bottom w:w="40" w:type="dxa"/>
              <w:right w:w="20" w:type="dxa"/>
            </w:tcMar>
            <w:vAlign w:val="bottom"/>
          </w:tcPr>
          <w:p w14:paraId="3693F79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9B" w14:textId="77777777" w:rsidR="003734EC" w:rsidRDefault="003734EC">
            <w:pPr>
              <w:rPr>
                <w:rFonts w:ascii="宋体"/>
                <w:vanish/>
              </w:rPr>
            </w:pPr>
          </w:p>
        </w:tc>
        <w:tc>
          <w:tcPr>
            <w:tcW w:w="0" w:type="auto"/>
            <w:shd w:val="clear" w:color="auto" w:fill="auto"/>
            <w:vAlign w:val="center"/>
          </w:tcPr>
          <w:p w14:paraId="3693F79C" w14:textId="77777777" w:rsidR="003734EC" w:rsidRDefault="003734EC">
            <w:pPr>
              <w:rPr>
                <w:rFonts w:ascii="宋体"/>
                <w:vanish/>
              </w:rPr>
            </w:pPr>
          </w:p>
        </w:tc>
        <w:tc>
          <w:tcPr>
            <w:tcW w:w="0" w:type="auto"/>
            <w:shd w:val="clear" w:color="auto" w:fill="auto"/>
            <w:vAlign w:val="center"/>
          </w:tcPr>
          <w:p w14:paraId="3693F79D" w14:textId="77777777" w:rsidR="003734EC" w:rsidRDefault="003734EC">
            <w:pPr>
              <w:rPr>
                <w:rFonts w:ascii="宋体"/>
                <w:vanish/>
              </w:rPr>
            </w:pPr>
          </w:p>
        </w:tc>
        <w:tc>
          <w:tcPr>
            <w:tcW w:w="0" w:type="auto"/>
            <w:shd w:val="clear" w:color="auto" w:fill="auto"/>
            <w:vAlign w:val="center"/>
          </w:tcPr>
          <w:p w14:paraId="3693F79E" w14:textId="77777777" w:rsidR="003734EC" w:rsidRDefault="003734EC">
            <w:pPr>
              <w:rPr>
                <w:rFonts w:ascii="宋体"/>
                <w:vanish/>
              </w:rPr>
            </w:pPr>
          </w:p>
        </w:tc>
        <w:tc>
          <w:tcPr>
            <w:tcW w:w="0" w:type="auto"/>
            <w:shd w:val="clear" w:color="auto" w:fill="auto"/>
            <w:vAlign w:val="center"/>
          </w:tcPr>
          <w:p w14:paraId="3693F79F" w14:textId="77777777" w:rsidR="003734EC" w:rsidRDefault="003734EC">
            <w:pPr>
              <w:rPr>
                <w:rFonts w:ascii="宋体"/>
              </w:rPr>
            </w:pPr>
          </w:p>
        </w:tc>
        <w:tc>
          <w:tcPr>
            <w:tcW w:w="0" w:type="auto"/>
            <w:shd w:val="clear" w:color="auto" w:fill="auto"/>
            <w:vAlign w:val="center"/>
          </w:tcPr>
          <w:p w14:paraId="3693F7A0" w14:textId="77777777" w:rsidR="003734EC" w:rsidRDefault="003734EC">
            <w:pPr>
              <w:rPr>
                <w:rFonts w:ascii="宋体"/>
              </w:rPr>
            </w:pPr>
          </w:p>
        </w:tc>
        <w:tc>
          <w:tcPr>
            <w:tcW w:w="0" w:type="auto"/>
            <w:shd w:val="clear" w:color="auto" w:fill="auto"/>
            <w:vAlign w:val="center"/>
          </w:tcPr>
          <w:p w14:paraId="3693F7A1" w14:textId="77777777" w:rsidR="003734EC" w:rsidRDefault="003734EC">
            <w:pPr>
              <w:rPr>
                <w:rFonts w:ascii="宋体"/>
              </w:rPr>
            </w:pPr>
          </w:p>
        </w:tc>
        <w:tc>
          <w:tcPr>
            <w:tcW w:w="0" w:type="auto"/>
            <w:shd w:val="clear" w:color="auto" w:fill="auto"/>
            <w:vAlign w:val="center"/>
          </w:tcPr>
          <w:p w14:paraId="3693F7A2" w14:textId="77777777" w:rsidR="003734EC" w:rsidRDefault="003734EC">
            <w:pPr>
              <w:rPr>
                <w:rFonts w:ascii="宋体"/>
              </w:rPr>
            </w:pPr>
          </w:p>
        </w:tc>
        <w:tc>
          <w:tcPr>
            <w:tcW w:w="0" w:type="auto"/>
            <w:shd w:val="clear" w:color="auto" w:fill="auto"/>
            <w:vAlign w:val="center"/>
          </w:tcPr>
          <w:p w14:paraId="3693F7A3" w14:textId="77777777" w:rsidR="003734EC" w:rsidRDefault="003734EC">
            <w:pPr>
              <w:rPr>
                <w:rFonts w:ascii="宋体"/>
              </w:rPr>
            </w:pPr>
          </w:p>
        </w:tc>
        <w:tc>
          <w:tcPr>
            <w:tcW w:w="0" w:type="auto"/>
            <w:shd w:val="clear" w:color="auto" w:fill="auto"/>
            <w:vAlign w:val="center"/>
          </w:tcPr>
          <w:p w14:paraId="3693F7A4" w14:textId="77777777" w:rsidR="003734EC" w:rsidRDefault="003734EC">
            <w:pPr>
              <w:rPr>
                <w:rFonts w:ascii="宋体"/>
              </w:rPr>
            </w:pPr>
          </w:p>
        </w:tc>
      </w:tr>
      <w:tr w:rsidR="003734EC" w14:paraId="3693F7B6" w14:textId="77777777">
        <w:tc>
          <w:tcPr>
            <w:tcW w:w="0" w:type="auto"/>
            <w:gridSpan w:val="3"/>
            <w:shd w:val="clear" w:color="auto" w:fill="FFFFFF"/>
            <w:tcMar>
              <w:top w:w="40" w:type="dxa"/>
              <w:left w:w="225" w:type="dxa"/>
              <w:bottom w:w="40" w:type="dxa"/>
              <w:right w:w="20" w:type="dxa"/>
            </w:tcMar>
            <w:vAlign w:val="bottom"/>
          </w:tcPr>
          <w:p w14:paraId="3693F7A6" w14:textId="77777777" w:rsidR="003734EC" w:rsidRDefault="000E364E">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FFFFFF"/>
            <w:tcMar>
              <w:top w:w="40" w:type="dxa"/>
              <w:left w:w="20" w:type="dxa"/>
              <w:bottom w:w="40" w:type="dxa"/>
              <w:right w:w="0" w:type="dxa"/>
            </w:tcMar>
            <w:vAlign w:val="bottom"/>
          </w:tcPr>
          <w:p w14:paraId="3693F7A7" w14:textId="77777777" w:rsidR="003734EC" w:rsidRDefault="000E364E">
            <w:pPr>
              <w:jc w:val="right"/>
              <w:textAlignment w:val="bottom"/>
            </w:pPr>
            <w:r>
              <w:rPr>
                <w:rFonts w:ascii="sans-serif" w:eastAsia="sans-serif" w:hAnsi="sans-serif" w:cs="sans-serif"/>
                <w:color w:val="000000"/>
                <w:sz w:val="20"/>
                <w:szCs w:val="20"/>
              </w:rPr>
              <w:t>307 </w:t>
            </w:r>
          </w:p>
        </w:tc>
        <w:tc>
          <w:tcPr>
            <w:tcW w:w="0" w:type="auto"/>
            <w:shd w:val="clear" w:color="auto" w:fill="FFFFFF"/>
            <w:tcMar>
              <w:top w:w="40" w:type="dxa"/>
              <w:bottom w:w="40" w:type="dxa"/>
              <w:right w:w="20" w:type="dxa"/>
            </w:tcMar>
            <w:vAlign w:val="bottom"/>
          </w:tcPr>
          <w:p w14:paraId="3693F7A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7A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7AA" w14:textId="77777777" w:rsidR="003734EC" w:rsidRDefault="000E364E">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bottom w:w="40" w:type="dxa"/>
              <w:right w:w="20" w:type="dxa"/>
            </w:tcMar>
            <w:vAlign w:val="bottom"/>
          </w:tcPr>
          <w:p w14:paraId="3693F7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AC" w14:textId="77777777" w:rsidR="003734EC" w:rsidRDefault="003734EC">
            <w:pPr>
              <w:rPr>
                <w:rFonts w:ascii="宋体"/>
                <w:vanish/>
              </w:rPr>
            </w:pPr>
          </w:p>
        </w:tc>
        <w:tc>
          <w:tcPr>
            <w:tcW w:w="0" w:type="auto"/>
            <w:shd w:val="clear" w:color="auto" w:fill="auto"/>
            <w:vAlign w:val="center"/>
          </w:tcPr>
          <w:p w14:paraId="3693F7AD" w14:textId="77777777" w:rsidR="003734EC" w:rsidRDefault="003734EC">
            <w:pPr>
              <w:rPr>
                <w:rFonts w:ascii="宋体"/>
                <w:vanish/>
              </w:rPr>
            </w:pPr>
          </w:p>
        </w:tc>
        <w:tc>
          <w:tcPr>
            <w:tcW w:w="0" w:type="auto"/>
            <w:shd w:val="clear" w:color="auto" w:fill="auto"/>
            <w:vAlign w:val="center"/>
          </w:tcPr>
          <w:p w14:paraId="3693F7AE" w14:textId="77777777" w:rsidR="003734EC" w:rsidRDefault="003734EC">
            <w:pPr>
              <w:rPr>
                <w:rFonts w:ascii="宋体"/>
                <w:vanish/>
              </w:rPr>
            </w:pPr>
          </w:p>
        </w:tc>
        <w:tc>
          <w:tcPr>
            <w:tcW w:w="0" w:type="auto"/>
            <w:shd w:val="clear" w:color="auto" w:fill="auto"/>
            <w:vAlign w:val="center"/>
          </w:tcPr>
          <w:p w14:paraId="3693F7AF" w14:textId="77777777" w:rsidR="003734EC" w:rsidRDefault="003734EC">
            <w:pPr>
              <w:rPr>
                <w:rFonts w:ascii="宋体"/>
                <w:vanish/>
              </w:rPr>
            </w:pPr>
          </w:p>
        </w:tc>
        <w:tc>
          <w:tcPr>
            <w:tcW w:w="0" w:type="auto"/>
            <w:shd w:val="clear" w:color="auto" w:fill="auto"/>
            <w:vAlign w:val="center"/>
          </w:tcPr>
          <w:p w14:paraId="3693F7B0" w14:textId="77777777" w:rsidR="003734EC" w:rsidRDefault="003734EC">
            <w:pPr>
              <w:rPr>
                <w:rFonts w:ascii="宋体"/>
              </w:rPr>
            </w:pPr>
          </w:p>
        </w:tc>
        <w:tc>
          <w:tcPr>
            <w:tcW w:w="0" w:type="auto"/>
            <w:shd w:val="clear" w:color="auto" w:fill="auto"/>
            <w:vAlign w:val="center"/>
          </w:tcPr>
          <w:p w14:paraId="3693F7B1" w14:textId="77777777" w:rsidR="003734EC" w:rsidRDefault="003734EC">
            <w:pPr>
              <w:rPr>
                <w:rFonts w:ascii="宋体"/>
              </w:rPr>
            </w:pPr>
          </w:p>
        </w:tc>
        <w:tc>
          <w:tcPr>
            <w:tcW w:w="0" w:type="auto"/>
            <w:shd w:val="clear" w:color="auto" w:fill="auto"/>
            <w:vAlign w:val="center"/>
          </w:tcPr>
          <w:p w14:paraId="3693F7B2" w14:textId="77777777" w:rsidR="003734EC" w:rsidRDefault="003734EC">
            <w:pPr>
              <w:rPr>
                <w:rFonts w:ascii="宋体"/>
              </w:rPr>
            </w:pPr>
          </w:p>
        </w:tc>
        <w:tc>
          <w:tcPr>
            <w:tcW w:w="0" w:type="auto"/>
            <w:shd w:val="clear" w:color="auto" w:fill="auto"/>
            <w:vAlign w:val="center"/>
          </w:tcPr>
          <w:p w14:paraId="3693F7B3" w14:textId="77777777" w:rsidR="003734EC" w:rsidRDefault="003734EC">
            <w:pPr>
              <w:rPr>
                <w:rFonts w:ascii="宋体"/>
              </w:rPr>
            </w:pPr>
          </w:p>
        </w:tc>
        <w:tc>
          <w:tcPr>
            <w:tcW w:w="0" w:type="auto"/>
            <w:shd w:val="clear" w:color="auto" w:fill="auto"/>
            <w:vAlign w:val="center"/>
          </w:tcPr>
          <w:p w14:paraId="3693F7B4" w14:textId="77777777" w:rsidR="003734EC" w:rsidRDefault="003734EC">
            <w:pPr>
              <w:rPr>
                <w:rFonts w:ascii="宋体"/>
              </w:rPr>
            </w:pPr>
          </w:p>
        </w:tc>
        <w:tc>
          <w:tcPr>
            <w:tcW w:w="0" w:type="auto"/>
            <w:shd w:val="clear" w:color="auto" w:fill="auto"/>
            <w:vAlign w:val="center"/>
          </w:tcPr>
          <w:p w14:paraId="3693F7B5" w14:textId="77777777" w:rsidR="003734EC" w:rsidRDefault="003734EC">
            <w:pPr>
              <w:rPr>
                <w:rFonts w:ascii="宋体"/>
              </w:rPr>
            </w:pPr>
          </w:p>
        </w:tc>
      </w:tr>
      <w:tr w:rsidR="003734EC" w14:paraId="3693F7C7" w14:textId="77777777">
        <w:tc>
          <w:tcPr>
            <w:tcW w:w="0" w:type="auto"/>
            <w:gridSpan w:val="3"/>
            <w:shd w:val="clear" w:color="auto" w:fill="E2EFD9"/>
            <w:tcMar>
              <w:top w:w="40" w:type="dxa"/>
              <w:left w:w="225" w:type="dxa"/>
              <w:bottom w:w="40" w:type="dxa"/>
              <w:right w:w="20" w:type="dxa"/>
            </w:tcMar>
            <w:vAlign w:val="bottom"/>
          </w:tcPr>
          <w:p w14:paraId="3693F7B7" w14:textId="77777777" w:rsidR="003734EC" w:rsidRDefault="000E364E">
            <w:pPr>
              <w:textAlignment w:val="bottom"/>
            </w:pPr>
            <w:r>
              <w:rPr>
                <w:rFonts w:ascii="sans-serif" w:eastAsia="sans-serif" w:hAnsi="sans-serif" w:cs="sans-serif"/>
                <w:color w:val="000000"/>
                <w:sz w:val="20"/>
                <w:szCs w:val="20"/>
              </w:rPr>
              <w:t>Data Center</w:t>
            </w:r>
          </w:p>
        </w:tc>
        <w:tc>
          <w:tcPr>
            <w:tcW w:w="0" w:type="auto"/>
            <w:gridSpan w:val="2"/>
            <w:shd w:val="clear" w:color="auto" w:fill="E2EFD9"/>
            <w:tcMar>
              <w:top w:w="40" w:type="dxa"/>
              <w:left w:w="20" w:type="dxa"/>
              <w:bottom w:w="40" w:type="dxa"/>
              <w:right w:w="0" w:type="dxa"/>
            </w:tcMar>
            <w:vAlign w:val="bottom"/>
          </w:tcPr>
          <w:p w14:paraId="3693F7B8" w14:textId="77777777" w:rsidR="003734EC" w:rsidRDefault="000E364E">
            <w:pPr>
              <w:jc w:val="right"/>
              <w:textAlignment w:val="bottom"/>
            </w:pPr>
            <w:r>
              <w:rPr>
                <w:rFonts w:ascii="sans-serif" w:eastAsia="sans-serif" w:hAnsi="sans-serif" w:cs="sans-serif"/>
                <w:color w:val="000000"/>
                <w:sz w:val="20"/>
                <w:szCs w:val="20"/>
              </w:rPr>
              <w:t>1,141 </w:t>
            </w:r>
          </w:p>
        </w:tc>
        <w:tc>
          <w:tcPr>
            <w:tcW w:w="0" w:type="auto"/>
            <w:shd w:val="clear" w:color="auto" w:fill="E2EFD9"/>
            <w:tcMar>
              <w:top w:w="40" w:type="dxa"/>
              <w:bottom w:w="40" w:type="dxa"/>
              <w:right w:w="20" w:type="dxa"/>
            </w:tcMar>
            <w:vAlign w:val="bottom"/>
          </w:tcPr>
          <w:p w14:paraId="3693F7B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7B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7BB" w14:textId="77777777" w:rsidR="003734EC" w:rsidRDefault="000E364E">
            <w:pPr>
              <w:jc w:val="right"/>
              <w:textAlignment w:val="bottom"/>
            </w:pPr>
            <w:r>
              <w:rPr>
                <w:rFonts w:ascii="sans-serif" w:eastAsia="sans-serif" w:hAnsi="sans-serif" w:cs="sans-serif"/>
                <w:color w:val="000000"/>
                <w:sz w:val="20"/>
                <w:szCs w:val="20"/>
              </w:rPr>
              <w:t>634 </w:t>
            </w:r>
          </w:p>
        </w:tc>
        <w:tc>
          <w:tcPr>
            <w:tcW w:w="0" w:type="auto"/>
            <w:shd w:val="clear" w:color="auto" w:fill="E2EFD9"/>
            <w:tcMar>
              <w:top w:w="40" w:type="dxa"/>
              <w:bottom w:w="40" w:type="dxa"/>
              <w:right w:w="20" w:type="dxa"/>
            </w:tcMar>
            <w:vAlign w:val="bottom"/>
          </w:tcPr>
          <w:p w14:paraId="3693F7B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BD" w14:textId="77777777" w:rsidR="003734EC" w:rsidRDefault="003734EC">
            <w:pPr>
              <w:rPr>
                <w:rFonts w:ascii="宋体"/>
                <w:vanish/>
              </w:rPr>
            </w:pPr>
          </w:p>
        </w:tc>
        <w:tc>
          <w:tcPr>
            <w:tcW w:w="0" w:type="auto"/>
            <w:shd w:val="clear" w:color="auto" w:fill="auto"/>
            <w:vAlign w:val="center"/>
          </w:tcPr>
          <w:p w14:paraId="3693F7BE" w14:textId="77777777" w:rsidR="003734EC" w:rsidRDefault="003734EC">
            <w:pPr>
              <w:rPr>
                <w:rFonts w:ascii="宋体"/>
                <w:vanish/>
              </w:rPr>
            </w:pPr>
          </w:p>
        </w:tc>
        <w:tc>
          <w:tcPr>
            <w:tcW w:w="0" w:type="auto"/>
            <w:shd w:val="clear" w:color="auto" w:fill="auto"/>
            <w:vAlign w:val="center"/>
          </w:tcPr>
          <w:p w14:paraId="3693F7BF" w14:textId="77777777" w:rsidR="003734EC" w:rsidRDefault="003734EC">
            <w:pPr>
              <w:rPr>
                <w:rFonts w:ascii="宋体"/>
                <w:vanish/>
              </w:rPr>
            </w:pPr>
          </w:p>
        </w:tc>
        <w:tc>
          <w:tcPr>
            <w:tcW w:w="0" w:type="auto"/>
            <w:shd w:val="clear" w:color="auto" w:fill="auto"/>
            <w:vAlign w:val="center"/>
          </w:tcPr>
          <w:p w14:paraId="3693F7C0" w14:textId="77777777" w:rsidR="003734EC" w:rsidRDefault="003734EC">
            <w:pPr>
              <w:rPr>
                <w:rFonts w:ascii="宋体"/>
                <w:vanish/>
              </w:rPr>
            </w:pPr>
          </w:p>
        </w:tc>
        <w:tc>
          <w:tcPr>
            <w:tcW w:w="0" w:type="auto"/>
            <w:shd w:val="clear" w:color="auto" w:fill="auto"/>
            <w:vAlign w:val="center"/>
          </w:tcPr>
          <w:p w14:paraId="3693F7C1" w14:textId="77777777" w:rsidR="003734EC" w:rsidRDefault="003734EC">
            <w:pPr>
              <w:rPr>
                <w:rFonts w:ascii="宋体"/>
              </w:rPr>
            </w:pPr>
          </w:p>
        </w:tc>
        <w:tc>
          <w:tcPr>
            <w:tcW w:w="0" w:type="auto"/>
            <w:shd w:val="clear" w:color="auto" w:fill="auto"/>
            <w:vAlign w:val="center"/>
          </w:tcPr>
          <w:p w14:paraId="3693F7C2" w14:textId="77777777" w:rsidR="003734EC" w:rsidRDefault="003734EC">
            <w:pPr>
              <w:rPr>
                <w:rFonts w:ascii="宋体"/>
              </w:rPr>
            </w:pPr>
          </w:p>
        </w:tc>
        <w:tc>
          <w:tcPr>
            <w:tcW w:w="0" w:type="auto"/>
            <w:shd w:val="clear" w:color="auto" w:fill="auto"/>
            <w:vAlign w:val="center"/>
          </w:tcPr>
          <w:p w14:paraId="3693F7C3" w14:textId="77777777" w:rsidR="003734EC" w:rsidRDefault="003734EC">
            <w:pPr>
              <w:rPr>
                <w:rFonts w:ascii="宋体"/>
              </w:rPr>
            </w:pPr>
          </w:p>
        </w:tc>
        <w:tc>
          <w:tcPr>
            <w:tcW w:w="0" w:type="auto"/>
            <w:shd w:val="clear" w:color="auto" w:fill="auto"/>
            <w:vAlign w:val="center"/>
          </w:tcPr>
          <w:p w14:paraId="3693F7C4" w14:textId="77777777" w:rsidR="003734EC" w:rsidRDefault="003734EC">
            <w:pPr>
              <w:rPr>
                <w:rFonts w:ascii="宋体"/>
              </w:rPr>
            </w:pPr>
          </w:p>
        </w:tc>
        <w:tc>
          <w:tcPr>
            <w:tcW w:w="0" w:type="auto"/>
            <w:shd w:val="clear" w:color="auto" w:fill="auto"/>
            <w:vAlign w:val="center"/>
          </w:tcPr>
          <w:p w14:paraId="3693F7C5" w14:textId="77777777" w:rsidR="003734EC" w:rsidRDefault="003734EC">
            <w:pPr>
              <w:rPr>
                <w:rFonts w:ascii="宋体"/>
              </w:rPr>
            </w:pPr>
          </w:p>
        </w:tc>
        <w:tc>
          <w:tcPr>
            <w:tcW w:w="0" w:type="auto"/>
            <w:shd w:val="clear" w:color="auto" w:fill="auto"/>
            <w:vAlign w:val="center"/>
          </w:tcPr>
          <w:p w14:paraId="3693F7C6" w14:textId="77777777" w:rsidR="003734EC" w:rsidRDefault="003734EC">
            <w:pPr>
              <w:rPr>
                <w:rFonts w:ascii="宋体"/>
              </w:rPr>
            </w:pPr>
          </w:p>
        </w:tc>
      </w:tr>
      <w:tr w:rsidR="003734EC" w14:paraId="3693F7D8" w14:textId="77777777">
        <w:tc>
          <w:tcPr>
            <w:tcW w:w="0" w:type="auto"/>
            <w:gridSpan w:val="3"/>
            <w:shd w:val="clear" w:color="auto" w:fill="FFFFFF"/>
            <w:tcMar>
              <w:top w:w="40" w:type="dxa"/>
              <w:left w:w="225" w:type="dxa"/>
              <w:bottom w:w="40" w:type="dxa"/>
              <w:right w:w="20" w:type="dxa"/>
            </w:tcMar>
            <w:vAlign w:val="bottom"/>
          </w:tcPr>
          <w:p w14:paraId="3693F7C8" w14:textId="77777777" w:rsidR="003734EC" w:rsidRDefault="000E364E">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3693F7C9" w14:textId="77777777" w:rsidR="003734EC" w:rsidRDefault="000E364E">
            <w:pPr>
              <w:jc w:val="right"/>
              <w:textAlignment w:val="bottom"/>
            </w:pPr>
            <w:r>
              <w:rPr>
                <w:rFonts w:ascii="sans-serif" w:eastAsia="sans-serif" w:hAnsi="sans-serif" w:cs="sans-serif"/>
                <w:color w:val="000000"/>
                <w:sz w:val="20"/>
                <w:szCs w:val="20"/>
              </w:rPr>
              <w:t>155 </w:t>
            </w:r>
          </w:p>
        </w:tc>
        <w:tc>
          <w:tcPr>
            <w:tcW w:w="0" w:type="auto"/>
            <w:shd w:val="clear" w:color="auto" w:fill="FFFFFF"/>
            <w:tcMar>
              <w:top w:w="40" w:type="dxa"/>
              <w:bottom w:w="40" w:type="dxa"/>
              <w:right w:w="20" w:type="dxa"/>
            </w:tcMar>
            <w:vAlign w:val="bottom"/>
          </w:tcPr>
          <w:p w14:paraId="3693F7C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7CB"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7CC" w14:textId="77777777" w:rsidR="003734EC" w:rsidRDefault="000E364E">
            <w:pPr>
              <w:jc w:val="right"/>
              <w:textAlignment w:val="bottom"/>
            </w:pPr>
            <w:r>
              <w:rPr>
                <w:rFonts w:ascii="sans-serif" w:eastAsia="sans-serif" w:hAnsi="sans-serif" w:cs="sans-serif"/>
                <w:color w:val="000000"/>
                <w:sz w:val="20"/>
                <w:szCs w:val="20"/>
              </w:rPr>
              <w:t>166 </w:t>
            </w:r>
          </w:p>
        </w:tc>
        <w:tc>
          <w:tcPr>
            <w:tcW w:w="0" w:type="auto"/>
            <w:shd w:val="clear" w:color="auto" w:fill="FFFFFF"/>
            <w:tcMar>
              <w:top w:w="40" w:type="dxa"/>
              <w:bottom w:w="40" w:type="dxa"/>
              <w:right w:w="20" w:type="dxa"/>
            </w:tcMar>
            <w:vAlign w:val="bottom"/>
          </w:tcPr>
          <w:p w14:paraId="3693F7C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CE" w14:textId="77777777" w:rsidR="003734EC" w:rsidRDefault="003734EC">
            <w:pPr>
              <w:rPr>
                <w:rFonts w:ascii="宋体"/>
                <w:vanish/>
              </w:rPr>
            </w:pPr>
          </w:p>
        </w:tc>
        <w:tc>
          <w:tcPr>
            <w:tcW w:w="0" w:type="auto"/>
            <w:shd w:val="clear" w:color="auto" w:fill="auto"/>
            <w:vAlign w:val="center"/>
          </w:tcPr>
          <w:p w14:paraId="3693F7CF" w14:textId="77777777" w:rsidR="003734EC" w:rsidRDefault="003734EC">
            <w:pPr>
              <w:rPr>
                <w:rFonts w:ascii="宋体"/>
                <w:vanish/>
              </w:rPr>
            </w:pPr>
          </w:p>
        </w:tc>
        <w:tc>
          <w:tcPr>
            <w:tcW w:w="0" w:type="auto"/>
            <w:shd w:val="clear" w:color="auto" w:fill="auto"/>
            <w:vAlign w:val="center"/>
          </w:tcPr>
          <w:p w14:paraId="3693F7D0" w14:textId="77777777" w:rsidR="003734EC" w:rsidRDefault="003734EC">
            <w:pPr>
              <w:rPr>
                <w:rFonts w:ascii="宋体"/>
                <w:vanish/>
              </w:rPr>
            </w:pPr>
          </w:p>
        </w:tc>
        <w:tc>
          <w:tcPr>
            <w:tcW w:w="0" w:type="auto"/>
            <w:shd w:val="clear" w:color="auto" w:fill="auto"/>
            <w:vAlign w:val="center"/>
          </w:tcPr>
          <w:p w14:paraId="3693F7D1" w14:textId="77777777" w:rsidR="003734EC" w:rsidRDefault="003734EC">
            <w:pPr>
              <w:rPr>
                <w:rFonts w:ascii="宋体"/>
                <w:vanish/>
              </w:rPr>
            </w:pPr>
          </w:p>
        </w:tc>
        <w:tc>
          <w:tcPr>
            <w:tcW w:w="0" w:type="auto"/>
            <w:shd w:val="clear" w:color="auto" w:fill="auto"/>
            <w:vAlign w:val="center"/>
          </w:tcPr>
          <w:p w14:paraId="3693F7D2" w14:textId="77777777" w:rsidR="003734EC" w:rsidRDefault="003734EC">
            <w:pPr>
              <w:rPr>
                <w:rFonts w:ascii="宋体"/>
              </w:rPr>
            </w:pPr>
          </w:p>
        </w:tc>
        <w:tc>
          <w:tcPr>
            <w:tcW w:w="0" w:type="auto"/>
            <w:shd w:val="clear" w:color="auto" w:fill="auto"/>
            <w:vAlign w:val="center"/>
          </w:tcPr>
          <w:p w14:paraId="3693F7D3" w14:textId="77777777" w:rsidR="003734EC" w:rsidRDefault="003734EC">
            <w:pPr>
              <w:rPr>
                <w:rFonts w:ascii="宋体"/>
              </w:rPr>
            </w:pPr>
          </w:p>
        </w:tc>
        <w:tc>
          <w:tcPr>
            <w:tcW w:w="0" w:type="auto"/>
            <w:shd w:val="clear" w:color="auto" w:fill="auto"/>
            <w:vAlign w:val="center"/>
          </w:tcPr>
          <w:p w14:paraId="3693F7D4" w14:textId="77777777" w:rsidR="003734EC" w:rsidRDefault="003734EC">
            <w:pPr>
              <w:rPr>
                <w:rFonts w:ascii="宋体"/>
              </w:rPr>
            </w:pPr>
          </w:p>
        </w:tc>
        <w:tc>
          <w:tcPr>
            <w:tcW w:w="0" w:type="auto"/>
            <w:shd w:val="clear" w:color="auto" w:fill="auto"/>
            <w:vAlign w:val="center"/>
          </w:tcPr>
          <w:p w14:paraId="3693F7D5" w14:textId="77777777" w:rsidR="003734EC" w:rsidRDefault="003734EC">
            <w:pPr>
              <w:rPr>
                <w:rFonts w:ascii="宋体"/>
              </w:rPr>
            </w:pPr>
          </w:p>
        </w:tc>
        <w:tc>
          <w:tcPr>
            <w:tcW w:w="0" w:type="auto"/>
            <w:shd w:val="clear" w:color="auto" w:fill="auto"/>
            <w:vAlign w:val="center"/>
          </w:tcPr>
          <w:p w14:paraId="3693F7D6" w14:textId="77777777" w:rsidR="003734EC" w:rsidRDefault="003734EC">
            <w:pPr>
              <w:rPr>
                <w:rFonts w:ascii="宋体"/>
              </w:rPr>
            </w:pPr>
          </w:p>
        </w:tc>
        <w:tc>
          <w:tcPr>
            <w:tcW w:w="0" w:type="auto"/>
            <w:shd w:val="clear" w:color="auto" w:fill="auto"/>
            <w:vAlign w:val="center"/>
          </w:tcPr>
          <w:p w14:paraId="3693F7D7" w14:textId="77777777" w:rsidR="003734EC" w:rsidRDefault="003734EC">
            <w:pPr>
              <w:rPr>
                <w:rFonts w:ascii="宋体"/>
              </w:rPr>
            </w:pPr>
          </w:p>
        </w:tc>
      </w:tr>
      <w:tr w:rsidR="003734EC" w14:paraId="3693F7E9" w14:textId="77777777">
        <w:tc>
          <w:tcPr>
            <w:tcW w:w="0" w:type="auto"/>
            <w:gridSpan w:val="3"/>
            <w:shd w:val="clear" w:color="auto" w:fill="E2EFD9"/>
            <w:tcMar>
              <w:top w:w="40" w:type="dxa"/>
              <w:left w:w="225" w:type="dxa"/>
              <w:bottom w:w="40" w:type="dxa"/>
              <w:right w:w="20" w:type="dxa"/>
            </w:tcMar>
            <w:vAlign w:val="bottom"/>
          </w:tcPr>
          <w:p w14:paraId="3693F7D9" w14:textId="77777777" w:rsidR="003734EC" w:rsidRDefault="000E364E">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3693F7DA" w14:textId="77777777" w:rsidR="003734EC" w:rsidRDefault="000E364E">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bottom w:w="40" w:type="dxa"/>
              <w:right w:w="20" w:type="dxa"/>
            </w:tcMar>
            <w:vAlign w:val="bottom"/>
          </w:tcPr>
          <w:p w14:paraId="3693F7D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7DC"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7DD" w14:textId="77777777" w:rsidR="003734EC" w:rsidRDefault="000E364E">
            <w:pPr>
              <w:jc w:val="right"/>
              <w:textAlignment w:val="bottom"/>
            </w:pPr>
            <w:r>
              <w:rPr>
                <w:rFonts w:ascii="sans-serif" w:eastAsia="sans-serif" w:hAnsi="sans-serif" w:cs="sans-serif"/>
                <w:color w:val="000000"/>
                <w:sz w:val="20"/>
                <w:szCs w:val="20"/>
              </w:rPr>
              <w:t>99 </w:t>
            </w:r>
          </w:p>
        </w:tc>
        <w:tc>
          <w:tcPr>
            <w:tcW w:w="0" w:type="auto"/>
            <w:shd w:val="clear" w:color="auto" w:fill="E2EFD9"/>
            <w:tcMar>
              <w:top w:w="40" w:type="dxa"/>
              <w:bottom w:w="40" w:type="dxa"/>
              <w:right w:w="20" w:type="dxa"/>
            </w:tcMar>
            <w:vAlign w:val="bottom"/>
          </w:tcPr>
          <w:p w14:paraId="3693F7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DF" w14:textId="77777777" w:rsidR="003734EC" w:rsidRDefault="003734EC">
            <w:pPr>
              <w:rPr>
                <w:rFonts w:ascii="宋体"/>
                <w:vanish/>
              </w:rPr>
            </w:pPr>
          </w:p>
        </w:tc>
        <w:tc>
          <w:tcPr>
            <w:tcW w:w="0" w:type="auto"/>
            <w:shd w:val="clear" w:color="auto" w:fill="auto"/>
            <w:vAlign w:val="center"/>
          </w:tcPr>
          <w:p w14:paraId="3693F7E0" w14:textId="77777777" w:rsidR="003734EC" w:rsidRDefault="003734EC">
            <w:pPr>
              <w:rPr>
                <w:rFonts w:ascii="宋体"/>
                <w:vanish/>
              </w:rPr>
            </w:pPr>
          </w:p>
        </w:tc>
        <w:tc>
          <w:tcPr>
            <w:tcW w:w="0" w:type="auto"/>
            <w:shd w:val="clear" w:color="auto" w:fill="auto"/>
            <w:vAlign w:val="center"/>
          </w:tcPr>
          <w:p w14:paraId="3693F7E1" w14:textId="77777777" w:rsidR="003734EC" w:rsidRDefault="003734EC">
            <w:pPr>
              <w:rPr>
                <w:rFonts w:ascii="宋体"/>
                <w:vanish/>
              </w:rPr>
            </w:pPr>
          </w:p>
        </w:tc>
        <w:tc>
          <w:tcPr>
            <w:tcW w:w="0" w:type="auto"/>
            <w:shd w:val="clear" w:color="auto" w:fill="auto"/>
            <w:vAlign w:val="center"/>
          </w:tcPr>
          <w:p w14:paraId="3693F7E2" w14:textId="77777777" w:rsidR="003734EC" w:rsidRDefault="003734EC">
            <w:pPr>
              <w:rPr>
                <w:rFonts w:ascii="宋体"/>
                <w:vanish/>
              </w:rPr>
            </w:pPr>
          </w:p>
        </w:tc>
        <w:tc>
          <w:tcPr>
            <w:tcW w:w="0" w:type="auto"/>
            <w:shd w:val="clear" w:color="auto" w:fill="auto"/>
            <w:vAlign w:val="center"/>
          </w:tcPr>
          <w:p w14:paraId="3693F7E3" w14:textId="77777777" w:rsidR="003734EC" w:rsidRDefault="003734EC">
            <w:pPr>
              <w:rPr>
                <w:rFonts w:ascii="宋体"/>
              </w:rPr>
            </w:pPr>
          </w:p>
        </w:tc>
        <w:tc>
          <w:tcPr>
            <w:tcW w:w="0" w:type="auto"/>
            <w:shd w:val="clear" w:color="auto" w:fill="auto"/>
            <w:vAlign w:val="center"/>
          </w:tcPr>
          <w:p w14:paraId="3693F7E4" w14:textId="77777777" w:rsidR="003734EC" w:rsidRDefault="003734EC">
            <w:pPr>
              <w:rPr>
                <w:rFonts w:ascii="宋体"/>
              </w:rPr>
            </w:pPr>
          </w:p>
        </w:tc>
        <w:tc>
          <w:tcPr>
            <w:tcW w:w="0" w:type="auto"/>
            <w:shd w:val="clear" w:color="auto" w:fill="auto"/>
            <w:vAlign w:val="center"/>
          </w:tcPr>
          <w:p w14:paraId="3693F7E5" w14:textId="77777777" w:rsidR="003734EC" w:rsidRDefault="003734EC">
            <w:pPr>
              <w:rPr>
                <w:rFonts w:ascii="宋体"/>
              </w:rPr>
            </w:pPr>
          </w:p>
        </w:tc>
        <w:tc>
          <w:tcPr>
            <w:tcW w:w="0" w:type="auto"/>
            <w:shd w:val="clear" w:color="auto" w:fill="auto"/>
            <w:vAlign w:val="center"/>
          </w:tcPr>
          <w:p w14:paraId="3693F7E6" w14:textId="77777777" w:rsidR="003734EC" w:rsidRDefault="003734EC">
            <w:pPr>
              <w:rPr>
                <w:rFonts w:ascii="宋体"/>
              </w:rPr>
            </w:pPr>
          </w:p>
        </w:tc>
        <w:tc>
          <w:tcPr>
            <w:tcW w:w="0" w:type="auto"/>
            <w:shd w:val="clear" w:color="auto" w:fill="auto"/>
            <w:vAlign w:val="center"/>
          </w:tcPr>
          <w:p w14:paraId="3693F7E7" w14:textId="77777777" w:rsidR="003734EC" w:rsidRDefault="003734EC">
            <w:pPr>
              <w:rPr>
                <w:rFonts w:ascii="宋体"/>
              </w:rPr>
            </w:pPr>
          </w:p>
        </w:tc>
        <w:tc>
          <w:tcPr>
            <w:tcW w:w="0" w:type="auto"/>
            <w:shd w:val="clear" w:color="auto" w:fill="auto"/>
            <w:vAlign w:val="center"/>
          </w:tcPr>
          <w:p w14:paraId="3693F7E8" w14:textId="77777777" w:rsidR="003734EC" w:rsidRDefault="003734EC">
            <w:pPr>
              <w:rPr>
                <w:rFonts w:ascii="宋体"/>
              </w:rPr>
            </w:pPr>
          </w:p>
        </w:tc>
      </w:tr>
      <w:tr w:rsidR="003734EC" w14:paraId="3693F7FC" w14:textId="77777777">
        <w:tc>
          <w:tcPr>
            <w:tcW w:w="0" w:type="auto"/>
            <w:gridSpan w:val="3"/>
            <w:shd w:val="clear" w:color="auto" w:fill="FFFFFF"/>
            <w:tcMar>
              <w:top w:w="40" w:type="dxa"/>
              <w:left w:w="20" w:type="dxa"/>
              <w:bottom w:w="40" w:type="dxa"/>
              <w:right w:w="20" w:type="dxa"/>
            </w:tcMar>
            <w:vAlign w:val="bottom"/>
          </w:tcPr>
          <w:p w14:paraId="3693F7EA" w14:textId="77777777" w:rsidR="003734EC" w:rsidRDefault="000E364E">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7EB"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7EC"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7E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7EE" w14:textId="77777777" w:rsidR="003734EC" w:rsidRDefault="003734E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693F7EF"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693F7F0"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7F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7F2" w14:textId="77777777" w:rsidR="003734EC" w:rsidRDefault="003734EC">
            <w:pPr>
              <w:rPr>
                <w:rFonts w:ascii="宋体"/>
                <w:vanish/>
              </w:rPr>
            </w:pPr>
          </w:p>
        </w:tc>
        <w:tc>
          <w:tcPr>
            <w:tcW w:w="0" w:type="auto"/>
            <w:shd w:val="clear" w:color="auto" w:fill="auto"/>
            <w:vAlign w:val="center"/>
          </w:tcPr>
          <w:p w14:paraId="3693F7F3" w14:textId="77777777" w:rsidR="003734EC" w:rsidRDefault="003734EC">
            <w:pPr>
              <w:rPr>
                <w:rFonts w:ascii="宋体"/>
                <w:vanish/>
              </w:rPr>
            </w:pPr>
          </w:p>
        </w:tc>
        <w:tc>
          <w:tcPr>
            <w:tcW w:w="0" w:type="auto"/>
            <w:shd w:val="clear" w:color="auto" w:fill="auto"/>
            <w:vAlign w:val="center"/>
          </w:tcPr>
          <w:p w14:paraId="3693F7F4" w14:textId="77777777" w:rsidR="003734EC" w:rsidRDefault="003734EC">
            <w:pPr>
              <w:rPr>
                <w:rFonts w:ascii="宋体"/>
                <w:vanish/>
              </w:rPr>
            </w:pPr>
          </w:p>
        </w:tc>
        <w:tc>
          <w:tcPr>
            <w:tcW w:w="0" w:type="auto"/>
            <w:shd w:val="clear" w:color="auto" w:fill="auto"/>
            <w:vAlign w:val="center"/>
          </w:tcPr>
          <w:p w14:paraId="3693F7F5" w14:textId="77777777" w:rsidR="003734EC" w:rsidRDefault="003734EC">
            <w:pPr>
              <w:rPr>
                <w:rFonts w:ascii="宋体"/>
                <w:vanish/>
              </w:rPr>
            </w:pPr>
          </w:p>
        </w:tc>
        <w:tc>
          <w:tcPr>
            <w:tcW w:w="0" w:type="auto"/>
            <w:shd w:val="clear" w:color="auto" w:fill="auto"/>
            <w:vAlign w:val="center"/>
          </w:tcPr>
          <w:p w14:paraId="3693F7F6" w14:textId="77777777" w:rsidR="003734EC" w:rsidRDefault="003734EC">
            <w:pPr>
              <w:rPr>
                <w:rFonts w:ascii="宋体"/>
              </w:rPr>
            </w:pPr>
          </w:p>
        </w:tc>
        <w:tc>
          <w:tcPr>
            <w:tcW w:w="0" w:type="auto"/>
            <w:shd w:val="clear" w:color="auto" w:fill="auto"/>
            <w:vAlign w:val="center"/>
          </w:tcPr>
          <w:p w14:paraId="3693F7F7" w14:textId="77777777" w:rsidR="003734EC" w:rsidRDefault="003734EC">
            <w:pPr>
              <w:rPr>
                <w:rFonts w:ascii="宋体"/>
              </w:rPr>
            </w:pPr>
          </w:p>
        </w:tc>
        <w:tc>
          <w:tcPr>
            <w:tcW w:w="0" w:type="auto"/>
            <w:shd w:val="clear" w:color="auto" w:fill="auto"/>
            <w:vAlign w:val="center"/>
          </w:tcPr>
          <w:p w14:paraId="3693F7F8" w14:textId="77777777" w:rsidR="003734EC" w:rsidRDefault="003734EC">
            <w:pPr>
              <w:rPr>
                <w:rFonts w:ascii="宋体"/>
              </w:rPr>
            </w:pPr>
          </w:p>
        </w:tc>
        <w:tc>
          <w:tcPr>
            <w:tcW w:w="0" w:type="auto"/>
            <w:shd w:val="clear" w:color="auto" w:fill="auto"/>
            <w:vAlign w:val="center"/>
          </w:tcPr>
          <w:p w14:paraId="3693F7F9" w14:textId="77777777" w:rsidR="003734EC" w:rsidRDefault="003734EC">
            <w:pPr>
              <w:rPr>
                <w:rFonts w:ascii="宋体"/>
              </w:rPr>
            </w:pPr>
          </w:p>
        </w:tc>
        <w:tc>
          <w:tcPr>
            <w:tcW w:w="0" w:type="auto"/>
            <w:shd w:val="clear" w:color="auto" w:fill="auto"/>
            <w:vAlign w:val="center"/>
          </w:tcPr>
          <w:p w14:paraId="3693F7FA" w14:textId="77777777" w:rsidR="003734EC" w:rsidRDefault="003734EC">
            <w:pPr>
              <w:rPr>
                <w:rFonts w:ascii="宋体"/>
              </w:rPr>
            </w:pPr>
          </w:p>
        </w:tc>
        <w:tc>
          <w:tcPr>
            <w:tcW w:w="0" w:type="auto"/>
            <w:shd w:val="clear" w:color="auto" w:fill="auto"/>
            <w:vAlign w:val="center"/>
          </w:tcPr>
          <w:p w14:paraId="3693F7FB" w14:textId="77777777" w:rsidR="003734EC" w:rsidRDefault="003734EC">
            <w:pPr>
              <w:rPr>
                <w:rFonts w:ascii="宋体"/>
              </w:rPr>
            </w:pPr>
          </w:p>
        </w:tc>
      </w:tr>
    </w:tbl>
    <w:p w14:paraId="3693F7FD" w14:textId="77777777" w:rsidR="003734EC" w:rsidRDefault="000E364E">
      <w:pPr>
        <w:spacing w:before="360" w:after="180"/>
        <w:jc w:val="both"/>
      </w:pPr>
      <w:r>
        <w:rPr>
          <w:rFonts w:ascii="sans-serif" w:eastAsia="sans-serif" w:hAnsi="sans-serif" w:cs="sans-serif"/>
          <w:color w:val="000000"/>
          <w:sz w:val="20"/>
          <w:szCs w:val="20"/>
        </w:rPr>
        <w:t>No customer represented 10% or more of total revenue for the first quarter of fiscal year 2021. One customer represented 11% of our total revenue for the first quarter of fiscal year 2020, and was attributable primarily to the Graphics segment.</w:t>
      </w:r>
    </w:p>
    <w:p w14:paraId="3693F7FE" w14:textId="77777777" w:rsidR="003734EC" w:rsidRDefault="000E364E">
      <w:pPr>
        <w:spacing w:after="180"/>
        <w:jc w:val="both"/>
      </w:pPr>
      <w:r>
        <w:rPr>
          <w:rFonts w:ascii="sans-serif" w:eastAsia="sans-serif" w:hAnsi="sans-serif" w:cs="sans-serif"/>
          <w:color w:val="000000"/>
          <w:sz w:val="20"/>
          <w:szCs w:val="20"/>
        </w:rPr>
        <w:t>One cu</w:t>
      </w:r>
      <w:r>
        <w:rPr>
          <w:rFonts w:ascii="sans-serif" w:eastAsia="sans-serif" w:hAnsi="sans-serif" w:cs="sans-serif"/>
          <w:color w:val="000000"/>
          <w:sz w:val="20"/>
          <w:szCs w:val="20"/>
        </w:rPr>
        <w:t>stomer represented 15% and 21% of our accounts receivable balance as of April 26, 2020 and January 26, 2020, respectively.</w:t>
      </w:r>
    </w:p>
    <w:p w14:paraId="3693F7FF" w14:textId="77777777" w:rsidR="003734EC" w:rsidRDefault="000E364E">
      <w:pPr>
        <w:spacing w:before="240" w:after="120"/>
        <w:jc w:val="both"/>
      </w:pPr>
      <w:r>
        <w:rPr>
          <w:rFonts w:ascii="sans-serif" w:eastAsia="sans-serif" w:hAnsi="sans-serif" w:cs="sans-serif"/>
          <w:b/>
          <w:bCs/>
          <w:color w:val="76B900"/>
          <w:sz w:val="22"/>
          <w:szCs w:val="22"/>
        </w:rPr>
        <w:t xml:space="preserve">Note 16 - Goodwill </w:t>
      </w:r>
    </w:p>
    <w:p w14:paraId="3693F800" w14:textId="77777777" w:rsidR="003734EC" w:rsidRDefault="000E364E">
      <w:pPr>
        <w:spacing w:after="180"/>
        <w:jc w:val="both"/>
      </w:pPr>
      <w:r>
        <w:rPr>
          <w:rFonts w:ascii="sans-serif" w:eastAsia="sans-serif" w:hAnsi="sans-serif" w:cs="sans-serif"/>
          <w:color w:val="000000"/>
          <w:sz w:val="20"/>
          <w:szCs w:val="20"/>
        </w:rPr>
        <w:t>During the first quarter of fiscal year 2021, we changed our operating segments to Graphics and Compute &amp; Network</w:t>
      </w:r>
      <w:r>
        <w:rPr>
          <w:rFonts w:ascii="sans-serif" w:eastAsia="sans-serif" w:hAnsi="sans-serif" w:cs="sans-serif"/>
          <w:color w:val="000000"/>
          <w:sz w:val="20"/>
          <w:szCs w:val="20"/>
        </w:rPr>
        <w:t>ing, as discussed in Note 15 of these Notes to Condensed Consolidated Financial Statements. As a result, our reporting units also changed, and we have reassigned the goodwill balance to the new reporting units based on their relative fair values. We determ</w:t>
      </w:r>
      <w:r>
        <w:rPr>
          <w:rFonts w:ascii="sans-serif" w:eastAsia="sans-serif" w:hAnsi="sans-serif" w:cs="sans-serif"/>
          <w:color w:val="000000"/>
          <w:sz w:val="20"/>
          <w:szCs w:val="20"/>
        </w:rPr>
        <w:t>ined there was no goodwill impairment immediately prior to the reorganization. As of April 26, 2020, the total carrying amount of goodwill was $628 million and the amount of goodwill allocated to our Graphics and Compute &amp; Networking reporting units were $</w:t>
      </w:r>
      <w:r>
        <w:rPr>
          <w:rFonts w:ascii="sans-serif" w:eastAsia="sans-serif" w:hAnsi="sans-serif" w:cs="sans-serif"/>
          <w:color w:val="000000"/>
          <w:sz w:val="20"/>
          <w:szCs w:val="20"/>
        </w:rPr>
        <w:t>347 million and $281 million, respectively. In the first quarter of fiscal year 2021, goodwill increased by $10 million related to acquisition activity.</w:t>
      </w:r>
    </w:p>
    <w:p w14:paraId="3693F801" w14:textId="77777777" w:rsidR="003734EC" w:rsidRDefault="000E364E">
      <w:pPr>
        <w:spacing w:after="180"/>
        <w:jc w:val="center"/>
      </w:pPr>
      <w:r>
        <w:rPr>
          <w:rFonts w:ascii="sans-serif" w:eastAsia="sans-serif" w:hAnsi="sans-serif" w:cs="sans-serif"/>
          <w:color w:val="000000"/>
          <w:sz w:val="20"/>
          <w:szCs w:val="20"/>
        </w:rPr>
        <w:t>20</w:t>
      </w:r>
    </w:p>
    <w:p w14:paraId="3693F802" w14:textId="77777777" w:rsidR="003734EC" w:rsidRDefault="000E364E">
      <w:r>
        <w:pict w14:anchorId="3693FF5D">
          <v:rect id="_x0000_i1043" style="width:415.3pt;height:1.5pt" o:hralign="center" o:hrstd="t" o:hr="t" fillcolor="#a0a0a0" stroked="f"/>
        </w:pict>
      </w:r>
    </w:p>
    <w:p w14:paraId="3693F803" w14:textId="77777777" w:rsidR="003734EC" w:rsidRDefault="003734EC">
      <w:pPr>
        <w:spacing w:after="180"/>
        <w:jc w:val="both"/>
      </w:pPr>
    </w:p>
    <w:p w14:paraId="3693F804" w14:textId="77777777" w:rsidR="003734EC" w:rsidRDefault="000E364E">
      <w:pPr>
        <w:spacing w:before="240" w:after="120"/>
        <w:jc w:val="both"/>
      </w:pPr>
      <w:r>
        <w:rPr>
          <w:rFonts w:ascii="sans-serif" w:eastAsia="sans-serif" w:hAnsi="sans-serif" w:cs="sans-serif"/>
          <w:b/>
          <w:bCs/>
          <w:color w:val="76B900"/>
          <w:sz w:val="22"/>
          <w:szCs w:val="22"/>
        </w:rPr>
        <w:t xml:space="preserve">ITEM 2. MANAGEMENT’S DISCUSSION AND ANALYSIS OF FINANCIAL CONDITION AND RESULTS OF </w:t>
      </w:r>
      <w:r>
        <w:rPr>
          <w:rFonts w:ascii="sans-serif" w:eastAsia="sans-serif" w:hAnsi="sans-serif" w:cs="sans-serif"/>
          <w:b/>
          <w:bCs/>
          <w:color w:val="76B900"/>
          <w:sz w:val="22"/>
          <w:szCs w:val="22"/>
        </w:rPr>
        <w:t>OPERATIONS</w:t>
      </w:r>
    </w:p>
    <w:p w14:paraId="3693F805" w14:textId="77777777" w:rsidR="003734EC" w:rsidRDefault="000E364E">
      <w:pPr>
        <w:spacing w:before="24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3693F806" w14:textId="77777777" w:rsidR="003734EC" w:rsidRDefault="000E364E">
      <w:pPr>
        <w:spacing w:after="180"/>
        <w:jc w:val="both"/>
      </w:pPr>
      <w:r>
        <w:rPr>
          <w:rFonts w:ascii="sans-serif" w:eastAsia="sans-serif" w:hAnsi="sans-serif" w:cs="sans-serif"/>
          <w:i/>
          <w:iCs/>
          <w:color w:val="000000"/>
          <w:sz w:val="20"/>
          <w:szCs w:val="20"/>
        </w:rPr>
        <w:t xml:space="preserve">This Quarterly Report on Form 10-Q contains forward-looking statements within the meaning of Section 27A of the Securities Act of 1933, as amended, and Section 21E of the Securities Exchange Act of 1934, as </w:t>
      </w:r>
      <w:r>
        <w:rPr>
          <w:rFonts w:ascii="sans-serif" w:eastAsia="sans-serif" w:hAnsi="sans-serif" w:cs="sans-serif"/>
          <w:i/>
          <w:iCs/>
          <w:color w:val="000000"/>
          <w:sz w:val="20"/>
          <w:szCs w:val="20"/>
        </w:rPr>
        <w:t>amended, which are subject to the “safe harbor” created by those sections. Forward-looking statements are based on our management’s beliefs and assumptions and on information currently available to our management. In some cases, you can identify forward-lo</w:t>
      </w:r>
      <w:r>
        <w:rPr>
          <w:rFonts w:ascii="sans-serif" w:eastAsia="sans-serif" w:hAnsi="sans-serif" w:cs="sans-serif"/>
          <w:i/>
          <w:iCs/>
          <w:color w:val="000000"/>
          <w:sz w:val="20"/>
          <w:szCs w:val="20"/>
        </w:rPr>
        <w:t>oking statements by terms such as “may,” “will,” “should,” “could,” “goal,” “would,” “expect,” “plan,” “anticipate,” “believe,” “estimate,” “project,” “predict,” “potential” and similar expressions intended to identify forward-looking statements. Other sta</w:t>
      </w:r>
      <w:r>
        <w:rPr>
          <w:rFonts w:ascii="sans-serif" w:eastAsia="sans-serif" w:hAnsi="sans-serif" w:cs="sans-serif"/>
          <w:i/>
          <w:iCs/>
          <w:color w:val="000000"/>
          <w:sz w:val="20"/>
          <w:szCs w:val="20"/>
        </w:rPr>
        <w:t xml:space="preserve">tements in this Form 10-Q regarding the potential future impact of the COVID-19 pandemic on the Company’s business and results of operations are forward-looking statements. These statements involve known and unknown risks, uncertainties and other factors, </w:t>
      </w:r>
      <w:r>
        <w:rPr>
          <w:rFonts w:ascii="sans-serif" w:eastAsia="sans-serif" w:hAnsi="sans-serif" w:cs="sans-serif"/>
          <w:i/>
          <w:iCs/>
          <w:color w:val="000000"/>
          <w:sz w:val="20"/>
          <w:szCs w:val="20"/>
        </w:rPr>
        <w:t>which may cause our actual results, performance, time frames or achievements to be materially different from any future results, performance, time frames or achievements expressed or implied by the forward-looking statements. We discuss many of these risks</w:t>
      </w:r>
      <w:r>
        <w:rPr>
          <w:rFonts w:ascii="sans-serif" w:eastAsia="sans-serif" w:hAnsi="sans-serif" w:cs="sans-serif"/>
          <w:i/>
          <w:iCs/>
          <w:color w:val="000000"/>
          <w:sz w:val="20"/>
          <w:szCs w:val="20"/>
        </w:rPr>
        <w:t>, uncertainties and other factors in this Quarterly Report on Form 10-Q in greater detail under the heading “Risk Factors.” Given these risks, uncertainties and other factors, you should not place undue reliance on these forward-looking statements. Also, t</w:t>
      </w:r>
      <w:r>
        <w:rPr>
          <w:rFonts w:ascii="sans-serif" w:eastAsia="sans-serif" w:hAnsi="sans-serif" w:cs="sans-serif"/>
          <w:i/>
          <w:iCs/>
          <w:color w:val="000000"/>
          <w:sz w:val="20"/>
          <w:szCs w:val="20"/>
        </w:rPr>
        <w:t xml:space="preserve">hese forward-looking statements represent our estimates and assumptions only as of the date of this filing. You should read this Quarterly Report on Form 10-Q completely and with the understanding that our actual future results may be materially different </w:t>
      </w:r>
      <w:r>
        <w:rPr>
          <w:rFonts w:ascii="sans-serif" w:eastAsia="sans-serif" w:hAnsi="sans-serif" w:cs="sans-serif"/>
          <w:i/>
          <w:iCs/>
          <w:color w:val="000000"/>
          <w:sz w:val="20"/>
          <w:szCs w:val="20"/>
        </w:rPr>
        <w:t>from what we expect. We hereby qualify our forward-looking statements by these cautionary statements. Except as required by law, we assume no obligation to update these forward-looking statements publicly, or to update the reasons actual results could diff</w:t>
      </w:r>
      <w:r>
        <w:rPr>
          <w:rFonts w:ascii="sans-serif" w:eastAsia="sans-serif" w:hAnsi="sans-serif" w:cs="sans-serif"/>
          <w:i/>
          <w:iCs/>
          <w:color w:val="000000"/>
          <w:sz w:val="20"/>
          <w:szCs w:val="20"/>
        </w:rPr>
        <w:t>er materially from those anticipated in these forward-looking statements, even if new information becomes available in the future.</w:t>
      </w:r>
    </w:p>
    <w:p w14:paraId="3693F807" w14:textId="77777777" w:rsidR="003734EC" w:rsidRDefault="000E364E">
      <w:pPr>
        <w:spacing w:after="180"/>
        <w:jc w:val="both"/>
      </w:pPr>
      <w:r>
        <w:rPr>
          <w:rFonts w:ascii="sans-serif" w:eastAsia="sans-serif" w:hAnsi="sans-serif" w:cs="sans-serif"/>
          <w:i/>
          <w:iCs/>
          <w:color w:val="000000"/>
          <w:sz w:val="20"/>
          <w:szCs w:val="20"/>
        </w:rPr>
        <w:t>All referen</w:t>
      </w:r>
      <w:r>
        <w:rPr>
          <w:rFonts w:ascii="sans-serif" w:eastAsia="sans-serif" w:hAnsi="sans-serif" w:cs="sans-serif"/>
          <w:color w:val="000000"/>
          <w:sz w:val="20"/>
          <w:szCs w:val="20"/>
        </w:rPr>
        <w:t>ce</w:t>
      </w:r>
      <w:r>
        <w:rPr>
          <w:rFonts w:ascii="sans-serif" w:eastAsia="sans-serif" w:hAnsi="sans-serif" w:cs="sans-serif"/>
          <w:i/>
          <w:iCs/>
          <w:color w:val="000000"/>
          <w:sz w:val="20"/>
          <w:szCs w:val="20"/>
        </w:rPr>
        <w:t>s to “NVIDIA,” “we,” “us,” “our” or the “Company” mean NVIDIA Corporation and its subsidiaries.</w:t>
      </w:r>
    </w:p>
    <w:p w14:paraId="3693F808" w14:textId="77777777" w:rsidR="003734EC" w:rsidRDefault="000E364E">
      <w:pPr>
        <w:spacing w:after="180"/>
        <w:jc w:val="both"/>
      </w:pPr>
      <w:r>
        <w:rPr>
          <w:rFonts w:ascii="sans-serif" w:eastAsia="sans-serif" w:hAnsi="sans-serif" w:cs="sans-serif"/>
          <w:i/>
          <w:iCs/>
          <w:color w:val="000000"/>
          <w:sz w:val="20"/>
          <w:szCs w:val="20"/>
        </w:rPr>
        <w:t>NVIDIA, the NVID</w:t>
      </w:r>
      <w:r>
        <w:rPr>
          <w:rFonts w:ascii="sans-serif" w:eastAsia="sans-serif" w:hAnsi="sans-serif" w:cs="sans-serif"/>
          <w:i/>
          <w:iCs/>
          <w:color w:val="000000"/>
          <w:sz w:val="20"/>
          <w:szCs w:val="20"/>
        </w:rPr>
        <w:t>IA logo, GeForce, GeForce NOW, GeForce RTX SUPER, NVIDIA CUDA, NVIDIA DGX, NVIDIA EGX AI Edge, NVIDIA GRID, NVIDIA Jarvis, NVIDIA Jetson, NVIDIA Merlin, NVIDIA RTX, Mellanox, Quadro, Quadro RTX, and Tegra are trademarks and/or registered trademarks of NVID</w:t>
      </w:r>
      <w:r>
        <w:rPr>
          <w:rFonts w:ascii="sans-serif" w:eastAsia="sans-serif" w:hAnsi="sans-serif" w:cs="sans-serif"/>
          <w:i/>
          <w:iCs/>
          <w:color w:val="000000"/>
          <w:sz w:val="20"/>
          <w:szCs w:val="20"/>
        </w:rPr>
        <w:t>IA Corporation in the United States and/or other countries. Other company and product names may be trademarks of the respective companies with which they are associated. Features, pricing, availability, and specifications are subject to change without noti</w:t>
      </w:r>
      <w:r>
        <w:rPr>
          <w:rFonts w:ascii="sans-serif" w:eastAsia="sans-serif" w:hAnsi="sans-serif" w:cs="sans-serif"/>
          <w:i/>
          <w:iCs/>
          <w:color w:val="000000"/>
          <w:sz w:val="20"/>
          <w:szCs w:val="20"/>
        </w:rPr>
        <w:t>ce.</w:t>
      </w:r>
    </w:p>
    <w:p w14:paraId="3693F809" w14:textId="77777777" w:rsidR="003734EC" w:rsidRDefault="000E364E">
      <w:pPr>
        <w:spacing w:after="180"/>
        <w:jc w:val="both"/>
      </w:pPr>
      <w:r>
        <w:rPr>
          <w:rFonts w:ascii="sans-serif" w:eastAsia="sans-serif" w:hAnsi="sans-serif" w:cs="sans-serif"/>
          <w:color w:val="000000"/>
          <w:sz w:val="20"/>
          <w:szCs w:val="20"/>
        </w:rPr>
        <w:t>The following discussion and analysis of our financial condition and results of operations should be read in conjunction with “Item 6. Selected Financial Data” of our Annual Report on Form 10-K for the fiscal year ended January 26, 2020 and “Item 1A. R</w:t>
      </w:r>
      <w:r>
        <w:rPr>
          <w:rFonts w:ascii="sans-serif" w:eastAsia="sans-serif" w:hAnsi="sans-serif" w:cs="sans-serif"/>
          <w:color w:val="000000"/>
          <w:sz w:val="20"/>
          <w:szCs w:val="20"/>
        </w:rPr>
        <w:t>isk Factors” of this Quarterly Report on Form 10-Q and our Condensed Consolidated Financial Statements and related Notes thereto, as well as other cautionary statements and risks described elsewhere in this Quarterly Report on Form 10-Q, before deciding to</w:t>
      </w:r>
      <w:r>
        <w:rPr>
          <w:rFonts w:ascii="sans-serif" w:eastAsia="sans-serif" w:hAnsi="sans-serif" w:cs="sans-serif"/>
          <w:color w:val="000000"/>
          <w:sz w:val="20"/>
          <w:szCs w:val="20"/>
        </w:rPr>
        <w:t xml:space="preserve"> purchase or sell shares of our common stock.</w:t>
      </w:r>
    </w:p>
    <w:p w14:paraId="3693F80A" w14:textId="77777777" w:rsidR="003734EC" w:rsidRDefault="000E364E">
      <w:pPr>
        <w:spacing w:before="240" w:after="60"/>
        <w:jc w:val="both"/>
      </w:pPr>
      <w:r>
        <w:rPr>
          <w:rFonts w:ascii="sans-serif" w:eastAsia="sans-serif" w:hAnsi="sans-serif" w:cs="sans-serif"/>
          <w:b/>
          <w:bCs/>
          <w:color w:val="76B900"/>
          <w:sz w:val="20"/>
          <w:szCs w:val="20"/>
        </w:rPr>
        <w:t>Overview</w:t>
      </w:r>
    </w:p>
    <w:p w14:paraId="3693F80B" w14:textId="77777777" w:rsidR="003734EC" w:rsidRDefault="000E364E">
      <w:pPr>
        <w:spacing w:before="120" w:after="120"/>
        <w:jc w:val="both"/>
      </w:pPr>
      <w:r>
        <w:rPr>
          <w:rFonts w:ascii="sans-serif" w:eastAsia="sans-serif" w:hAnsi="sans-serif" w:cs="sans-serif"/>
          <w:b/>
          <w:bCs/>
          <w:color w:val="000000"/>
          <w:sz w:val="20"/>
          <w:szCs w:val="20"/>
        </w:rPr>
        <w:t>Our Company and Our Businesses</w:t>
      </w:r>
    </w:p>
    <w:p w14:paraId="3693F80C" w14:textId="77777777" w:rsidR="003734EC" w:rsidRDefault="000E364E">
      <w:pPr>
        <w:spacing w:after="180"/>
        <w:jc w:val="both"/>
      </w:pPr>
      <w:r>
        <w:rPr>
          <w:rFonts w:ascii="sans-serif" w:eastAsia="sans-serif" w:hAnsi="sans-serif" w:cs="sans-serif"/>
          <w:color w:val="000000"/>
          <w:sz w:val="20"/>
          <w:szCs w:val="20"/>
        </w:rPr>
        <w:t>NVIDIA pioneered accelerated computing to help solve the most challenging computational problems. Starting with a focus on PC graphics, we extended our focus in recent ye</w:t>
      </w:r>
      <w:r>
        <w:rPr>
          <w:rFonts w:ascii="sans-serif" w:eastAsia="sans-serif" w:hAnsi="sans-serif" w:cs="sans-serif"/>
          <w:color w:val="000000"/>
          <w:sz w:val="20"/>
          <w:szCs w:val="20"/>
        </w:rPr>
        <w:t xml:space="preserve">ars to the revolutionary field of AI. Fueled by the sustained demand for exceptional 3D graphics and the scale of the gaming market, NVIDIA leveraged its GPU architecture to create platforms for virtual reality, HPC, and AI. </w:t>
      </w:r>
    </w:p>
    <w:p w14:paraId="3693F80D" w14:textId="77777777" w:rsidR="003734EC" w:rsidRDefault="000E364E">
      <w:pPr>
        <w:spacing w:after="180"/>
        <w:jc w:val="both"/>
      </w:pPr>
      <w:r>
        <w:rPr>
          <w:rFonts w:ascii="sans-serif" w:eastAsia="sans-serif" w:hAnsi="sans-serif" w:cs="sans-serif"/>
          <w:color w:val="000000"/>
          <w:sz w:val="20"/>
          <w:szCs w:val="20"/>
        </w:rPr>
        <w:t xml:space="preserve">Through fiscal year 2020, our </w:t>
      </w:r>
      <w:r>
        <w:rPr>
          <w:rFonts w:ascii="sans-serif" w:eastAsia="sans-serif" w:hAnsi="sans-serif" w:cs="sans-serif"/>
          <w:color w:val="000000"/>
          <w:sz w:val="20"/>
          <w:szCs w:val="20"/>
        </w:rPr>
        <w:t xml:space="preserve">reportable segments were GPU and Tegra Processor. Starting with the first quarter of fiscal year 2021, our reportable segments have changed to "Graphics" and "Compute &amp; Networking". </w:t>
      </w:r>
    </w:p>
    <w:p w14:paraId="3693F80E" w14:textId="77777777" w:rsidR="003734EC" w:rsidRDefault="000E364E">
      <w:pPr>
        <w:spacing w:after="180"/>
        <w:jc w:val="both"/>
      </w:pPr>
      <w:r>
        <w:rPr>
          <w:rFonts w:ascii="sans-serif" w:eastAsia="sans-serif" w:hAnsi="sans-serif" w:cs="sans-serif"/>
          <w:color w:val="000000"/>
          <w:sz w:val="20"/>
          <w:szCs w:val="20"/>
        </w:rPr>
        <w:t>Our Graphics segment includes GeForce GPUs for gaming and PCs, the GeForc</w:t>
      </w:r>
      <w:r>
        <w:rPr>
          <w:rFonts w:ascii="sans-serif" w:eastAsia="sans-serif" w:hAnsi="sans-serif" w:cs="sans-serif"/>
          <w:color w:val="000000"/>
          <w:sz w:val="20"/>
          <w:szCs w:val="20"/>
        </w:rPr>
        <w:t xml:space="preserve">e NOW game streaming service and related infrastructure, and solutions for gaming platforms; Quadro GPUs for enterprise design; GRID software for cloud-based visual and virtual computing; and automotive platforms for infotainment systems. </w:t>
      </w:r>
    </w:p>
    <w:p w14:paraId="3693F80F" w14:textId="77777777" w:rsidR="003734EC" w:rsidRDefault="000E364E">
      <w:pPr>
        <w:spacing w:after="180"/>
        <w:jc w:val="both"/>
      </w:pPr>
      <w:r>
        <w:rPr>
          <w:rFonts w:ascii="sans-serif" w:eastAsia="sans-serif" w:hAnsi="sans-serif" w:cs="sans-serif"/>
          <w:color w:val="000000"/>
          <w:sz w:val="20"/>
          <w:szCs w:val="20"/>
        </w:rPr>
        <w:t>Our Compute &amp; Ne</w:t>
      </w:r>
      <w:r>
        <w:rPr>
          <w:rFonts w:ascii="sans-serif" w:eastAsia="sans-serif" w:hAnsi="sans-serif" w:cs="sans-serif"/>
          <w:color w:val="000000"/>
          <w:sz w:val="20"/>
          <w:szCs w:val="20"/>
        </w:rPr>
        <w:t>tworking segment includes Data Center platforms and systems for AI, HPC, and accelerated computing; DRIVE for autonomous vehicles; and Jetson for robotics and other embedded platforms. Starting with the second quarter of fiscal year 2021, we will include M</w:t>
      </w:r>
      <w:r>
        <w:rPr>
          <w:rFonts w:ascii="sans-serif" w:eastAsia="sans-serif" w:hAnsi="sans-serif" w:cs="sans-serif"/>
          <w:color w:val="000000"/>
          <w:sz w:val="20"/>
          <w:szCs w:val="20"/>
        </w:rPr>
        <w:t>ellanox revenue in this segment.</w:t>
      </w:r>
    </w:p>
    <w:p w14:paraId="3693F810" w14:textId="77777777" w:rsidR="003734EC" w:rsidRDefault="000E364E">
      <w:pPr>
        <w:spacing w:after="180"/>
        <w:jc w:val="center"/>
      </w:pPr>
      <w:r>
        <w:rPr>
          <w:rFonts w:ascii="sans-serif" w:eastAsia="sans-serif" w:hAnsi="sans-serif" w:cs="sans-serif"/>
          <w:color w:val="000000"/>
          <w:sz w:val="20"/>
          <w:szCs w:val="20"/>
        </w:rPr>
        <w:t>21</w:t>
      </w:r>
    </w:p>
    <w:p w14:paraId="3693F811" w14:textId="77777777" w:rsidR="003734EC" w:rsidRDefault="000E364E">
      <w:r>
        <w:pict w14:anchorId="3693FF5E">
          <v:rect id="_x0000_i1044" style="width:415.3pt;height:1.5pt" o:hralign="center" o:hrstd="t" o:hr="t" fillcolor="#a0a0a0" stroked="f"/>
        </w:pict>
      </w:r>
    </w:p>
    <w:p w14:paraId="3693F812" w14:textId="77777777" w:rsidR="003734EC" w:rsidRDefault="003734EC">
      <w:pPr>
        <w:spacing w:after="180"/>
        <w:jc w:val="both"/>
      </w:pPr>
    </w:p>
    <w:p w14:paraId="3693F813" w14:textId="77777777" w:rsidR="003734EC" w:rsidRDefault="000E364E">
      <w:pPr>
        <w:spacing w:after="180"/>
        <w:jc w:val="both"/>
      </w:pPr>
      <w:r>
        <w:rPr>
          <w:rFonts w:ascii="sans-serif" w:eastAsia="sans-serif" w:hAnsi="sans-serif" w:cs="sans-serif"/>
          <w:color w:val="000000"/>
          <w:sz w:val="20"/>
          <w:szCs w:val="20"/>
        </w:rPr>
        <w:t>All prior period comparisons presented reflect our new reportable segments. Our market platforms – Gaming, Professional Visualization, Data Center, Automotive, OEM and Other – remain unchanged. We will incorporate Mel</w:t>
      </w:r>
      <w:r>
        <w:rPr>
          <w:rFonts w:ascii="sans-serif" w:eastAsia="sans-serif" w:hAnsi="sans-serif" w:cs="sans-serif"/>
          <w:color w:val="000000"/>
          <w:sz w:val="20"/>
          <w:szCs w:val="20"/>
        </w:rPr>
        <w:t>lanox in our Data Center market platform.</w:t>
      </w:r>
    </w:p>
    <w:p w14:paraId="3693F814" w14:textId="77777777" w:rsidR="003734EC" w:rsidRDefault="000E364E">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April 1998.</w:t>
      </w:r>
    </w:p>
    <w:p w14:paraId="3693F815" w14:textId="77777777" w:rsidR="003734EC" w:rsidRDefault="000E364E">
      <w:pPr>
        <w:spacing w:after="180"/>
        <w:jc w:val="center"/>
      </w:pPr>
      <w:r>
        <w:rPr>
          <w:rFonts w:ascii="sans-serif" w:eastAsia="sans-serif" w:hAnsi="sans-serif" w:cs="sans-serif"/>
          <w:color w:val="000000"/>
          <w:sz w:val="20"/>
          <w:szCs w:val="20"/>
        </w:rPr>
        <w:t>22</w:t>
      </w:r>
    </w:p>
    <w:p w14:paraId="3693F816" w14:textId="77777777" w:rsidR="003734EC" w:rsidRDefault="000E364E">
      <w:r>
        <w:pict w14:anchorId="3693FF5F">
          <v:rect id="_x0000_i1045" style="width:415.3pt;height:1.5pt" o:hralign="center" o:hrstd="t" o:hr="t" fillcolor="#a0a0a0" stroked="f"/>
        </w:pict>
      </w:r>
    </w:p>
    <w:p w14:paraId="3693F817" w14:textId="77777777" w:rsidR="003734EC" w:rsidRDefault="003734EC">
      <w:pPr>
        <w:spacing w:after="180"/>
        <w:jc w:val="both"/>
      </w:pPr>
    </w:p>
    <w:p w14:paraId="3693F818" w14:textId="77777777" w:rsidR="003734EC" w:rsidRDefault="000E364E">
      <w:pPr>
        <w:spacing w:before="240" w:after="120"/>
        <w:jc w:val="both"/>
      </w:pPr>
      <w:r>
        <w:rPr>
          <w:rFonts w:ascii="sans-serif" w:eastAsia="sans-serif" w:hAnsi="sans-serif" w:cs="sans-serif"/>
          <w:b/>
          <w:bCs/>
          <w:color w:val="76B900"/>
          <w:sz w:val="22"/>
          <w:szCs w:val="22"/>
        </w:rPr>
        <w:t>Recent Developments, Future Objectives and Challenges</w:t>
      </w:r>
    </w:p>
    <w:p w14:paraId="3693F819" w14:textId="77777777" w:rsidR="003734EC" w:rsidRDefault="000E364E">
      <w:pPr>
        <w:spacing w:before="120" w:after="120"/>
        <w:jc w:val="both"/>
      </w:pPr>
      <w:r>
        <w:rPr>
          <w:rFonts w:ascii="sans-serif" w:eastAsia="sans-serif" w:hAnsi="sans-serif" w:cs="sans-serif"/>
          <w:b/>
          <w:bCs/>
          <w:color w:val="000000"/>
          <w:sz w:val="20"/>
          <w:szCs w:val="20"/>
        </w:rPr>
        <w:t>COVID-19</w:t>
      </w:r>
    </w:p>
    <w:p w14:paraId="3693F81A" w14:textId="77777777" w:rsidR="003734EC" w:rsidRDefault="000E364E">
      <w:pPr>
        <w:spacing w:after="180"/>
        <w:jc w:val="both"/>
      </w:pPr>
      <w:r>
        <w:rPr>
          <w:rFonts w:ascii="sans-serif" w:eastAsia="sans-serif" w:hAnsi="sans-serif" w:cs="sans-serif"/>
          <w:color w:val="000000"/>
          <w:sz w:val="20"/>
          <w:szCs w:val="20"/>
        </w:rPr>
        <w:t>The novel strain of the coronavirus identified in late calendar 2019 (COVID-19) has spread to a worldwide pandemic within the first quarter of fiscal year 2021. Government authorities around the world implemented measures to try to contain the dis</w:t>
      </w:r>
      <w:r>
        <w:rPr>
          <w:rFonts w:ascii="sans-serif" w:eastAsia="sans-serif" w:hAnsi="sans-serif" w:cs="sans-serif"/>
          <w:color w:val="000000"/>
          <w:sz w:val="20"/>
          <w:szCs w:val="20"/>
        </w:rPr>
        <w:t>ease, such as travel bans and restrictions, quarantines, shelter-in-place orders and shutdowns. Since March 2020, most of our employees have been working remotely and we temporarily prohibited business travel.</w:t>
      </w:r>
    </w:p>
    <w:p w14:paraId="3693F81B" w14:textId="77777777" w:rsidR="003734EC" w:rsidRDefault="000E364E">
      <w:pPr>
        <w:spacing w:after="180"/>
        <w:jc w:val="both"/>
      </w:pPr>
      <w:r>
        <w:rPr>
          <w:rFonts w:ascii="sans-serif" w:eastAsia="sans-serif" w:hAnsi="sans-serif" w:cs="sans-serif"/>
          <w:color w:val="000000"/>
          <w:sz w:val="20"/>
          <w:szCs w:val="20"/>
        </w:rPr>
        <w:t xml:space="preserve">During the first quarter of fiscal year 2021, </w:t>
      </w:r>
      <w:r>
        <w:rPr>
          <w:rFonts w:ascii="sans-serif" w:eastAsia="sans-serif" w:hAnsi="sans-serif" w:cs="sans-serif"/>
          <w:color w:val="000000"/>
          <w:sz w:val="20"/>
          <w:szCs w:val="20"/>
        </w:rPr>
        <w:t xml:space="preserve">we experienced disruptions to our supply chain and logistical services provided by outsourcing partners and component supply, primarily based in Asia. These disruptions adversely impacted our linearity of supply and sales within the quarter. </w:t>
      </w:r>
    </w:p>
    <w:p w14:paraId="3693F81C" w14:textId="77777777" w:rsidR="003734EC" w:rsidRDefault="000E364E">
      <w:pPr>
        <w:spacing w:after="180"/>
        <w:jc w:val="both"/>
      </w:pPr>
      <w:r>
        <w:rPr>
          <w:rFonts w:ascii="sans-serif" w:eastAsia="sans-serif" w:hAnsi="sans-serif" w:cs="sans-serif"/>
          <w:color w:val="000000"/>
          <w:sz w:val="20"/>
          <w:szCs w:val="20"/>
        </w:rPr>
        <w:t>The shelter-i</w:t>
      </w:r>
      <w:r>
        <w:rPr>
          <w:rFonts w:ascii="sans-serif" w:eastAsia="sans-serif" w:hAnsi="sans-serif" w:cs="sans-serif"/>
          <w:color w:val="000000"/>
          <w:sz w:val="20"/>
          <w:szCs w:val="20"/>
        </w:rPr>
        <w:t>n-place or similar global orders have impacted demand for our gaming products in many jurisdictions that rely on purchases at physical retailers due to temporary store closures, and demand from iCafes located in China which have temporarily closed. In addi</w:t>
      </w:r>
      <w:r>
        <w:rPr>
          <w:rFonts w:ascii="sans-serif" w:eastAsia="sans-serif" w:hAnsi="sans-serif" w:cs="sans-serif"/>
          <w:color w:val="000000"/>
          <w:sz w:val="20"/>
          <w:szCs w:val="20"/>
        </w:rPr>
        <w:t>tion, the global demand for automobiles has decreased during this time which negatively impacts demand for our automotive products and solutions. In some regions, the shelter-in-place orders have driven a temporary increase in demand, that may not be susta</w:t>
      </w:r>
      <w:r>
        <w:rPr>
          <w:rFonts w:ascii="sans-serif" w:eastAsia="sans-serif" w:hAnsi="sans-serif" w:cs="sans-serif"/>
          <w:color w:val="000000"/>
          <w:sz w:val="20"/>
          <w:szCs w:val="20"/>
        </w:rPr>
        <w:t>inable, for gaming, OEM platforms and compute infrastructure as a result of work from home, learn at home, and gaming.</w:t>
      </w:r>
    </w:p>
    <w:p w14:paraId="3693F81D" w14:textId="77777777" w:rsidR="003734EC" w:rsidRDefault="000E364E">
      <w:pPr>
        <w:spacing w:after="180"/>
        <w:jc w:val="both"/>
      </w:pPr>
      <w:r>
        <w:rPr>
          <w:rFonts w:ascii="sans-serif" w:eastAsia="sans-serif" w:hAnsi="sans-serif" w:cs="sans-serif"/>
          <w:color w:val="000000"/>
          <w:sz w:val="20"/>
          <w:szCs w:val="20"/>
        </w:rPr>
        <w:t xml:space="preserve">The full extent and duration of COVID-19 is uncertain. If the COVID-19 pandemic continues for an extended period, the timing and overall </w:t>
      </w:r>
      <w:r>
        <w:rPr>
          <w:rFonts w:ascii="sans-serif" w:eastAsia="sans-serif" w:hAnsi="sans-serif" w:cs="sans-serif"/>
          <w:color w:val="000000"/>
          <w:sz w:val="20"/>
          <w:szCs w:val="20"/>
        </w:rPr>
        <w:t>demand from customers and the availability of supply chain, logistical services and component supply could have a material net negative impact on our business and financial results. Refer to Part II, Item 1A of this Form 10-Q for additional information und</w:t>
      </w:r>
      <w:r>
        <w:rPr>
          <w:rFonts w:ascii="sans-serif" w:eastAsia="sans-serif" w:hAnsi="sans-serif" w:cs="sans-serif"/>
          <w:color w:val="000000"/>
          <w:sz w:val="20"/>
          <w:szCs w:val="20"/>
        </w:rPr>
        <w:t>er the heading “Risk Factors”.</w:t>
      </w:r>
    </w:p>
    <w:p w14:paraId="3693F81E" w14:textId="77777777" w:rsidR="003734EC" w:rsidRDefault="000E364E">
      <w:pPr>
        <w:spacing w:before="120" w:after="360"/>
        <w:jc w:val="both"/>
      </w:pPr>
      <w:r>
        <w:rPr>
          <w:rFonts w:ascii="sans-serif" w:eastAsia="sans-serif" w:hAnsi="sans-serif" w:cs="sans-serif"/>
          <w:b/>
          <w:bCs/>
          <w:color w:val="000000"/>
          <w:sz w:val="20"/>
          <w:szCs w:val="20"/>
        </w:rPr>
        <w:t>First Quarter of Fiscal Year 2021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1594"/>
        <w:gridCol w:w="38"/>
        <w:gridCol w:w="137"/>
        <w:gridCol w:w="516"/>
        <w:gridCol w:w="178"/>
        <w:gridCol w:w="36"/>
        <w:gridCol w:w="36"/>
        <w:gridCol w:w="36"/>
        <w:gridCol w:w="137"/>
        <w:gridCol w:w="516"/>
        <w:gridCol w:w="178"/>
        <w:gridCol w:w="36"/>
        <w:gridCol w:w="36"/>
        <w:gridCol w:w="36"/>
        <w:gridCol w:w="137"/>
        <w:gridCol w:w="516"/>
        <w:gridCol w:w="178"/>
        <w:gridCol w:w="36"/>
        <w:gridCol w:w="36"/>
        <w:gridCol w:w="36"/>
        <w:gridCol w:w="123"/>
        <w:gridCol w:w="1603"/>
        <w:gridCol w:w="178"/>
        <w:gridCol w:w="36"/>
        <w:gridCol w:w="36"/>
        <w:gridCol w:w="36"/>
        <w:gridCol w:w="86"/>
        <w:gridCol w:w="1115"/>
        <w:gridCol w:w="178"/>
        <w:gridCol w:w="36"/>
        <w:gridCol w:w="36"/>
        <w:gridCol w:w="36"/>
        <w:gridCol w:w="36"/>
        <w:gridCol w:w="36"/>
        <w:gridCol w:w="36"/>
        <w:gridCol w:w="36"/>
        <w:gridCol w:w="36"/>
        <w:gridCol w:w="36"/>
        <w:gridCol w:w="36"/>
        <w:gridCol w:w="36"/>
        <w:gridCol w:w="36"/>
      </w:tblGrid>
      <w:tr w:rsidR="003734EC" w14:paraId="3693F83D" w14:textId="77777777">
        <w:trPr>
          <w:gridAfter w:val="12"/>
        </w:trPr>
        <w:tc>
          <w:tcPr>
            <w:tcW w:w="50" w:type="pct"/>
            <w:shd w:val="clear" w:color="auto" w:fill="auto"/>
            <w:vAlign w:val="center"/>
          </w:tcPr>
          <w:p w14:paraId="3693F81F" w14:textId="77777777" w:rsidR="003734EC" w:rsidRDefault="003734EC">
            <w:pPr>
              <w:rPr>
                <w:rFonts w:ascii="宋体"/>
              </w:rPr>
            </w:pPr>
          </w:p>
        </w:tc>
        <w:tc>
          <w:tcPr>
            <w:tcW w:w="1564" w:type="pct"/>
            <w:shd w:val="clear" w:color="auto" w:fill="auto"/>
            <w:vAlign w:val="center"/>
          </w:tcPr>
          <w:p w14:paraId="3693F820" w14:textId="77777777" w:rsidR="003734EC" w:rsidRDefault="003734EC">
            <w:pPr>
              <w:rPr>
                <w:rFonts w:ascii="宋体"/>
              </w:rPr>
            </w:pPr>
          </w:p>
        </w:tc>
        <w:tc>
          <w:tcPr>
            <w:tcW w:w="50" w:type="pct"/>
            <w:shd w:val="clear" w:color="auto" w:fill="auto"/>
            <w:vAlign w:val="center"/>
          </w:tcPr>
          <w:p w14:paraId="3693F821" w14:textId="77777777" w:rsidR="003734EC" w:rsidRDefault="003734EC">
            <w:pPr>
              <w:rPr>
                <w:rFonts w:ascii="宋体"/>
              </w:rPr>
            </w:pPr>
          </w:p>
        </w:tc>
        <w:tc>
          <w:tcPr>
            <w:tcW w:w="50" w:type="pct"/>
            <w:shd w:val="clear" w:color="auto" w:fill="auto"/>
            <w:vAlign w:val="center"/>
          </w:tcPr>
          <w:p w14:paraId="3693F822" w14:textId="77777777" w:rsidR="003734EC" w:rsidRDefault="003734EC">
            <w:pPr>
              <w:rPr>
                <w:rFonts w:ascii="宋体"/>
              </w:rPr>
            </w:pPr>
          </w:p>
        </w:tc>
        <w:tc>
          <w:tcPr>
            <w:tcW w:w="457" w:type="pct"/>
            <w:shd w:val="clear" w:color="auto" w:fill="auto"/>
            <w:vAlign w:val="center"/>
          </w:tcPr>
          <w:p w14:paraId="3693F823" w14:textId="77777777" w:rsidR="003734EC" w:rsidRDefault="003734EC">
            <w:pPr>
              <w:rPr>
                <w:rFonts w:ascii="宋体"/>
              </w:rPr>
            </w:pPr>
          </w:p>
        </w:tc>
        <w:tc>
          <w:tcPr>
            <w:tcW w:w="50" w:type="pct"/>
            <w:shd w:val="clear" w:color="auto" w:fill="auto"/>
            <w:vAlign w:val="center"/>
          </w:tcPr>
          <w:p w14:paraId="3693F824" w14:textId="77777777" w:rsidR="003734EC" w:rsidRDefault="003734EC">
            <w:pPr>
              <w:rPr>
                <w:rFonts w:ascii="宋体"/>
              </w:rPr>
            </w:pPr>
          </w:p>
        </w:tc>
        <w:tc>
          <w:tcPr>
            <w:tcW w:w="5" w:type="pct"/>
            <w:shd w:val="clear" w:color="auto" w:fill="auto"/>
            <w:vAlign w:val="center"/>
          </w:tcPr>
          <w:p w14:paraId="3693F825" w14:textId="77777777" w:rsidR="003734EC" w:rsidRDefault="003734EC">
            <w:pPr>
              <w:rPr>
                <w:rFonts w:ascii="宋体"/>
              </w:rPr>
            </w:pPr>
          </w:p>
        </w:tc>
        <w:tc>
          <w:tcPr>
            <w:tcW w:w="26" w:type="pct"/>
            <w:shd w:val="clear" w:color="auto" w:fill="auto"/>
            <w:vAlign w:val="center"/>
          </w:tcPr>
          <w:p w14:paraId="3693F826" w14:textId="77777777" w:rsidR="003734EC" w:rsidRDefault="003734EC">
            <w:pPr>
              <w:rPr>
                <w:rFonts w:ascii="宋体"/>
              </w:rPr>
            </w:pPr>
          </w:p>
        </w:tc>
        <w:tc>
          <w:tcPr>
            <w:tcW w:w="5" w:type="pct"/>
            <w:shd w:val="clear" w:color="auto" w:fill="auto"/>
            <w:vAlign w:val="center"/>
          </w:tcPr>
          <w:p w14:paraId="3693F827" w14:textId="77777777" w:rsidR="003734EC" w:rsidRDefault="003734EC">
            <w:pPr>
              <w:rPr>
                <w:rFonts w:ascii="宋体"/>
              </w:rPr>
            </w:pPr>
          </w:p>
        </w:tc>
        <w:tc>
          <w:tcPr>
            <w:tcW w:w="50" w:type="pct"/>
            <w:shd w:val="clear" w:color="auto" w:fill="auto"/>
            <w:vAlign w:val="center"/>
          </w:tcPr>
          <w:p w14:paraId="3693F828" w14:textId="77777777" w:rsidR="003734EC" w:rsidRDefault="003734EC">
            <w:pPr>
              <w:rPr>
                <w:rFonts w:ascii="宋体"/>
              </w:rPr>
            </w:pPr>
          </w:p>
        </w:tc>
        <w:tc>
          <w:tcPr>
            <w:tcW w:w="464" w:type="pct"/>
            <w:shd w:val="clear" w:color="auto" w:fill="auto"/>
            <w:vAlign w:val="center"/>
          </w:tcPr>
          <w:p w14:paraId="3693F829" w14:textId="77777777" w:rsidR="003734EC" w:rsidRDefault="003734EC">
            <w:pPr>
              <w:rPr>
                <w:rFonts w:ascii="宋体"/>
              </w:rPr>
            </w:pPr>
          </w:p>
        </w:tc>
        <w:tc>
          <w:tcPr>
            <w:tcW w:w="50" w:type="pct"/>
            <w:shd w:val="clear" w:color="auto" w:fill="auto"/>
            <w:vAlign w:val="center"/>
          </w:tcPr>
          <w:p w14:paraId="3693F82A" w14:textId="77777777" w:rsidR="003734EC" w:rsidRDefault="003734EC">
            <w:pPr>
              <w:rPr>
                <w:rFonts w:ascii="宋体"/>
              </w:rPr>
            </w:pPr>
          </w:p>
        </w:tc>
        <w:tc>
          <w:tcPr>
            <w:tcW w:w="5" w:type="pct"/>
            <w:shd w:val="clear" w:color="auto" w:fill="auto"/>
            <w:vAlign w:val="center"/>
          </w:tcPr>
          <w:p w14:paraId="3693F82B" w14:textId="77777777" w:rsidR="003734EC" w:rsidRDefault="003734EC">
            <w:pPr>
              <w:rPr>
                <w:rFonts w:ascii="宋体"/>
              </w:rPr>
            </w:pPr>
          </w:p>
        </w:tc>
        <w:tc>
          <w:tcPr>
            <w:tcW w:w="26" w:type="pct"/>
            <w:shd w:val="clear" w:color="auto" w:fill="auto"/>
            <w:vAlign w:val="center"/>
          </w:tcPr>
          <w:p w14:paraId="3693F82C" w14:textId="77777777" w:rsidR="003734EC" w:rsidRDefault="003734EC">
            <w:pPr>
              <w:rPr>
                <w:rFonts w:ascii="宋体"/>
              </w:rPr>
            </w:pPr>
          </w:p>
        </w:tc>
        <w:tc>
          <w:tcPr>
            <w:tcW w:w="5" w:type="pct"/>
            <w:shd w:val="clear" w:color="auto" w:fill="auto"/>
            <w:vAlign w:val="center"/>
          </w:tcPr>
          <w:p w14:paraId="3693F82D" w14:textId="77777777" w:rsidR="003734EC" w:rsidRDefault="003734EC">
            <w:pPr>
              <w:rPr>
                <w:rFonts w:ascii="宋体"/>
              </w:rPr>
            </w:pPr>
          </w:p>
        </w:tc>
        <w:tc>
          <w:tcPr>
            <w:tcW w:w="50" w:type="pct"/>
            <w:shd w:val="clear" w:color="auto" w:fill="auto"/>
            <w:vAlign w:val="center"/>
          </w:tcPr>
          <w:p w14:paraId="3693F82E" w14:textId="77777777" w:rsidR="003734EC" w:rsidRDefault="003734EC">
            <w:pPr>
              <w:rPr>
                <w:rFonts w:ascii="宋体"/>
              </w:rPr>
            </w:pPr>
          </w:p>
        </w:tc>
        <w:tc>
          <w:tcPr>
            <w:tcW w:w="457" w:type="pct"/>
            <w:shd w:val="clear" w:color="auto" w:fill="auto"/>
            <w:vAlign w:val="center"/>
          </w:tcPr>
          <w:p w14:paraId="3693F82F" w14:textId="77777777" w:rsidR="003734EC" w:rsidRDefault="003734EC">
            <w:pPr>
              <w:rPr>
                <w:rFonts w:ascii="宋体"/>
              </w:rPr>
            </w:pPr>
          </w:p>
        </w:tc>
        <w:tc>
          <w:tcPr>
            <w:tcW w:w="50" w:type="pct"/>
            <w:shd w:val="clear" w:color="auto" w:fill="auto"/>
            <w:vAlign w:val="center"/>
          </w:tcPr>
          <w:p w14:paraId="3693F830" w14:textId="77777777" w:rsidR="003734EC" w:rsidRDefault="003734EC">
            <w:pPr>
              <w:rPr>
                <w:rFonts w:ascii="宋体"/>
              </w:rPr>
            </w:pPr>
          </w:p>
        </w:tc>
        <w:tc>
          <w:tcPr>
            <w:tcW w:w="5" w:type="pct"/>
            <w:shd w:val="clear" w:color="auto" w:fill="auto"/>
            <w:vAlign w:val="center"/>
          </w:tcPr>
          <w:p w14:paraId="3693F831" w14:textId="77777777" w:rsidR="003734EC" w:rsidRDefault="003734EC">
            <w:pPr>
              <w:rPr>
                <w:rFonts w:ascii="宋体"/>
              </w:rPr>
            </w:pPr>
          </w:p>
        </w:tc>
        <w:tc>
          <w:tcPr>
            <w:tcW w:w="26" w:type="pct"/>
            <w:shd w:val="clear" w:color="auto" w:fill="auto"/>
            <w:vAlign w:val="center"/>
          </w:tcPr>
          <w:p w14:paraId="3693F832" w14:textId="77777777" w:rsidR="003734EC" w:rsidRDefault="003734EC">
            <w:pPr>
              <w:rPr>
                <w:rFonts w:ascii="宋体"/>
              </w:rPr>
            </w:pPr>
          </w:p>
        </w:tc>
        <w:tc>
          <w:tcPr>
            <w:tcW w:w="5" w:type="pct"/>
            <w:shd w:val="clear" w:color="auto" w:fill="auto"/>
            <w:vAlign w:val="center"/>
          </w:tcPr>
          <w:p w14:paraId="3693F833" w14:textId="77777777" w:rsidR="003734EC" w:rsidRDefault="003734EC">
            <w:pPr>
              <w:rPr>
                <w:rFonts w:ascii="宋体"/>
              </w:rPr>
            </w:pPr>
          </w:p>
        </w:tc>
        <w:tc>
          <w:tcPr>
            <w:tcW w:w="50" w:type="pct"/>
            <w:shd w:val="clear" w:color="auto" w:fill="auto"/>
            <w:vAlign w:val="center"/>
          </w:tcPr>
          <w:p w14:paraId="3693F834" w14:textId="77777777" w:rsidR="003734EC" w:rsidRDefault="003734EC">
            <w:pPr>
              <w:rPr>
                <w:rFonts w:ascii="宋体"/>
              </w:rPr>
            </w:pPr>
          </w:p>
        </w:tc>
        <w:tc>
          <w:tcPr>
            <w:tcW w:w="655" w:type="pct"/>
            <w:shd w:val="clear" w:color="auto" w:fill="auto"/>
            <w:vAlign w:val="center"/>
          </w:tcPr>
          <w:p w14:paraId="3693F835" w14:textId="77777777" w:rsidR="003734EC" w:rsidRDefault="003734EC">
            <w:pPr>
              <w:rPr>
                <w:rFonts w:ascii="宋体"/>
              </w:rPr>
            </w:pPr>
          </w:p>
        </w:tc>
        <w:tc>
          <w:tcPr>
            <w:tcW w:w="50" w:type="pct"/>
            <w:shd w:val="clear" w:color="auto" w:fill="auto"/>
            <w:vAlign w:val="center"/>
          </w:tcPr>
          <w:p w14:paraId="3693F836" w14:textId="77777777" w:rsidR="003734EC" w:rsidRDefault="003734EC">
            <w:pPr>
              <w:rPr>
                <w:rFonts w:ascii="宋体"/>
              </w:rPr>
            </w:pPr>
          </w:p>
        </w:tc>
        <w:tc>
          <w:tcPr>
            <w:tcW w:w="5" w:type="pct"/>
            <w:shd w:val="clear" w:color="auto" w:fill="auto"/>
            <w:vAlign w:val="center"/>
          </w:tcPr>
          <w:p w14:paraId="3693F837" w14:textId="77777777" w:rsidR="003734EC" w:rsidRDefault="003734EC">
            <w:pPr>
              <w:rPr>
                <w:rFonts w:ascii="宋体"/>
              </w:rPr>
            </w:pPr>
          </w:p>
        </w:tc>
        <w:tc>
          <w:tcPr>
            <w:tcW w:w="26" w:type="pct"/>
            <w:shd w:val="clear" w:color="auto" w:fill="auto"/>
            <w:vAlign w:val="center"/>
          </w:tcPr>
          <w:p w14:paraId="3693F838" w14:textId="77777777" w:rsidR="003734EC" w:rsidRDefault="003734EC">
            <w:pPr>
              <w:rPr>
                <w:rFonts w:ascii="宋体"/>
              </w:rPr>
            </w:pPr>
          </w:p>
        </w:tc>
        <w:tc>
          <w:tcPr>
            <w:tcW w:w="5" w:type="pct"/>
            <w:shd w:val="clear" w:color="auto" w:fill="auto"/>
            <w:vAlign w:val="center"/>
          </w:tcPr>
          <w:p w14:paraId="3693F839" w14:textId="77777777" w:rsidR="003734EC" w:rsidRDefault="003734EC">
            <w:pPr>
              <w:rPr>
                <w:rFonts w:ascii="宋体"/>
              </w:rPr>
            </w:pPr>
          </w:p>
        </w:tc>
        <w:tc>
          <w:tcPr>
            <w:tcW w:w="50" w:type="pct"/>
            <w:shd w:val="clear" w:color="auto" w:fill="auto"/>
            <w:vAlign w:val="center"/>
          </w:tcPr>
          <w:p w14:paraId="3693F83A" w14:textId="77777777" w:rsidR="003734EC" w:rsidRDefault="003734EC">
            <w:pPr>
              <w:rPr>
                <w:rFonts w:ascii="宋体"/>
              </w:rPr>
            </w:pPr>
          </w:p>
        </w:tc>
        <w:tc>
          <w:tcPr>
            <w:tcW w:w="655" w:type="pct"/>
            <w:shd w:val="clear" w:color="auto" w:fill="auto"/>
            <w:vAlign w:val="center"/>
          </w:tcPr>
          <w:p w14:paraId="3693F83B" w14:textId="77777777" w:rsidR="003734EC" w:rsidRDefault="003734EC">
            <w:pPr>
              <w:rPr>
                <w:rFonts w:ascii="宋体"/>
              </w:rPr>
            </w:pPr>
          </w:p>
        </w:tc>
        <w:tc>
          <w:tcPr>
            <w:tcW w:w="50" w:type="pct"/>
            <w:shd w:val="clear" w:color="auto" w:fill="auto"/>
            <w:vAlign w:val="center"/>
          </w:tcPr>
          <w:p w14:paraId="3693F83C" w14:textId="77777777" w:rsidR="003734EC" w:rsidRDefault="003734EC">
            <w:pPr>
              <w:rPr>
                <w:rFonts w:ascii="宋体"/>
              </w:rPr>
            </w:pPr>
          </w:p>
        </w:tc>
      </w:tr>
      <w:tr w:rsidR="003734EC" w14:paraId="3693F848" w14:textId="77777777">
        <w:tc>
          <w:tcPr>
            <w:tcW w:w="0" w:type="auto"/>
            <w:gridSpan w:val="3"/>
            <w:shd w:val="clear" w:color="auto" w:fill="auto"/>
            <w:tcMar>
              <w:left w:w="20" w:type="dxa"/>
              <w:right w:w="20" w:type="dxa"/>
            </w:tcMar>
            <w:vAlign w:val="bottom"/>
          </w:tcPr>
          <w:p w14:paraId="3693F83E" w14:textId="77777777" w:rsidR="003734EC" w:rsidRDefault="003734EC">
            <w:pPr>
              <w:rPr>
                <w:rFonts w:ascii="宋体"/>
              </w:rPr>
            </w:pPr>
          </w:p>
        </w:tc>
        <w:tc>
          <w:tcPr>
            <w:tcW w:w="0" w:type="auto"/>
            <w:gridSpan w:val="15"/>
            <w:shd w:val="clear" w:color="auto" w:fill="auto"/>
            <w:tcMar>
              <w:top w:w="40" w:type="dxa"/>
              <w:left w:w="20" w:type="dxa"/>
              <w:bottom w:w="40" w:type="dxa"/>
              <w:right w:w="20" w:type="dxa"/>
            </w:tcMar>
            <w:vAlign w:val="bottom"/>
          </w:tcPr>
          <w:p w14:paraId="3693F83F"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center"/>
          </w:tcPr>
          <w:p w14:paraId="3693F840" w14:textId="77777777" w:rsidR="003734EC" w:rsidRDefault="003734EC">
            <w:pPr>
              <w:rPr>
                <w:rFonts w:ascii="宋体"/>
                <w:vanish/>
              </w:rPr>
            </w:pPr>
          </w:p>
        </w:tc>
        <w:tc>
          <w:tcPr>
            <w:tcW w:w="0" w:type="auto"/>
            <w:gridSpan w:val="3"/>
            <w:shd w:val="clear" w:color="auto" w:fill="auto"/>
            <w:vAlign w:val="center"/>
          </w:tcPr>
          <w:p w14:paraId="3693F841" w14:textId="77777777" w:rsidR="003734EC" w:rsidRDefault="003734EC">
            <w:pPr>
              <w:rPr>
                <w:rFonts w:ascii="宋体"/>
                <w:vanish/>
              </w:rPr>
            </w:pPr>
          </w:p>
        </w:tc>
        <w:tc>
          <w:tcPr>
            <w:tcW w:w="0" w:type="auto"/>
            <w:gridSpan w:val="3"/>
            <w:shd w:val="clear" w:color="auto" w:fill="auto"/>
            <w:vAlign w:val="center"/>
          </w:tcPr>
          <w:p w14:paraId="3693F842" w14:textId="77777777" w:rsidR="003734EC" w:rsidRDefault="003734EC">
            <w:pPr>
              <w:rPr>
                <w:rFonts w:ascii="宋体"/>
                <w:vanish/>
              </w:rPr>
            </w:pPr>
          </w:p>
        </w:tc>
        <w:tc>
          <w:tcPr>
            <w:tcW w:w="0" w:type="auto"/>
            <w:gridSpan w:val="3"/>
            <w:shd w:val="clear" w:color="auto" w:fill="auto"/>
            <w:vAlign w:val="center"/>
          </w:tcPr>
          <w:p w14:paraId="3693F843"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F84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84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84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847" w14:textId="77777777" w:rsidR="003734EC" w:rsidRDefault="003734EC">
            <w:pPr>
              <w:rPr>
                <w:rFonts w:ascii="宋体"/>
              </w:rPr>
            </w:pPr>
          </w:p>
        </w:tc>
      </w:tr>
      <w:tr w:rsidR="003734EC" w14:paraId="3693F85F" w14:textId="77777777">
        <w:tc>
          <w:tcPr>
            <w:tcW w:w="0" w:type="auto"/>
            <w:gridSpan w:val="3"/>
            <w:shd w:val="clear" w:color="auto" w:fill="auto"/>
            <w:tcMar>
              <w:top w:w="40" w:type="dxa"/>
              <w:left w:w="20" w:type="dxa"/>
              <w:bottom w:w="40" w:type="dxa"/>
              <w:right w:w="20" w:type="dxa"/>
            </w:tcMar>
            <w:vAlign w:val="bottom"/>
          </w:tcPr>
          <w:p w14:paraId="3693F849"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84A"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tcBorders>
              <w:top w:val="single" w:sz="8" w:space="0" w:color="000000"/>
            </w:tcBorders>
            <w:shd w:val="clear" w:color="auto" w:fill="auto"/>
            <w:tcMar>
              <w:left w:w="20" w:type="dxa"/>
              <w:right w:w="20" w:type="dxa"/>
            </w:tcMar>
            <w:vAlign w:val="bottom"/>
          </w:tcPr>
          <w:p w14:paraId="3693F84B"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F84C" w14:textId="77777777" w:rsidR="003734EC" w:rsidRDefault="000E364E">
            <w:pPr>
              <w:jc w:val="center"/>
              <w:textAlignment w:val="bottom"/>
            </w:pPr>
            <w:r>
              <w:rPr>
                <w:rFonts w:ascii="sans-serif" w:eastAsia="sans-serif" w:hAnsi="sans-serif" w:cs="sans-serif"/>
                <w:b/>
                <w:bCs/>
                <w:color w:val="000000"/>
                <w:sz w:val="20"/>
                <w:szCs w:val="20"/>
              </w:rPr>
              <w:t>January 26, 2020</w:t>
            </w:r>
          </w:p>
        </w:tc>
        <w:tc>
          <w:tcPr>
            <w:tcW w:w="0" w:type="auto"/>
            <w:gridSpan w:val="3"/>
            <w:tcBorders>
              <w:top w:val="single" w:sz="8" w:space="0" w:color="000000"/>
            </w:tcBorders>
            <w:shd w:val="clear" w:color="auto" w:fill="auto"/>
            <w:tcMar>
              <w:left w:w="20" w:type="dxa"/>
              <w:right w:w="20" w:type="dxa"/>
            </w:tcMar>
            <w:vAlign w:val="bottom"/>
          </w:tcPr>
          <w:p w14:paraId="3693F84D"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F84E" w14:textId="77777777" w:rsidR="003734EC" w:rsidRDefault="000E364E">
            <w:pPr>
              <w:jc w:val="center"/>
              <w:textAlignment w:val="bottom"/>
            </w:pPr>
            <w:r>
              <w:rPr>
                <w:rFonts w:ascii="sans-serif" w:eastAsia="sans-serif" w:hAnsi="sans-serif" w:cs="sans-serif"/>
                <w:b/>
                <w:bCs/>
                <w:color w:val="000000"/>
                <w:sz w:val="20"/>
                <w:szCs w:val="20"/>
              </w:rPr>
              <w:t>April 28, 2019</w:t>
            </w:r>
          </w:p>
        </w:tc>
        <w:tc>
          <w:tcPr>
            <w:tcW w:w="0" w:type="auto"/>
            <w:gridSpan w:val="3"/>
            <w:shd w:val="clear" w:color="auto" w:fill="auto"/>
            <w:tcMar>
              <w:left w:w="20" w:type="dxa"/>
              <w:right w:w="20" w:type="dxa"/>
            </w:tcMar>
            <w:vAlign w:val="bottom"/>
          </w:tcPr>
          <w:p w14:paraId="3693F84F"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850" w14:textId="77777777" w:rsidR="003734EC" w:rsidRDefault="000E364E">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left w:w="20" w:type="dxa"/>
              <w:right w:w="20" w:type="dxa"/>
            </w:tcMar>
            <w:vAlign w:val="bottom"/>
          </w:tcPr>
          <w:p w14:paraId="3693F851"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852" w14:textId="77777777" w:rsidR="003734EC" w:rsidRDefault="000E364E">
            <w:pPr>
              <w:jc w:val="center"/>
              <w:textAlignment w:val="bottom"/>
            </w:pPr>
            <w:r>
              <w:rPr>
                <w:rFonts w:ascii="sans-serif" w:eastAsia="sans-serif" w:hAnsi="sans-serif" w:cs="sans-serif"/>
                <w:b/>
                <w:bCs/>
                <w:color w:val="000000"/>
                <w:sz w:val="20"/>
                <w:szCs w:val="20"/>
              </w:rPr>
              <w:t>Year-over-Year Change</w:t>
            </w:r>
          </w:p>
        </w:tc>
        <w:tc>
          <w:tcPr>
            <w:tcW w:w="0" w:type="auto"/>
            <w:shd w:val="clear" w:color="auto" w:fill="auto"/>
            <w:vAlign w:val="center"/>
          </w:tcPr>
          <w:p w14:paraId="3693F853" w14:textId="77777777" w:rsidR="003734EC" w:rsidRDefault="003734EC">
            <w:pPr>
              <w:rPr>
                <w:rFonts w:ascii="宋体"/>
              </w:rPr>
            </w:pPr>
          </w:p>
        </w:tc>
        <w:tc>
          <w:tcPr>
            <w:tcW w:w="0" w:type="auto"/>
            <w:shd w:val="clear" w:color="auto" w:fill="auto"/>
            <w:vAlign w:val="center"/>
          </w:tcPr>
          <w:p w14:paraId="3693F854" w14:textId="77777777" w:rsidR="003734EC" w:rsidRDefault="003734EC">
            <w:pPr>
              <w:rPr>
                <w:rFonts w:ascii="宋体"/>
              </w:rPr>
            </w:pPr>
          </w:p>
        </w:tc>
        <w:tc>
          <w:tcPr>
            <w:tcW w:w="0" w:type="auto"/>
            <w:shd w:val="clear" w:color="auto" w:fill="auto"/>
            <w:vAlign w:val="center"/>
          </w:tcPr>
          <w:p w14:paraId="3693F855" w14:textId="77777777" w:rsidR="003734EC" w:rsidRDefault="003734EC">
            <w:pPr>
              <w:rPr>
                <w:rFonts w:ascii="宋体"/>
              </w:rPr>
            </w:pPr>
          </w:p>
        </w:tc>
        <w:tc>
          <w:tcPr>
            <w:tcW w:w="0" w:type="auto"/>
            <w:shd w:val="clear" w:color="auto" w:fill="auto"/>
            <w:vAlign w:val="center"/>
          </w:tcPr>
          <w:p w14:paraId="3693F856" w14:textId="77777777" w:rsidR="003734EC" w:rsidRDefault="003734EC">
            <w:pPr>
              <w:rPr>
                <w:rFonts w:ascii="宋体"/>
              </w:rPr>
            </w:pPr>
          </w:p>
        </w:tc>
        <w:tc>
          <w:tcPr>
            <w:tcW w:w="0" w:type="auto"/>
            <w:shd w:val="clear" w:color="auto" w:fill="auto"/>
            <w:vAlign w:val="center"/>
          </w:tcPr>
          <w:p w14:paraId="3693F857" w14:textId="77777777" w:rsidR="003734EC" w:rsidRDefault="003734EC">
            <w:pPr>
              <w:rPr>
                <w:rFonts w:ascii="宋体"/>
              </w:rPr>
            </w:pPr>
          </w:p>
        </w:tc>
        <w:tc>
          <w:tcPr>
            <w:tcW w:w="0" w:type="auto"/>
            <w:shd w:val="clear" w:color="auto" w:fill="auto"/>
            <w:vAlign w:val="center"/>
          </w:tcPr>
          <w:p w14:paraId="3693F858" w14:textId="77777777" w:rsidR="003734EC" w:rsidRDefault="003734EC">
            <w:pPr>
              <w:rPr>
                <w:rFonts w:ascii="宋体"/>
              </w:rPr>
            </w:pPr>
          </w:p>
        </w:tc>
        <w:tc>
          <w:tcPr>
            <w:tcW w:w="0" w:type="auto"/>
            <w:shd w:val="clear" w:color="auto" w:fill="auto"/>
            <w:vAlign w:val="center"/>
          </w:tcPr>
          <w:p w14:paraId="3693F859" w14:textId="77777777" w:rsidR="003734EC" w:rsidRDefault="003734EC">
            <w:pPr>
              <w:rPr>
                <w:rFonts w:ascii="宋体"/>
              </w:rPr>
            </w:pPr>
          </w:p>
        </w:tc>
        <w:tc>
          <w:tcPr>
            <w:tcW w:w="0" w:type="auto"/>
            <w:shd w:val="clear" w:color="auto" w:fill="auto"/>
            <w:vAlign w:val="center"/>
          </w:tcPr>
          <w:p w14:paraId="3693F85A" w14:textId="77777777" w:rsidR="003734EC" w:rsidRDefault="003734EC">
            <w:pPr>
              <w:rPr>
                <w:rFonts w:ascii="宋体"/>
              </w:rPr>
            </w:pPr>
          </w:p>
        </w:tc>
        <w:tc>
          <w:tcPr>
            <w:tcW w:w="0" w:type="auto"/>
            <w:shd w:val="clear" w:color="auto" w:fill="auto"/>
            <w:vAlign w:val="center"/>
          </w:tcPr>
          <w:p w14:paraId="3693F85B" w14:textId="77777777" w:rsidR="003734EC" w:rsidRDefault="003734EC">
            <w:pPr>
              <w:rPr>
                <w:rFonts w:ascii="宋体"/>
              </w:rPr>
            </w:pPr>
          </w:p>
        </w:tc>
        <w:tc>
          <w:tcPr>
            <w:tcW w:w="0" w:type="auto"/>
            <w:shd w:val="clear" w:color="auto" w:fill="auto"/>
            <w:vAlign w:val="center"/>
          </w:tcPr>
          <w:p w14:paraId="3693F85C" w14:textId="77777777" w:rsidR="003734EC" w:rsidRDefault="003734EC">
            <w:pPr>
              <w:rPr>
                <w:rFonts w:ascii="宋体"/>
              </w:rPr>
            </w:pPr>
          </w:p>
        </w:tc>
        <w:tc>
          <w:tcPr>
            <w:tcW w:w="0" w:type="auto"/>
            <w:shd w:val="clear" w:color="auto" w:fill="auto"/>
            <w:vAlign w:val="center"/>
          </w:tcPr>
          <w:p w14:paraId="3693F85D" w14:textId="77777777" w:rsidR="003734EC" w:rsidRDefault="003734EC">
            <w:pPr>
              <w:rPr>
                <w:rFonts w:ascii="宋体"/>
              </w:rPr>
            </w:pPr>
          </w:p>
        </w:tc>
        <w:tc>
          <w:tcPr>
            <w:tcW w:w="0" w:type="auto"/>
            <w:shd w:val="clear" w:color="auto" w:fill="auto"/>
            <w:vAlign w:val="center"/>
          </w:tcPr>
          <w:p w14:paraId="3693F85E" w14:textId="77777777" w:rsidR="003734EC" w:rsidRDefault="003734EC">
            <w:pPr>
              <w:rPr>
                <w:rFonts w:ascii="宋体"/>
              </w:rPr>
            </w:pPr>
          </w:p>
        </w:tc>
      </w:tr>
      <w:tr w:rsidR="003734EC" w14:paraId="3693F86A" w14:textId="77777777">
        <w:tc>
          <w:tcPr>
            <w:tcW w:w="0" w:type="auto"/>
            <w:gridSpan w:val="3"/>
            <w:shd w:val="clear" w:color="auto" w:fill="auto"/>
            <w:tcMar>
              <w:left w:w="20" w:type="dxa"/>
              <w:right w:w="20" w:type="dxa"/>
            </w:tcMar>
            <w:vAlign w:val="bottom"/>
          </w:tcPr>
          <w:p w14:paraId="3693F860" w14:textId="77777777" w:rsidR="003734EC" w:rsidRDefault="003734EC">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93F861" w14:textId="77777777" w:rsidR="003734EC" w:rsidRDefault="000E364E">
            <w:pPr>
              <w:jc w:val="center"/>
              <w:textAlignment w:val="bottom"/>
            </w:pPr>
            <w:r>
              <w:rPr>
                <w:rFonts w:ascii="sans-serif" w:eastAsia="sans-serif" w:hAnsi="sans-serif" w:cs="sans-serif"/>
                <w:i/>
                <w:iCs/>
                <w:color w:val="000000"/>
                <w:sz w:val="20"/>
                <w:szCs w:val="20"/>
              </w:rPr>
              <w:t>($ in millions, except per share data)</w:t>
            </w:r>
          </w:p>
        </w:tc>
        <w:tc>
          <w:tcPr>
            <w:tcW w:w="0" w:type="auto"/>
            <w:gridSpan w:val="3"/>
            <w:shd w:val="clear" w:color="auto" w:fill="auto"/>
            <w:vAlign w:val="center"/>
          </w:tcPr>
          <w:p w14:paraId="3693F862" w14:textId="77777777" w:rsidR="003734EC" w:rsidRDefault="003734EC">
            <w:pPr>
              <w:rPr>
                <w:rFonts w:ascii="宋体"/>
                <w:vanish/>
              </w:rPr>
            </w:pPr>
          </w:p>
        </w:tc>
        <w:tc>
          <w:tcPr>
            <w:tcW w:w="0" w:type="auto"/>
            <w:gridSpan w:val="3"/>
            <w:shd w:val="clear" w:color="auto" w:fill="auto"/>
            <w:vAlign w:val="center"/>
          </w:tcPr>
          <w:p w14:paraId="3693F863" w14:textId="77777777" w:rsidR="003734EC" w:rsidRDefault="003734EC">
            <w:pPr>
              <w:rPr>
                <w:rFonts w:ascii="宋体"/>
                <w:vanish/>
              </w:rPr>
            </w:pPr>
          </w:p>
        </w:tc>
        <w:tc>
          <w:tcPr>
            <w:tcW w:w="0" w:type="auto"/>
            <w:gridSpan w:val="3"/>
            <w:shd w:val="clear" w:color="auto" w:fill="auto"/>
            <w:vAlign w:val="center"/>
          </w:tcPr>
          <w:p w14:paraId="3693F864" w14:textId="77777777" w:rsidR="003734EC" w:rsidRDefault="003734EC">
            <w:pPr>
              <w:rPr>
                <w:rFonts w:ascii="宋体"/>
                <w:vanish/>
              </w:rPr>
            </w:pPr>
          </w:p>
        </w:tc>
        <w:tc>
          <w:tcPr>
            <w:tcW w:w="0" w:type="auto"/>
            <w:gridSpan w:val="3"/>
            <w:shd w:val="clear" w:color="auto" w:fill="auto"/>
            <w:vAlign w:val="center"/>
          </w:tcPr>
          <w:p w14:paraId="3693F865" w14:textId="77777777" w:rsidR="003734EC" w:rsidRDefault="003734EC">
            <w:pPr>
              <w:rPr>
                <w:rFonts w:ascii="宋体"/>
                <w:vanish/>
              </w:rPr>
            </w:pPr>
          </w:p>
        </w:tc>
        <w:tc>
          <w:tcPr>
            <w:tcW w:w="0" w:type="auto"/>
            <w:gridSpan w:val="3"/>
            <w:shd w:val="clear" w:color="auto" w:fill="auto"/>
            <w:tcMar>
              <w:left w:w="20" w:type="dxa"/>
              <w:right w:w="20" w:type="dxa"/>
            </w:tcMar>
            <w:vAlign w:val="bottom"/>
          </w:tcPr>
          <w:p w14:paraId="3693F866"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F86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868"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F869" w14:textId="77777777" w:rsidR="003734EC" w:rsidRDefault="003734EC">
            <w:pPr>
              <w:rPr>
                <w:rFonts w:ascii="宋体"/>
              </w:rPr>
            </w:pPr>
          </w:p>
        </w:tc>
      </w:tr>
      <w:tr w:rsidR="003734EC" w14:paraId="3693F889" w14:textId="77777777">
        <w:tc>
          <w:tcPr>
            <w:tcW w:w="0" w:type="auto"/>
            <w:gridSpan w:val="3"/>
            <w:shd w:val="clear" w:color="auto" w:fill="E2EFD9"/>
            <w:tcMar>
              <w:top w:w="40" w:type="dxa"/>
              <w:left w:w="20" w:type="dxa"/>
              <w:bottom w:w="40" w:type="dxa"/>
              <w:right w:w="20" w:type="dxa"/>
            </w:tcMar>
            <w:vAlign w:val="bottom"/>
          </w:tcPr>
          <w:p w14:paraId="3693F86B" w14:textId="77777777" w:rsidR="003734EC" w:rsidRDefault="000E364E">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tcMar>
            <w:vAlign w:val="bottom"/>
          </w:tcPr>
          <w:p w14:paraId="3693F86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6D"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shd w:val="clear" w:color="auto" w:fill="E2EFD9"/>
            <w:tcMar>
              <w:top w:w="40" w:type="dxa"/>
              <w:bottom w:w="40" w:type="dxa"/>
              <w:right w:w="20" w:type="dxa"/>
            </w:tcMar>
            <w:vAlign w:val="bottom"/>
          </w:tcPr>
          <w:p w14:paraId="3693F86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6F"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70"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71" w14:textId="77777777" w:rsidR="003734EC" w:rsidRDefault="000E364E">
            <w:pPr>
              <w:jc w:val="right"/>
              <w:textAlignment w:val="bottom"/>
            </w:pPr>
            <w:r>
              <w:rPr>
                <w:rFonts w:ascii="sans-serif" w:eastAsia="sans-serif" w:hAnsi="sans-serif" w:cs="sans-serif"/>
                <w:color w:val="000000"/>
                <w:sz w:val="20"/>
                <w:szCs w:val="20"/>
              </w:rPr>
              <w:t>3,105 </w:t>
            </w:r>
          </w:p>
        </w:tc>
        <w:tc>
          <w:tcPr>
            <w:tcW w:w="0" w:type="auto"/>
            <w:shd w:val="clear" w:color="auto" w:fill="E2EFD9"/>
            <w:tcMar>
              <w:top w:w="40" w:type="dxa"/>
              <w:bottom w:w="40" w:type="dxa"/>
              <w:right w:w="20" w:type="dxa"/>
            </w:tcMar>
            <w:vAlign w:val="bottom"/>
          </w:tcPr>
          <w:p w14:paraId="3693F87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73"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7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75"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shd w:val="clear" w:color="auto" w:fill="E2EFD9"/>
            <w:tcMar>
              <w:top w:w="40" w:type="dxa"/>
              <w:bottom w:w="40" w:type="dxa"/>
              <w:right w:w="20" w:type="dxa"/>
            </w:tcMar>
            <w:vAlign w:val="bottom"/>
          </w:tcPr>
          <w:p w14:paraId="3693F87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77"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78"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bottom w:w="40" w:type="dxa"/>
              <w:right w:w="20" w:type="dxa"/>
            </w:tcMar>
            <w:vAlign w:val="bottom"/>
          </w:tcPr>
          <w:p w14:paraId="3693F879"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3693F87A"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7B" w14:textId="77777777" w:rsidR="003734EC" w:rsidRDefault="000E364E">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bottom w:w="40" w:type="dxa"/>
              <w:right w:w="20" w:type="dxa"/>
            </w:tcMar>
            <w:vAlign w:val="bottom"/>
          </w:tcPr>
          <w:p w14:paraId="3693F87C"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87D" w14:textId="77777777" w:rsidR="003734EC" w:rsidRDefault="003734EC">
            <w:pPr>
              <w:rPr>
                <w:rFonts w:ascii="宋体"/>
              </w:rPr>
            </w:pPr>
          </w:p>
        </w:tc>
        <w:tc>
          <w:tcPr>
            <w:tcW w:w="0" w:type="auto"/>
            <w:shd w:val="clear" w:color="auto" w:fill="auto"/>
            <w:vAlign w:val="center"/>
          </w:tcPr>
          <w:p w14:paraId="3693F87E" w14:textId="77777777" w:rsidR="003734EC" w:rsidRDefault="003734EC">
            <w:pPr>
              <w:rPr>
                <w:rFonts w:ascii="宋体"/>
              </w:rPr>
            </w:pPr>
          </w:p>
        </w:tc>
        <w:tc>
          <w:tcPr>
            <w:tcW w:w="0" w:type="auto"/>
            <w:shd w:val="clear" w:color="auto" w:fill="auto"/>
            <w:vAlign w:val="center"/>
          </w:tcPr>
          <w:p w14:paraId="3693F87F" w14:textId="77777777" w:rsidR="003734EC" w:rsidRDefault="003734EC">
            <w:pPr>
              <w:rPr>
                <w:rFonts w:ascii="宋体"/>
              </w:rPr>
            </w:pPr>
          </w:p>
        </w:tc>
        <w:tc>
          <w:tcPr>
            <w:tcW w:w="0" w:type="auto"/>
            <w:shd w:val="clear" w:color="auto" w:fill="auto"/>
            <w:vAlign w:val="center"/>
          </w:tcPr>
          <w:p w14:paraId="3693F880" w14:textId="77777777" w:rsidR="003734EC" w:rsidRDefault="003734EC">
            <w:pPr>
              <w:rPr>
                <w:rFonts w:ascii="宋体"/>
              </w:rPr>
            </w:pPr>
          </w:p>
        </w:tc>
        <w:tc>
          <w:tcPr>
            <w:tcW w:w="0" w:type="auto"/>
            <w:shd w:val="clear" w:color="auto" w:fill="auto"/>
            <w:vAlign w:val="center"/>
          </w:tcPr>
          <w:p w14:paraId="3693F881" w14:textId="77777777" w:rsidR="003734EC" w:rsidRDefault="003734EC">
            <w:pPr>
              <w:rPr>
                <w:rFonts w:ascii="宋体"/>
              </w:rPr>
            </w:pPr>
          </w:p>
        </w:tc>
        <w:tc>
          <w:tcPr>
            <w:tcW w:w="0" w:type="auto"/>
            <w:shd w:val="clear" w:color="auto" w:fill="auto"/>
            <w:vAlign w:val="center"/>
          </w:tcPr>
          <w:p w14:paraId="3693F882" w14:textId="77777777" w:rsidR="003734EC" w:rsidRDefault="003734EC">
            <w:pPr>
              <w:rPr>
                <w:rFonts w:ascii="宋体"/>
              </w:rPr>
            </w:pPr>
          </w:p>
        </w:tc>
        <w:tc>
          <w:tcPr>
            <w:tcW w:w="0" w:type="auto"/>
            <w:shd w:val="clear" w:color="auto" w:fill="auto"/>
            <w:vAlign w:val="center"/>
          </w:tcPr>
          <w:p w14:paraId="3693F883" w14:textId="77777777" w:rsidR="003734EC" w:rsidRDefault="003734EC">
            <w:pPr>
              <w:rPr>
                <w:rFonts w:ascii="宋体"/>
              </w:rPr>
            </w:pPr>
          </w:p>
        </w:tc>
        <w:tc>
          <w:tcPr>
            <w:tcW w:w="0" w:type="auto"/>
            <w:shd w:val="clear" w:color="auto" w:fill="auto"/>
            <w:vAlign w:val="center"/>
          </w:tcPr>
          <w:p w14:paraId="3693F884" w14:textId="77777777" w:rsidR="003734EC" w:rsidRDefault="003734EC">
            <w:pPr>
              <w:rPr>
                <w:rFonts w:ascii="宋体"/>
              </w:rPr>
            </w:pPr>
          </w:p>
        </w:tc>
        <w:tc>
          <w:tcPr>
            <w:tcW w:w="0" w:type="auto"/>
            <w:shd w:val="clear" w:color="auto" w:fill="auto"/>
            <w:vAlign w:val="center"/>
          </w:tcPr>
          <w:p w14:paraId="3693F885" w14:textId="77777777" w:rsidR="003734EC" w:rsidRDefault="003734EC">
            <w:pPr>
              <w:rPr>
                <w:rFonts w:ascii="宋体"/>
              </w:rPr>
            </w:pPr>
          </w:p>
        </w:tc>
        <w:tc>
          <w:tcPr>
            <w:tcW w:w="0" w:type="auto"/>
            <w:shd w:val="clear" w:color="auto" w:fill="auto"/>
            <w:vAlign w:val="center"/>
          </w:tcPr>
          <w:p w14:paraId="3693F886" w14:textId="77777777" w:rsidR="003734EC" w:rsidRDefault="003734EC">
            <w:pPr>
              <w:rPr>
                <w:rFonts w:ascii="宋体"/>
              </w:rPr>
            </w:pPr>
          </w:p>
        </w:tc>
        <w:tc>
          <w:tcPr>
            <w:tcW w:w="0" w:type="auto"/>
            <w:shd w:val="clear" w:color="auto" w:fill="auto"/>
            <w:vAlign w:val="center"/>
          </w:tcPr>
          <w:p w14:paraId="3693F887" w14:textId="77777777" w:rsidR="003734EC" w:rsidRDefault="003734EC">
            <w:pPr>
              <w:rPr>
                <w:rFonts w:ascii="宋体"/>
              </w:rPr>
            </w:pPr>
          </w:p>
        </w:tc>
        <w:tc>
          <w:tcPr>
            <w:tcW w:w="0" w:type="auto"/>
            <w:shd w:val="clear" w:color="auto" w:fill="auto"/>
            <w:vAlign w:val="center"/>
          </w:tcPr>
          <w:p w14:paraId="3693F888" w14:textId="77777777" w:rsidR="003734EC" w:rsidRDefault="003734EC">
            <w:pPr>
              <w:rPr>
                <w:rFonts w:ascii="宋体"/>
              </w:rPr>
            </w:pPr>
          </w:p>
        </w:tc>
      </w:tr>
      <w:tr w:rsidR="003734EC" w14:paraId="3693F8A3" w14:textId="77777777">
        <w:tc>
          <w:tcPr>
            <w:tcW w:w="0" w:type="auto"/>
            <w:gridSpan w:val="3"/>
            <w:shd w:val="clear" w:color="auto" w:fill="FFFFFF"/>
            <w:tcMar>
              <w:top w:w="40" w:type="dxa"/>
              <w:left w:w="20" w:type="dxa"/>
              <w:bottom w:w="40" w:type="dxa"/>
              <w:right w:w="20" w:type="dxa"/>
            </w:tcMar>
            <w:vAlign w:val="bottom"/>
          </w:tcPr>
          <w:p w14:paraId="3693F88A" w14:textId="77777777" w:rsidR="003734EC" w:rsidRDefault="000E364E">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3693F88B" w14:textId="77777777" w:rsidR="003734EC" w:rsidRDefault="000E364E">
            <w:pPr>
              <w:jc w:val="right"/>
              <w:textAlignment w:val="bottom"/>
            </w:pPr>
            <w:r>
              <w:rPr>
                <w:rFonts w:ascii="sans-serif" w:eastAsia="sans-serif" w:hAnsi="sans-serif" w:cs="sans-serif"/>
                <w:color w:val="000000"/>
                <w:sz w:val="20"/>
                <w:szCs w:val="20"/>
              </w:rPr>
              <w:t>65.1 </w:t>
            </w:r>
          </w:p>
        </w:tc>
        <w:tc>
          <w:tcPr>
            <w:tcW w:w="0" w:type="auto"/>
            <w:shd w:val="clear" w:color="auto" w:fill="FFFFFF"/>
            <w:tcMar>
              <w:top w:w="40" w:type="dxa"/>
              <w:bottom w:w="40" w:type="dxa"/>
              <w:right w:w="20" w:type="dxa"/>
            </w:tcMar>
            <w:vAlign w:val="bottom"/>
          </w:tcPr>
          <w:p w14:paraId="3693F88C"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88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center"/>
          </w:tcPr>
          <w:p w14:paraId="3693F88E" w14:textId="77777777" w:rsidR="003734EC" w:rsidRDefault="000E364E">
            <w:pPr>
              <w:jc w:val="right"/>
              <w:textAlignment w:val="center"/>
            </w:pPr>
            <w:r>
              <w:rPr>
                <w:rFonts w:ascii="sans-serif" w:eastAsia="sans-serif" w:hAnsi="sans-serif" w:cs="sans-serif"/>
                <w:color w:val="000000"/>
                <w:sz w:val="20"/>
                <w:szCs w:val="20"/>
              </w:rPr>
              <w:t>64.9 </w:t>
            </w:r>
          </w:p>
        </w:tc>
        <w:tc>
          <w:tcPr>
            <w:tcW w:w="0" w:type="auto"/>
            <w:shd w:val="clear" w:color="auto" w:fill="FFFFFF"/>
            <w:tcMar>
              <w:top w:w="40" w:type="dxa"/>
              <w:bottom w:w="40" w:type="dxa"/>
              <w:right w:w="20" w:type="dxa"/>
            </w:tcMar>
            <w:vAlign w:val="center"/>
          </w:tcPr>
          <w:p w14:paraId="3693F88F" w14:textId="77777777" w:rsidR="003734EC" w:rsidRDefault="000E364E">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89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center"/>
          </w:tcPr>
          <w:p w14:paraId="3693F891" w14:textId="77777777" w:rsidR="003734EC" w:rsidRDefault="000E364E">
            <w:pPr>
              <w:jc w:val="right"/>
              <w:textAlignment w:val="center"/>
            </w:pPr>
            <w:r>
              <w:rPr>
                <w:rFonts w:ascii="sans-serif" w:eastAsia="sans-serif" w:hAnsi="sans-serif" w:cs="sans-serif"/>
                <w:color w:val="000000"/>
                <w:sz w:val="20"/>
                <w:szCs w:val="20"/>
              </w:rPr>
              <w:t>58.4 </w:t>
            </w:r>
          </w:p>
        </w:tc>
        <w:tc>
          <w:tcPr>
            <w:tcW w:w="0" w:type="auto"/>
            <w:shd w:val="clear" w:color="auto" w:fill="FFFFFF"/>
            <w:tcMar>
              <w:top w:w="40" w:type="dxa"/>
              <w:bottom w:w="40" w:type="dxa"/>
              <w:right w:w="20" w:type="dxa"/>
            </w:tcMar>
            <w:vAlign w:val="center"/>
          </w:tcPr>
          <w:p w14:paraId="3693F892" w14:textId="77777777" w:rsidR="003734EC" w:rsidRDefault="000E364E">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893"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894" w14:textId="77777777" w:rsidR="003734EC" w:rsidRDefault="000E364E">
            <w:pPr>
              <w:jc w:val="right"/>
              <w:textAlignment w:val="bottom"/>
            </w:pPr>
            <w:r>
              <w:rPr>
                <w:rFonts w:ascii="sans-serif" w:eastAsia="sans-serif" w:hAnsi="sans-serif" w:cs="sans-serif"/>
                <w:color w:val="000000"/>
                <w:sz w:val="20"/>
                <w:szCs w:val="20"/>
              </w:rPr>
              <w:t>20 bps</w:t>
            </w:r>
          </w:p>
        </w:tc>
        <w:tc>
          <w:tcPr>
            <w:tcW w:w="0" w:type="auto"/>
            <w:gridSpan w:val="3"/>
            <w:shd w:val="clear" w:color="auto" w:fill="FFFFFF"/>
            <w:tcMar>
              <w:left w:w="20" w:type="dxa"/>
              <w:right w:w="20" w:type="dxa"/>
            </w:tcMar>
            <w:vAlign w:val="bottom"/>
          </w:tcPr>
          <w:p w14:paraId="3693F895" w14:textId="77777777" w:rsidR="003734EC" w:rsidRDefault="003734EC">
            <w:pPr>
              <w:rPr>
                <w:rFonts w:ascii="宋体"/>
              </w:rPr>
            </w:pPr>
          </w:p>
        </w:tc>
        <w:tc>
          <w:tcPr>
            <w:tcW w:w="0" w:type="auto"/>
            <w:gridSpan w:val="3"/>
            <w:shd w:val="clear" w:color="auto" w:fill="FFFFFF"/>
            <w:tcMar>
              <w:top w:w="40" w:type="dxa"/>
              <w:left w:w="20" w:type="dxa"/>
              <w:bottom w:w="40" w:type="dxa"/>
              <w:right w:w="20" w:type="dxa"/>
            </w:tcMar>
            <w:vAlign w:val="bottom"/>
          </w:tcPr>
          <w:p w14:paraId="3693F896" w14:textId="77777777" w:rsidR="003734EC" w:rsidRDefault="000E364E">
            <w:pPr>
              <w:jc w:val="right"/>
              <w:textAlignment w:val="bottom"/>
            </w:pPr>
            <w:r>
              <w:rPr>
                <w:rFonts w:ascii="sans-serif" w:eastAsia="sans-serif" w:hAnsi="sans-serif" w:cs="sans-serif"/>
                <w:color w:val="000000"/>
                <w:sz w:val="20"/>
                <w:szCs w:val="20"/>
              </w:rPr>
              <w:t>670 bps</w:t>
            </w:r>
          </w:p>
        </w:tc>
        <w:tc>
          <w:tcPr>
            <w:tcW w:w="0" w:type="auto"/>
            <w:shd w:val="clear" w:color="auto" w:fill="auto"/>
            <w:vAlign w:val="center"/>
          </w:tcPr>
          <w:p w14:paraId="3693F897" w14:textId="77777777" w:rsidR="003734EC" w:rsidRDefault="003734EC">
            <w:pPr>
              <w:rPr>
                <w:rFonts w:ascii="宋体"/>
              </w:rPr>
            </w:pPr>
          </w:p>
        </w:tc>
        <w:tc>
          <w:tcPr>
            <w:tcW w:w="0" w:type="auto"/>
            <w:shd w:val="clear" w:color="auto" w:fill="auto"/>
            <w:vAlign w:val="center"/>
          </w:tcPr>
          <w:p w14:paraId="3693F898" w14:textId="77777777" w:rsidR="003734EC" w:rsidRDefault="003734EC">
            <w:pPr>
              <w:rPr>
                <w:rFonts w:ascii="宋体"/>
              </w:rPr>
            </w:pPr>
          </w:p>
        </w:tc>
        <w:tc>
          <w:tcPr>
            <w:tcW w:w="0" w:type="auto"/>
            <w:shd w:val="clear" w:color="auto" w:fill="auto"/>
            <w:vAlign w:val="center"/>
          </w:tcPr>
          <w:p w14:paraId="3693F899" w14:textId="77777777" w:rsidR="003734EC" w:rsidRDefault="003734EC">
            <w:pPr>
              <w:rPr>
                <w:rFonts w:ascii="宋体"/>
              </w:rPr>
            </w:pPr>
          </w:p>
        </w:tc>
        <w:tc>
          <w:tcPr>
            <w:tcW w:w="0" w:type="auto"/>
            <w:shd w:val="clear" w:color="auto" w:fill="auto"/>
            <w:vAlign w:val="center"/>
          </w:tcPr>
          <w:p w14:paraId="3693F89A" w14:textId="77777777" w:rsidR="003734EC" w:rsidRDefault="003734EC">
            <w:pPr>
              <w:rPr>
                <w:rFonts w:ascii="宋体"/>
              </w:rPr>
            </w:pPr>
          </w:p>
        </w:tc>
        <w:tc>
          <w:tcPr>
            <w:tcW w:w="0" w:type="auto"/>
            <w:shd w:val="clear" w:color="auto" w:fill="auto"/>
            <w:vAlign w:val="center"/>
          </w:tcPr>
          <w:p w14:paraId="3693F89B" w14:textId="77777777" w:rsidR="003734EC" w:rsidRDefault="003734EC">
            <w:pPr>
              <w:rPr>
                <w:rFonts w:ascii="宋体"/>
              </w:rPr>
            </w:pPr>
          </w:p>
        </w:tc>
        <w:tc>
          <w:tcPr>
            <w:tcW w:w="0" w:type="auto"/>
            <w:shd w:val="clear" w:color="auto" w:fill="auto"/>
            <w:vAlign w:val="center"/>
          </w:tcPr>
          <w:p w14:paraId="3693F89C" w14:textId="77777777" w:rsidR="003734EC" w:rsidRDefault="003734EC">
            <w:pPr>
              <w:rPr>
                <w:rFonts w:ascii="宋体"/>
              </w:rPr>
            </w:pPr>
          </w:p>
        </w:tc>
        <w:tc>
          <w:tcPr>
            <w:tcW w:w="0" w:type="auto"/>
            <w:shd w:val="clear" w:color="auto" w:fill="auto"/>
            <w:vAlign w:val="center"/>
          </w:tcPr>
          <w:p w14:paraId="3693F89D" w14:textId="77777777" w:rsidR="003734EC" w:rsidRDefault="003734EC">
            <w:pPr>
              <w:rPr>
                <w:rFonts w:ascii="宋体"/>
              </w:rPr>
            </w:pPr>
          </w:p>
        </w:tc>
        <w:tc>
          <w:tcPr>
            <w:tcW w:w="0" w:type="auto"/>
            <w:shd w:val="clear" w:color="auto" w:fill="auto"/>
            <w:vAlign w:val="center"/>
          </w:tcPr>
          <w:p w14:paraId="3693F89E" w14:textId="77777777" w:rsidR="003734EC" w:rsidRDefault="003734EC">
            <w:pPr>
              <w:rPr>
                <w:rFonts w:ascii="宋体"/>
              </w:rPr>
            </w:pPr>
          </w:p>
        </w:tc>
        <w:tc>
          <w:tcPr>
            <w:tcW w:w="0" w:type="auto"/>
            <w:shd w:val="clear" w:color="auto" w:fill="auto"/>
            <w:vAlign w:val="center"/>
          </w:tcPr>
          <w:p w14:paraId="3693F89F" w14:textId="77777777" w:rsidR="003734EC" w:rsidRDefault="003734EC">
            <w:pPr>
              <w:rPr>
                <w:rFonts w:ascii="宋体"/>
              </w:rPr>
            </w:pPr>
          </w:p>
        </w:tc>
        <w:tc>
          <w:tcPr>
            <w:tcW w:w="0" w:type="auto"/>
            <w:shd w:val="clear" w:color="auto" w:fill="auto"/>
            <w:vAlign w:val="center"/>
          </w:tcPr>
          <w:p w14:paraId="3693F8A0" w14:textId="77777777" w:rsidR="003734EC" w:rsidRDefault="003734EC">
            <w:pPr>
              <w:rPr>
                <w:rFonts w:ascii="宋体"/>
              </w:rPr>
            </w:pPr>
          </w:p>
        </w:tc>
        <w:tc>
          <w:tcPr>
            <w:tcW w:w="0" w:type="auto"/>
            <w:shd w:val="clear" w:color="auto" w:fill="auto"/>
            <w:vAlign w:val="center"/>
          </w:tcPr>
          <w:p w14:paraId="3693F8A1" w14:textId="77777777" w:rsidR="003734EC" w:rsidRDefault="003734EC">
            <w:pPr>
              <w:rPr>
                <w:rFonts w:ascii="宋体"/>
              </w:rPr>
            </w:pPr>
          </w:p>
        </w:tc>
        <w:tc>
          <w:tcPr>
            <w:tcW w:w="0" w:type="auto"/>
            <w:shd w:val="clear" w:color="auto" w:fill="auto"/>
            <w:vAlign w:val="center"/>
          </w:tcPr>
          <w:p w14:paraId="3693F8A2" w14:textId="77777777" w:rsidR="003734EC" w:rsidRDefault="003734EC">
            <w:pPr>
              <w:rPr>
                <w:rFonts w:ascii="宋体"/>
              </w:rPr>
            </w:pPr>
          </w:p>
        </w:tc>
      </w:tr>
      <w:tr w:rsidR="003734EC" w14:paraId="3693F8C2" w14:textId="77777777">
        <w:tc>
          <w:tcPr>
            <w:tcW w:w="0" w:type="auto"/>
            <w:gridSpan w:val="3"/>
            <w:shd w:val="clear" w:color="auto" w:fill="E2EFD9"/>
            <w:tcMar>
              <w:top w:w="40" w:type="dxa"/>
              <w:left w:w="20" w:type="dxa"/>
              <w:bottom w:w="40" w:type="dxa"/>
              <w:right w:w="20" w:type="dxa"/>
            </w:tcMar>
            <w:vAlign w:val="bottom"/>
          </w:tcPr>
          <w:p w14:paraId="3693F8A4" w14:textId="77777777" w:rsidR="003734EC" w:rsidRDefault="000E364E">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tcMar>
            <w:vAlign w:val="bottom"/>
          </w:tcPr>
          <w:p w14:paraId="3693F8A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A6" w14:textId="77777777" w:rsidR="003734EC" w:rsidRDefault="000E364E">
            <w:pPr>
              <w:jc w:val="right"/>
              <w:textAlignment w:val="bottom"/>
            </w:pPr>
            <w:r>
              <w:rPr>
                <w:rFonts w:ascii="sans-serif" w:eastAsia="sans-serif" w:hAnsi="sans-serif" w:cs="sans-serif"/>
                <w:color w:val="000000"/>
                <w:sz w:val="20"/>
                <w:szCs w:val="20"/>
              </w:rPr>
              <w:t>1,028 </w:t>
            </w:r>
          </w:p>
        </w:tc>
        <w:tc>
          <w:tcPr>
            <w:tcW w:w="0" w:type="auto"/>
            <w:shd w:val="clear" w:color="auto" w:fill="E2EFD9"/>
            <w:tcMar>
              <w:top w:w="40" w:type="dxa"/>
              <w:bottom w:w="40" w:type="dxa"/>
              <w:right w:w="20" w:type="dxa"/>
            </w:tcMar>
            <w:vAlign w:val="bottom"/>
          </w:tcPr>
          <w:p w14:paraId="3693F8A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A8"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A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AA" w14:textId="77777777" w:rsidR="003734EC" w:rsidRDefault="000E364E">
            <w:pPr>
              <w:jc w:val="right"/>
              <w:textAlignment w:val="bottom"/>
            </w:pPr>
            <w:r>
              <w:rPr>
                <w:rFonts w:ascii="sans-serif" w:eastAsia="sans-serif" w:hAnsi="sans-serif" w:cs="sans-serif"/>
                <w:color w:val="000000"/>
                <w:sz w:val="20"/>
                <w:szCs w:val="20"/>
              </w:rPr>
              <w:t>1,025 </w:t>
            </w:r>
          </w:p>
        </w:tc>
        <w:tc>
          <w:tcPr>
            <w:tcW w:w="0" w:type="auto"/>
            <w:shd w:val="clear" w:color="auto" w:fill="E2EFD9"/>
            <w:tcMar>
              <w:top w:w="40" w:type="dxa"/>
              <w:bottom w:w="40" w:type="dxa"/>
              <w:right w:w="20" w:type="dxa"/>
            </w:tcMar>
            <w:vAlign w:val="bottom"/>
          </w:tcPr>
          <w:p w14:paraId="3693F8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AC"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AD"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AE" w14:textId="77777777" w:rsidR="003734EC" w:rsidRDefault="000E364E">
            <w:pPr>
              <w:jc w:val="right"/>
              <w:textAlignment w:val="bottom"/>
            </w:pPr>
            <w:r>
              <w:rPr>
                <w:rFonts w:ascii="sans-serif" w:eastAsia="sans-serif" w:hAnsi="sans-serif" w:cs="sans-serif"/>
                <w:color w:val="000000"/>
                <w:sz w:val="20"/>
                <w:szCs w:val="20"/>
              </w:rPr>
              <w:t>938 </w:t>
            </w:r>
          </w:p>
        </w:tc>
        <w:tc>
          <w:tcPr>
            <w:tcW w:w="0" w:type="auto"/>
            <w:shd w:val="clear" w:color="auto" w:fill="E2EFD9"/>
            <w:tcMar>
              <w:top w:w="40" w:type="dxa"/>
              <w:bottom w:w="40" w:type="dxa"/>
              <w:right w:w="20" w:type="dxa"/>
            </w:tcMar>
            <w:vAlign w:val="bottom"/>
          </w:tcPr>
          <w:p w14:paraId="3693F8A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B0"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B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3693F8B2"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3693F8B3"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B4" w14:textId="77777777" w:rsidR="003734EC" w:rsidRDefault="000E364E">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bottom w:w="40" w:type="dxa"/>
              <w:right w:w="20" w:type="dxa"/>
            </w:tcMar>
            <w:vAlign w:val="bottom"/>
          </w:tcPr>
          <w:p w14:paraId="3693F8B5"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8B6" w14:textId="77777777" w:rsidR="003734EC" w:rsidRDefault="003734EC">
            <w:pPr>
              <w:rPr>
                <w:rFonts w:ascii="宋体"/>
              </w:rPr>
            </w:pPr>
          </w:p>
        </w:tc>
        <w:tc>
          <w:tcPr>
            <w:tcW w:w="0" w:type="auto"/>
            <w:shd w:val="clear" w:color="auto" w:fill="auto"/>
            <w:vAlign w:val="center"/>
          </w:tcPr>
          <w:p w14:paraId="3693F8B7" w14:textId="77777777" w:rsidR="003734EC" w:rsidRDefault="003734EC">
            <w:pPr>
              <w:rPr>
                <w:rFonts w:ascii="宋体"/>
              </w:rPr>
            </w:pPr>
          </w:p>
        </w:tc>
        <w:tc>
          <w:tcPr>
            <w:tcW w:w="0" w:type="auto"/>
            <w:shd w:val="clear" w:color="auto" w:fill="auto"/>
            <w:vAlign w:val="center"/>
          </w:tcPr>
          <w:p w14:paraId="3693F8B8" w14:textId="77777777" w:rsidR="003734EC" w:rsidRDefault="003734EC">
            <w:pPr>
              <w:rPr>
                <w:rFonts w:ascii="宋体"/>
              </w:rPr>
            </w:pPr>
          </w:p>
        </w:tc>
        <w:tc>
          <w:tcPr>
            <w:tcW w:w="0" w:type="auto"/>
            <w:shd w:val="clear" w:color="auto" w:fill="auto"/>
            <w:vAlign w:val="center"/>
          </w:tcPr>
          <w:p w14:paraId="3693F8B9" w14:textId="77777777" w:rsidR="003734EC" w:rsidRDefault="003734EC">
            <w:pPr>
              <w:rPr>
                <w:rFonts w:ascii="宋体"/>
              </w:rPr>
            </w:pPr>
          </w:p>
        </w:tc>
        <w:tc>
          <w:tcPr>
            <w:tcW w:w="0" w:type="auto"/>
            <w:shd w:val="clear" w:color="auto" w:fill="auto"/>
            <w:vAlign w:val="center"/>
          </w:tcPr>
          <w:p w14:paraId="3693F8BA" w14:textId="77777777" w:rsidR="003734EC" w:rsidRDefault="003734EC">
            <w:pPr>
              <w:rPr>
                <w:rFonts w:ascii="宋体"/>
              </w:rPr>
            </w:pPr>
          </w:p>
        </w:tc>
        <w:tc>
          <w:tcPr>
            <w:tcW w:w="0" w:type="auto"/>
            <w:shd w:val="clear" w:color="auto" w:fill="auto"/>
            <w:vAlign w:val="center"/>
          </w:tcPr>
          <w:p w14:paraId="3693F8BB" w14:textId="77777777" w:rsidR="003734EC" w:rsidRDefault="003734EC">
            <w:pPr>
              <w:rPr>
                <w:rFonts w:ascii="宋体"/>
              </w:rPr>
            </w:pPr>
          </w:p>
        </w:tc>
        <w:tc>
          <w:tcPr>
            <w:tcW w:w="0" w:type="auto"/>
            <w:shd w:val="clear" w:color="auto" w:fill="auto"/>
            <w:vAlign w:val="center"/>
          </w:tcPr>
          <w:p w14:paraId="3693F8BC" w14:textId="77777777" w:rsidR="003734EC" w:rsidRDefault="003734EC">
            <w:pPr>
              <w:rPr>
                <w:rFonts w:ascii="宋体"/>
              </w:rPr>
            </w:pPr>
          </w:p>
        </w:tc>
        <w:tc>
          <w:tcPr>
            <w:tcW w:w="0" w:type="auto"/>
            <w:shd w:val="clear" w:color="auto" w:fill="auto"/>
            <w:vAlign w:val="center"/>
          </w:tcPr>
          <w:p w14:paraId="3693F8BD" w14:textId="77777777" w:rsidR="003734EC" w:rsidRDefault="003734EC">
            <w:pPr>
              <w:rPr>
                <w:rFonts w:ascii="宋体"/>
              </w:rPr>
            </w:pPr>
          </w:p>
        </w:tc>
        <w:tc>
          <w:tcPr>
            <w:tcW w:w="0" w:type="auto"/>
            <w:shd w:val="clear" w:color="auto" w:fill="auto"/>
            <w:vAlign w:val="center"/>
          </w:tcPr>
          <w:p w14:paraId="3693F8BE" w14:textId="77777777" w:rsidR="003734EC" w:rsidRDefault="003734EC">
            <w:pPr>
              <w:rPr>
                <w:rFonts w:ascii="宋体"/>
              </w:rPr>
            </w:pPr>
          </w:p>
        </w:tc>
        <w:tc>
          <w:tcPr>
            <w:tcW w:w="0" w:type="auto"/>
            <w:shd w:val="clear" w:color="auto" w:fill="auto"/>
            <w:vAlign w:val="center"/>
          </w:tcPr>
          <w:p w14:paraId="3693F8BF" w14:textId="77777777" w:rsidR="003734EC" w:rsidRDefault="003734EC">
            <w:pPr>
              <w:rPr>
                <w:rFonts w:ascii="宋体"/>
              </w:rPr>
            </w:pPr>
          </w:p>
        </w:tc>
        <w:tc>
          <w:tcPr>
            <w:tcW w:w="0" w:type="auto"/>
            <w:shd w:val="clear" w:color="auto" w:fill="auto"/>
            <w:vAlign w:val="center"/>
          </w:tcPr>
          <w:p w14:paraId="3693F8C0" w14:textId="77777777" w:rsidR="003734EC" w:rsidRDefault="003734EC">
            <w:pPr>
              <w:rPr>
                <w:rFonts w:ascii="宋体"/>
              </w:rPr>
            </w:pPr>
          </w:p>
        </w:tc>
        <w:tc>
          <w:tcPr>
            <w:tcW w:w="0" w:type="auto"/>
            <w:shd w:val="clear" w:color="auto" w:fill="auto"/>
            <w:vAlign w:val="center"/>
          </w:tcPr>
          <w:p w14:paraId="3693F8C1" w14:textId="77777777" w:rsidR="003734EC" w:rsidRDefault="003734EC">
            <w:pPr>
              <w:rPr>
                <w:rFonts w:ascii="宋体"/>
              </w:rPr>
            </w:pPr>
          </w:p>
        </w:tc>
      </w:tr>
      <w:tr w:rsidR="003734EC" w14:paraId="3693F8E1" w14:textId="77777777">
        <w:tc>
          <w:tcPr>
            <w:tcW w:w="0" w:type="auto"/>
            <w:gridSpan w:val="3"/>
            <w:shd w:val="clear" w:color="auto" w:fill="FFFFFF"/>
            <w:tcMar>
              <w:top w:w="40" w:type="dxa"/>
              <w:left w:w="20" w:type="dxa"/>
              <w:bottom w:w="40" w:type="dxa"/>
              <w:right w:w="20" w:type="dxa"/>
            </w:tcMar>
            <w:vAlign w:val="bottom"/>
          </w:tcPr>
          <w:p w14:paraId="3693F8C3" w14:textId="77777777" w:rsidR="003734EC" w:rsidRDefault="000E364E">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tcMar>
            <w:vAlign w:val="bottom"/>
          </w:tcPr>
          <w:p w14:paraId="3693F8C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8C5" w14:textId="77777777" w:rsidR="003734EC" w:rsidRDefault="000E364E">
            <w:pPr>
              <w:jc w:val="right"/>
              <w:textAlignment w:val="bottom"/>
            </w:pPr>
            <w:r>
              <w:rPr>
                <w:rFonts w:ascii="sans-serif" w:eastAsia="sans-serif" w:hAnsi="sans-serif" w:cs="sans-serif"/>
                <w:color w:val="000000"/>
                <w:sz w:val="20"/>
                <w:szCs w:val="20"/>
              </w:rPr>
              <w:t>976 </w:t>
            </w:r>
          </w:p>
        </w:tc>
        <w:tc>
          <w:tcPr>
            <w:tcW w:w="0" w:type="auto"/>
            <w:shd w:val="clear" w:color="auto" w:fill="FFFFFF"/>
            <w:tcMar>
              <w:top w:w="40" w:type="dxa"/>
              <w:bottom w:w="40" w:type="dxa"/>
              <w:right w:w="20" w:type="dxa"/>
            </w:tcMar>
            <w:vAlign w:val="bottom"/>
          </w:tcPr>
          <w:p w14:paraId="3693F8C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8C7"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8C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8C9" w14:textId="77777777" w:rsidR="003734EC" w:rsidRDefault="000E364E">
            <w:pPr>
              <w:jc w:val="right"/>
              <w:textAlignment w:val="bottom"/>
            </w:pPr>
            <w:r>
              <w:rPr>
                <w:rFonts w:ascii="sans-serif" w:eastAsia="sans-serif" w:hAnsi="sans-serif" w:cs="sans-serif"/>
                <w:color w:val="000000"/>
                <w:sz w:val="20"/>
                <w:szCs w:val="20"/>
              </w:rPr>
              <w:t>990 </w:t>
            </w:r>
          </w:p>
        </w:tc>
        <w:tc>
          <w:tcPr>
            <w:tcW w:w="0" w:type="auto"/>
            <w:shd w:val="clear" w:color="auto" w:fill="FFFFFF"/>
            <w:tcMar>
              <w:top w:w="40" w:type="dxa"/>
              <w:bottom w:w="40" w:type="dxa"/>
              <w:right w:w="20" w:type="dxa"/>
            </w:tcMar>
            <w:vAlign w:val="bottom"/>
          </w:tcPr>
          <w:p w14:paraId="3693F8C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8CB"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8C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8CD" w14:textId="77777777" w:rsidR="003734EC" w:rsidRDefault="000E364E">
            <w:pPr>
              <w:jc w:val="right"/>
              <w:textAlignment w:val="bottom"/>
            </w:pPr>
            <w:r>
              <w:rPr>
                <w:rFonts w:ascii="sans-serif" w:eastAsia="sans-serif" w:hAnsi="sans-serif" w:cs="sans-serif"/>
                <w:color w:val="000000"/>
                <w:sz w:val="20"/>
                <w:szCs w:val="20"/>
              </w:rPr>
              <w:t>358 </w:t>
            </w:r>
          </w:p>
        </w:tc>
        <w:tc>
          <w:tcPr>
            <w:tcW w:w="0" w:type="auto"/>
            <w:shd w:val="clear" w:color="auto" w:fill="FFFFFF"/>
            <w:tcMar>
              <w:top w:w="40" w:type="dxa"/>
              <w:bottom w:w="40" w:type="dxa"/>
              <w:right w:w="20" w:type="dxa"/>
            </w:tcMar>
            <w:vAlign w:val="bottom"/>
          </w:tcPr>
          <w:p w14:paraId="3693F8C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8C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8D0" w14:textId="77777777" w:rsidR="003734EC" w:rsidRDefault="000E364E">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bottom w:w="40" w:type="dxa"/>
              <w:right w:w="20" w:type="dxa"/>
            </w:tcMar>
            <w:vAlign w:val="bottom"/>
          </w:tcPr>
          <w:p w14:paraId="3693F8D1"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8D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8D3" w14:textId="77777777" w:rsidR="003734EC" w:rsidRDefault="000E364E">
            <w:pPr>
              <w:jc w:val="right"/>
              <w:textAlignment w:val="bottom"/>
            </w:pPr>
            <w:r>
              <w:rPr>
                <w:rFonts w:ascii="sans-serif" w:eastAsia="sans-serif" w:hAnsi="sans-serif" w:cs="sans-serif"/>
                <w:color w:val="000000"/>
                <w:sz w:val="20"/>
                <w:szCs w:val="20"/>
              </w:rPr>
              <w:t>173 </w:t>
            </w:r>
          </w:p>
        </w:tc>
        <w:tc>
          <w:tcPr>
            <w:tcW w:w="0" w:type="auto"/>
            <w:shd w:val="clear" w:color="auto" w:fill="FFFFFF"/>
            <w:tcMar>
              <w:top w:w="40" w:type="dxa"/>
              <w:bottom w:w="40" w:type="dxa"/>
              <w:right w:w="20" w:type="dxa"/>
            </w:tcMar>
            <w:vAlign w:val="bottom"/>
          </w:tcPr>
          <w:p w14:paraId="3693F8D4"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8D5" w14:textId="77777777" w:rsidR="003734EC" w:rsidRDefault="003734EC">
            <w:pPr>
              <w:rPr>
                <w:rFonts w:ascii="宋体"/>
              </w:rPr>
            </w:pPr>
          </w:p>
        </w:tc>
        <w:tc>
          <w:tcPr>
            <w:tcW w:w="0" w:type="auto"/>
            <w:shd w:val="clear" w:color="auto" w:fill="auto"/>
            <w:vAlign w:val="center"/>
          </w:tcPr>
          <w:p w14:paraId="3693F8D6" w14:textId="77777777" w:rsidR="003734EC" w:rsidRDefault="003734EC">
            <w:pPr>
              <w:rPr>
                <w:rFonts w:ascii="宋体"/>
              </w:rPr>
            </w:pPr>
          </w:p>
        </w:tc>
        <w:tc>
          <w:tcPr>
            <w:tcW w:w="0" w:type="auto"/>
            <w:shd w:val="clear" w:color="auto" w:fill="auto"/>
            <w:vAlign w:val="center"/>
          </w:tcPr>
          <w:p w14:paraId="3693F8D7" w14:textId="77777777" w:rsidR="003734EC" w:rsidRDefault="003734EC">
            <w:pPr>
              <w:rPr>
                <w:rFonts w:ascii="宋体"/>
              </w:rPr>
            </w:pPr>
          </w:p>
        </w:tc>
        <w:tc>
          <w:tcPr>
            <w:tcW w:w="0" w:type="auto"/>
            <w:shd w:val="clear" w:color="auto" w:fill="auto"/>
            <w:vAlign w:val="center"/>
          </w:tcPr>
          <w:p w14:paraId="3693F8D8" w14:textId="77777777" w:rsidR="003734EC" w:rsidRDefault="003734EC">
            <w:pPr>
              <w:rPr>
                <w:rFonts w:ascii="宋体"/>
              </w:rPr>
            </w:pPr>
          </w:p>
        </w:tc>
        <w:tc>
          <w:tcPr>
            <w:tcW w:w="0" w:type="auto"/>
            <w:shd w:val="clear" w:color="auto" w:fill="auto"/>
            <w:vAlign w:val="center"/>
          </w:tcPr>
          <w:p w14:paraId="3693F8D9" w14:textId="77777777" w:rsidR="003734EC" w:rsidRDefault="003734EC">
            <w:pPr>
              <w:rPr>
                <w:rFonts w:ascii="宋体"/>
              </w:rPr>
            </w:pPr>
          </w:p>
        </w:tc>
        <w:tc>
          <w:tcPr>
            <w:tcW w:w="0" w:type="auto"/>
            <w:shd w:val="clear" w:color="auto" w:fill="auto"/>
            <w:vAlign w:val="center"/>
          </w:tcPr>
          <w:p w14:paraId="3693F8DA" w14:textId="77777777" w:rsidR="003734EC" w:rsidRDefault="003734EC">
            <w:pPr>
              <w:rPr>
                <w:rFonts w:ascii="宋体"/>
              </w:rPr>
            </w:pPr>
          </w:p>
        </w:tc>
        <w:tc>
          <w:tcPr>
            <w:tcW w:w="0" w:type="auto"/>
            <w:shd w:val="clear" w:color="auto" w:fill="auto"/>
            <w:vAlign w:val="center"/>
          </w:tcPr>
          <w:p w14:paraId="3693F8DB" w14:textId="77777777" w:rsidR="003734EC" w:rsidRDefault="003734EC">
            <w:pPr>
              <w:rPr>
                <w:rFonts w:ascii="宋体"/>
              </w:rPr>
            </w:pPr>
          </w:p>
        </w:tc>
        <w:tc>
          <w:tcPr>
            <w:tcW w:w="0" w:type="auto"/>
            <w:shd w:val="clear" w:color="auto" w:fill="auto"/>
            <w:vAlign w:val="center"/>
          </w:tcPr>
          <w:p w14:paraId="3693F8DC" w14:textId="77777777" w:rsidR="003734EC" w:rsidRDefault="003734EC">
            <w:pPr>
              <w:rPr>
                <w:rFonts w:ascii="宋体"/>
              </w:rPr>
            </w:pPr>
          </w:p>
        </w:tc>
        <w:tc>
          <w:tcPr>
            <w:tcW w:w="0" w:type="auto"/>
            <w:shd w:val="clear" w:color="auto" w:fill="auto"/>
            <w:vAlign w:val="center"/>
          </w:tcPr>
          <w:p w14:paraId="3693F8DD" w14:textId="77777777" w:rsidR="003734EC" w:rsidRDefault="003734EC">
            <w:pPr>
              <w:rPr>
                <w:rFonts w:ascii="宋体"/>
              </w:rPr>
            </w:pPr>
          </w:p>
        </w:tc>
        <w:tc>
          <w:tcPr>
            <w:tcW w:w="0" w:type="auto"/>
            <w:shd w:val="clear" w:color="auto" w:fill="auto"/>
            <w:vAlign w:val="center"/>
          </w:tcPr>
          <w:p w14:paraId="3693F8DE" w14:textId="77777777" w:rsidR="003734EC" w:rsidRDefault="003734EC">
            <w:pPr>
              <w:rPr>
                <w:rFonts w:ascii="宋体"/>
              </w:rPr>
            </w:pPr>
          </w:p>
        </w:tc>
        <w:tc>
          <w:tcPr>
            <w:tcW w:w="0" w:type="auto"/>
            <w:shd w:val="clear" w:color="auto" w:fill="auto"/>
            <w:vAlign w:val="center"/>
          </w:tcPr>
          <w:p w14:paraId="3693F8DF" w14:textId="77777777" w:rsidR="003734EC" w:rsidRDefault="003734EC">
            <w:pPr>
              <w:rPr>
                <w:rFonts w:ascii="宋体"/>
              </w:rPr>
            </w:pPr>
          </w:p>
        </w:tc>
        <w:tc>
          <w:tcPr>
            <w:tcW w:w="0" w:type="auto"/>
            <w:shd w:val="clear" w:color="auto" w:fill="auto"/>
            <w:vAlign w:val="center"/>
          </w:tcPr>
          <w:p w14:paraId="3693F8E0" w14:textId="77777777" w:rsidR="003734EC" w:rsidRDefault="003734EC">
            <w:pPr>
              <w:rPr>
                <w:rFonts w:ascii="宋体"/>
              </w:rPr>
            </w:pPr>
          </w:p>
        </w:tc>
      </w:tr>
      <w:tr w:rsidR="003734EC" w14:paraId="3693F900" w14:textId="77777777">
        <w:tc>
          <w:tcPr>
            <w:tcW w:w="0" w:type="auto"/>
            <w:gridSpan w:val="3"/>
            <w:shd w:val="clear" w:color="auto" w:fill="E2EFD9"/>
            <w:tcMar>
              <w:top w:w="40" w:type="dxa"/>
              <w:left w:w="20" w:type="dxa"/>
              <w:bottom w:w="40" w:type="dxa"/>
              <w:right w:w="20" w:type="dxa"/>
            </w:tcMar>
            <w:vAlign w:val="bottom"/>
          </w:tcPr>
          <w:p w14:paraId="3693F8E2" w14:textId="77777777" w:rsidR="003734EC" w:rsidRDefault="000E364E">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tcMar>
            <w:vAlign w:val="bottom"/>
          </w:tcPr>
          <w:p w14:paraId="3693F8E3"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E4" w14:textId="77777777" w:rsidR="003734EC" w:rsidRDefault="000E364E">
            <w:pPr>
              <w:jc w:val="right"/>
              <w:textAlignment w:val="bottom"/>
            </w:pPr>
            <w:r>
              <w:rPr>
                <w:rFonts w:ascii="sans-serif" w:eastAsia="sans-serif" w:hAnsi="sans-serif" w:cs="sans-serif"/>
                <w:color w:val="000000"/>
                <w:sz w:val="20"/>
                <w:szCs w:val="20"/>
              </w:rPr>
              <w:t>917 </w:t>
            </w:r>
          </w:p>
        </w:tc>
        <w:tc>
          <w:tcPr>
            <w:tcW w:w="0" w:type="auto"/>
            <w:shd w:val="clear" w:color="auto" w:fill="E2EFD9"/>
            <w:tcMar>
              <w:top w:w="40" w:type="dxa"/>
              <w:bottom w:w="40" w:type="dxa"/>
              <w:right w:w="20" w:type="dxa"/>
            </w:tcMar>
            <w:vAlign w:val="bottom"/>
          </w:tcPr>
          <w:p w14:paraId="3693F8E5"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E6"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E7"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E8" w14:textId="77777777" w:rsidR="003734EC" w:rsidRDefault="000E364E">
            <w:pPr>
              <w:jc w:val="right"/>
              <w:textAlignment w:val="bottom"/>
            </w:pPr>
            <w:r>
              <w:rPr>
                <w:rFonts w:ascii="sans-serif" w:eastAsia="sans-serif" w:hAnsi="sans-serif" w:cs="sans-serif"/>
                <w:color w:val="000000"/>
                <w:sz w:val="20"/>
                <w:szCs w:val="20"/>
              </w:rPr>
              <w:t>950 </w:t>
            </w:r>
          </w:p>
        </w:tc>
        <w:tc>
          <w:tcPr>
            <w:tcW w:w="0" w:type="auto"/>
            <w:shd w:val="clear" w:color="auto" w:fill="E2EFD9"/>
            <w:tcMar>
              <w:top w:w="40" w:type="dxa"/>
              <w:bottom w:w="40" w:type="dxa"/>
              <w:right w:w="20" w:type="dxa"/>
            </w:tcMar>
            <w:vAlign w:val="bottom"/>
          </w:tcPr>
          <w:p w14:paraId="3693F8E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EA"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8EB"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8EC" w14:textId="77777777" w:rsidR="003734EC" w:rsidRDefault="000E364E">
            <w:pPr>
              <w:jc w:val="right"/>
              <w:textAlignment w:val="bottom"/>
            </w:pPr>
            <w:r>
              <w:rPr>
                <w:rFonts w:ascii="sans-serif" w:eastAsia="sans-serif" w:hAnsi="sans-serif" w:cs="sans-serif"/>
                <w:color w:val="000000"/>
                <w:sz w:val="20"/>
                <w:szCs w:val="20"/>
              </w:rPr>
              <w:t>394 </w:t>
            </w:r>
          </w:p>
        </w:tc>
        <w:tc>
          <w:tcPr>
            <w:tcW w:w="0" w:type="auto"/>
            <w:shd w:val="clear" w:color="auto" w:fill="E2EFD9"/>
            <w:tcMar>
              <w:top w:w="40" w:type="dxa"/>
              <w:bottom w:w="40" w:type="dxa"/>
              <w:right w:w="20" w:type="dxa"/>
            </w:tcMar>
            <w:vAlign w:val="bottom"/>
          </w:tcPr>
          <w:p w14:paraId="3693F8E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8E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EF" w14:textId="77777777" w:rsidR="003734EC" w:rsidRDefault="000E364E">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bottom w:w="40" w:type="dxa"/>
              <w:right w:w="20" w:type="dxa"/>
            </w:tcMar>
            <w:vAlign w:val="bottom"/>
          </w:tcPr>
          <w:p w14:paraId="3693F8F0"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3693F8F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8F2" w14:textId="77777777" w:rsidR="003734EC" w:rsidRDefault="000E364E">
            <w:pPr>
              <w:jc w:val="right"/>
              <w:textAlignment w:val="bottom"/>
            </w:pPr>
            <w:r>
              <w:rPr>
                <w:rFonts w:ascii="sans-serif" w:eastAsia="sans-serif" w:hAnsi="sans-serif" w:cs="sans-serif"/>
                <w:color w:val="000000"/>
                <w:sz w:val="20"/>
                <w:szCs w:val="20"/>
              </w:rPr>
              <w:t>133 </w:t>
            </w:r>
          </w:p>
        </w:tc>
        <w:tc>
          <w:tcPr>
            <w:tcW w:w="0" w:type="auto"/>
            <w:shd w:val="clear" w:color="auto" w:fill="E2EFD9"/>
            <w:tcMar>
              <w:top w:w="40" w:type="dxa"/>
              <w:bottom w:w="40" w:type="dxa"/>
              <w:right w:w="20" w:type="dxa"/>
            </w:tcMar>
            <w:vAlign w:val="bottom"/>
          </w:tcPr>
          <w:p w14:paraId="3693F8F3"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8F4" w14:textId="77777777" w:rsidR="003734EC" w:rsidRDefault="003734EC">
            <w:pPr>
              <w:rPr>
                <w:rFonts w:ascii="宋体"/>
              </w:rPr>
            </w:pPr>
          </w:p>
        </w:tc>
        <w:tc>
          <w:tcPr>
            <w:tcW w:w="0" w:type="auto"/>
            <w:shd w:val="clear" w:color="auto" w:fill="auto"/>
            <w:vAlign w:val="center"/>
          </w:tcPr>
          <w:p w14:paraId="3693F8F5" w14:textId="77777777" w:rsidR="003734EC" w:rsidRDefault="003734EC">
            <w:pPr>
              <w:rPr>
                <w:rFonts w:ascii="宋体"/>
              </w:rPr>
            </w:pPr>
          </w:p>
        </w:tc>
        <w:tc>
          <w:tcPr>
            <w:tcW w:w="0" w:type="auto"/>
            <w:shd w:val="clear" w:color="auto" w:fill="auto"/>
            <w:vAlign w:val="center"/>
          </w:tcPr>
          <w:p w14:paraId="3693F8F6" w14:textId="77777777" w:rsidR="003734EC" w:rsidRDefault="003734EC">
            <w:pPr>
              <w:rPr>
                <w:rFonts w:ascii="宋体"/>
              </w:rPr>
            </w:pPr>
          </w:p>
        </w:tc>
        <w:tc>
          <w:tcPr>
            <w:tcW w:w="0" w:type="auto"/>
            <w:shd w:val="clear" w:color="auto" w:fill="auto"/>
            <w:vAlign w:val="center"/>
          </w:tcPr>
          <w:p w14:paraId="3693F8F7" w14:textId="77777777" w:rsidR="003734EC" w:rsidRDefault="003734EC">
            <w:pPr>
              <w:rPr>
                <w:rFonts w:ascii="宋体"/>
              </w:rPr>
            </w:pPr>
          </w:p>
        </w:tc>
        <w:tc>
          <w:tcPr>
            <w:tcW w:w="0" w:type="auto"/>
            <w:shd w:val="clear" w:color="auto" w:fill="auto"/>
            <w:vAlign w:val="center"/>
          </w:tcPr>
          <w:p w14:paraId="3693F8F8" w14:textId="77777777" w:rsidR="003734EC" w:rsidRDefault="003734EC">
            <w:pPr>
              <w:rPr>
                <w:rFonts w:ascii="宋体"/>
              </w:rPr>
            </w:pPr>
          </w:p>
        </w:tc>
        <w:tc>
          <w:tcPr>
            <w:tcW w:w="0" w:type="auto"/>
            <w:shd w:val="clear" w:color="auto" w:fill="auto"/>
            <w:vAlign w:val="center"/>
          </w:tcPr>
          <w:p w14:paraId="3693F8F9" w14:textId="77777777" w:rsidR="003734EC" w:rsidRDefault="003734EC">
            <w:pPr>
              <w:rPr>
                <w:rFonts w:ascii="宋体"/>
              </w:rPr>
            </w:pPr>
          </w:p>
        </w:tc>
        <w:tc>
          <w:tcPr>
            <w:tcW w:w="0" w:type="auto"/>
            <w:shd w:val="clear" w:color="auto" w:fill="auto"/>
            <w:vAlign w:val="center"/>
          </w:tcPr>
          <w:p w14:paraId="3693F8FA" w14:textId="77777777" w:rsidR="003734EC" w:rsidRDefault="003734EC">
            <w:pPr>
              <w:rPr>
                <w:rFonts w:ascii="宋体"/>
              </w:rPr>
            </w:pPr>
          </w:p>
        </w:tc>
        <w:tc>
          <w:tcPr>
            <w:tcW w:w="0" w:type="auto"/>
            <w:shd w:val="clear" w:color="auto" w:fill="auto"/>
            <w:vAlign w:val="center"/>
          </w:tcPr>
          <w:p w14:paraId="3693F8FB" w14:textId="77777777" w:rsidR="003734EC" w:rsidRDefault="003734EC">
            <w:pPr>
              <w:rPr>
                <w:rFonts w:ascii="宋体"/>
              </w:rPr>
            </w:pPr>
          </w:p>
        </w:tc>
        <w:tc>
          <w:tcPr>
            <w:tcW w:w="0" w:type="auto"/>
            <w:shd w:val="clear" w:color="auto" w:fill="auto"/>
            <w:vAlign w:val="center"/>
          </w:tcPr>
          <w:p w14:paraId="3693F8FC" w14:textId="77777777" w:rsidR="003734EC" w:rsidRDefault="003734EC">
            <w:pPr>
              <w:rPr>
                <w:rFonts w:ascii="宋体"/>
              </w:rPr>
            </w:pPr>
          </w:p>
        </w:tc>
        <w:tc>
          <w:tcPr>
            <w:tcW w:w="0" w:type="auto"/>
            <w:shd w:val="clear" w:color="auto" w:fill="auto"/>
            <w:vAlign w:val="center"/>
          </w:tcPr>
          <w:p w14:paraId="3693F8FD" w14:textId="77777777" w:rsidR="003734EC" w:rsidRDefault="003734EC">
            <w:pPr>
              <w:rPr>
                <w:rFonts w:ascii="宋体"/>
              </w:rPr>
            </w:pPr>
          </w:p>
        </w:tc>
        <w:tc>
          <w:tcPr>
            <w:tcW w:w="0" w:type="auto"/>
            <w:shd w:val="clear" w:color="auto" w:fill="auto"/>
            <w:vAlign w:val="center"/>
          </w:tcPr>
          <w:p w14:paraId="3693F8FE" w14:textId="77777777" w:rsidR="003734EC" w:rsidRDefault="003734EC">
            <w:pPr>
              <w:rPr>
                <w:rFonts w:ascii="宋体"/>
              </w:rPr>
            </w:pPr>
          </w:p>
        </w:tc>
        <w:tc>
          <w:tcPr>
            <w:tcW w:w="0" w:type="auto"/>
            <w:shd w:val="clear" w:color="auto" w:fill="auto"/>
            <w:vAlign w:val="center"/>
          </w:tcPr>
          <w:p w14:paraId="3693F8FF" w14:textId="77777777" w:rsidR="003734EC" w:rsidRDefault="003734EC">
            <w:pPr>
              <w:rPr>
                <w:rFonts w:ascii="宋体"/>
              </w:rPr>
            </w:pPr>
          </w:p>
        </w:tc>
      </w:tr>
      <w:tr w:rsidR="003734EC" w14:paraId="3693F91F" w14:textId="77777777">
        <w:tc>
          <w:tcPr>
            <w:tcW w:w="0" w:type="auto"/>
            <w:gridSpan w:val="3"/>
            <w:shd w:val="clear" w:color="auto" w:fill="FFFFFF"/>
            <w:tcMar>
              <w:top w:w="40" w:type="dxa"/>
              <w:left w:w="20" w:type="dxa"/>
              <w:bottom w:w="40" w:type="dxa"/>
              <w:right w:w="20" w:type="dxa"/>
            </w:tcMar>
            <w:vAlign w:val="bottom"/>
          </w:tcPr>
          <w:p w14:paraId="3693F901" w14:textId="77777777" w:rsidR="003734EC" w:rsidRDefault="000E364E">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tcMar>
            <w:vAlign w:val="bottom"/>
          </w:tcPr>
          <w:p w14:paraId="3693F902"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903" w14:textId="77777777" w:rsidR="003734EC" w:rsidRDefault="000E364E">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bottom w:w="40" w:type="dxa"/>
              <w:right w:w="20" w:type="dxa"/>
            </w:tcMar>
            <w:vAlign w:val="bottom"/>
          </w:tcPr>
          <w:p w14:paraId="3693F90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05"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90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907" w14:textId="77777777" w:rsidR="003734EC" w:rsidRDefault="000E364E">
            <w:pPr>
              <w:jc w:val="right"/>
              <w:textAlignment w:val="bottom"/>
            </w:pPr>
            <w:r>
              <w:rPr>
                <w:rFonts w:ascii="sans-serif" w:eastAsia="sans-serif" w:hAnsi="sans-serif" w:cs="sans-serif"/>
                <w:color w:val="000000"/>
                <w:sz w:val="20"/>
                <w:szCs w:val="20"/>
              </w:rPr>
              <w:t>1.53 </w:t>
            </w:r>
          </w:p>
        </w:tc>
        <w:tc>
          <w:tcPr>
            <w:tcW w:w="0" w:type="auto"/>
            <w:shd w:val="clear" w:color="auto" w:fill="FFFFFF"/>
            <w:tcMar>
              <w:top w:w="40" w:type="dxa"/>
              <w:bottom w:w="40" w:type="dxa"/>
              <w:right w:w="20" w:type="dxa"/>
            </w:tcMar>
            <w:vAlign w:val="bottom"/>
          </w:tcPr>
          <w:p w14:paraId="3693F90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09"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90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90B" w14:textId="77777777" w:rsidR="003734EC" w:rsidRDefault="000E364E">
            <w:pPr>
              <w:jc w:val="right"/>
              <w:textAlignment w:val="bottom"/>
            </w:pPr>
            <w:r>
              <w:rPr>
                <w:rFonts w:ascii="sans-serif" w:eastAsia="sans-serif" w:hAnsi="sans-serif" w:cs="sans-serif"/>
                <w:color w:val="000000"/>
                <w:sz w:val="20"/>
                <w:szCs w:val="20"/>
              </w:rPr>
              <w:t>0.64 </w:t>
            </w:r>
          </w:p>
        </w:tc>
        <w:tc>
          <w:tcPr>
            <w:tcW w:w="0" w:type="auto"/>
            <w:shd w:val="clear" w:color="auto" w:fill="FFFFFF"/>
            <w:tcMar>
              <w:top w:w="40" w:type="dxa"/>
              <w:bottom w:w="40" w:type="dxa"/>
              <w:right w:w="20" w:type="dxa"/>
            </w:tcMar>
            <w:vAlign w:val="bottom"/>
          </w:tcPr>
          <w:p w14:paraId="3693F90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0D"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90E" w14:textId="77777777" w:rsidR="003734EC" w:rsidRDefault="000E364E">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bottom w:w="40" w:type="dxa"/>
              <w:right w:w="20" w:type="dxa"/>
            </w:tcMar>
            <w:vAlign w:val="bottom"/>
          </w:tcPr>
          <w:p w14:paraId="3693F90F"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910"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911" w14:textId="77777777" w:rsidR="003734EC" w:rsidRDefault="000E364E">
            <w:pPr>
              <w:jc w:val="right"/>
              <w:textAlignment w:val="bottom"/>
            </w:pPr>
            <w:r>
              <w:rPr>
                <w:rFonts w:ascii="sans-serif" w:eastAsia="sans-serif" w:hAnsi="sans-serif" w:cs="sans-serif"/>
                <w:color w:val="000000"/>
                <w:sz w:val="20"/>
                <w:szCs w:val="20"/>
              </w:rPr>
              <w:t>130 </w:t>
            </w:r>
          </w:p>
        </w:tc>
        <w:tc>
          <w:tcPr>
            <w:tcW w:w="0" w:type="auto"/>
            <w:shd w:val="clear" w:color="auto" w:fill="FFFFFF"/>
            <w:tcMar>
              <w:top w:w="40" w:type="dxa"/>
              <w:bottom w:w="40" w:type="dxa"/>
              <w:right w:w="20" w:type="dxa"/>
            </w:tcMar>
            <w:vAlign w:val="bottom"/>
          </w:tcPr>
          <w:p w14:paraId="3693F912"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913" w14:textId="77777777" w:rsidR="003734EC" w:rsidRDefault="003734EC">
            <w:pPr>
              <w:rPr>
                <w:rFonts w:ascii="宋体"/>
              </w:rPr>
            </w:pPr>
          </w:p>
        </w:tc>
        <w:tc>
          <w:tcPr>
            <w:tcW w:w="0" w:type="auto"/>
            <w:shd w:val="clear" w:color="auto" w:fill="auto"/>
            <w:vAlign w:val="center"/>
          </w:tcPr>
          <w:p w14:paraId="3693F914" w14:textId="77777777" w:rsidR="003734EC" w:rsidRDefault="003734EC">
            <w:pPr>
              <w:rPr>
                <w:rFonts w:ascii="宋体"/>
              </w:rPr>
            </w:pPr>
          </w:p>
        </w:tc>
        <w:tc>
          <w:tcPr>
            <w:tcW w:w="0" w:type="auto"/>
            <w:shd w:val="clear" w:color="auto" w:fill="auto"/>
            <w:vAlign w:val="center"/>
          </w:tcPr>
          <w:p w14:paraId="3693F915" w14:textId="77777777" w:rsidR="003734EC" w:rsidRDefault="003734EC">
            <w:pPr>
              <w:rPr>
                <w:rFonts w:ascii="宋体"/>
              </w:rPr>
            </w:pPr>
          </w:p>
        </w:tc>
        <w:tc>
          <w:tcPr>
            <w:tcW w:w="0" w:type="auto"/>
            <w:shd w:val="clear" w:color="auto" w:fill="auto"/>
            <w:vAlign w:val="center"/>
          </w:tcPr>
          <w:p w14:paraId="3693F916" w14:textId="77777777" w:rsidR="003734EC" w:rsidRDefault="003734EC">
            <w:pPr>
              <w:rPr>
                <w:rFonts w:ascii="宋体"/>
              </w:rPr>
            </w:pPr>
          </w:p>
        </w:tc>
        <w:tc>
          <w:tcPr>
            <w:tcW w:w="0" w:type="auto"/>
            <w:shd w:val="clear" w:color="auto" w:fill="auto"/>
            <w:vAlign w:val="center"/>
          </w:tcPr>
          <w:p w14:paraId="3693F917" w14:textId="77777777" w:rsidR="003734EC" w:rsidRDefault="003734EC">
            <w:pPr>
              <w:rPr>
                <w:rFonts w:ascii="宋体"/>
              </w:rPr>
            </w:pPr>
          </w:p>
        </w:tc>
        <w:tc>
          <w:tcPr>
            <w:tcW w:w="0" w:type="auto"/>
            <w:shd w:val="clear" w:color="auto" w:fill="auto"/>
            <w:vAlign w:val="center"/>
          </w:tcPr>
          <w:p w14:paraId="3693F918" w14:textId="77777777" w:rsidR="003734EC" w:rsidRDefault="003734EC">
            <w:pPr>
              <w:rPr>
                <w:rFonts w:ascii="宋体"/>
              </w:rPr>
            </w:pPr>
          </w:p>
        </w:tc>
        <w:tc>
          <w:tcPr>
            <w:tcW w:w="0" w:type="auto"/>
            <w:shd w:val="clear" w:color="auto" w:fill="auto"/>
            <w:vAlign w:val="center"/>
          </w:tcPr>
          <w:p w14:paraId="3693F919" w14:textId="77777777" w:rsidR="003734EC" w:rsidRDefault="003734EC">
            <w:pPr>
              <w:rPr>
                <w:rFonts w:ascii="宋体"/>
              </w:rPr>
            </w:pPr>
          </w:p>
        </w:tc>
        <w:tc>
          <w:tcPr>
            <w:tcW w:w="0" w:type="auto"/>
            <w:shd w:val="clear" w:color="auto" w:fill="auto"/>
            <w:vAlign w:val="center"/>
          </w:tcPr>
          <w:p w14:paraId="3693F91A" w14:textId="77777777" w:rsidR="003734EC" w:rsidRDefault="003734EC">
            <w:pPr>
              <w:rPr>
                <w:rFonts w:ascii="宋体"/>
              </w:rPr>
            </w:pPr>
          </w:p>
        </w:tc>
        <w:tc>
          <w:tcPr>
            <w:tcW w:w="0" w:type="auto"/>
            <w:shd w:val="clear" w:color="auto" w:fill="auto"/>
            <w:vAlign w:val="center"/>
          </w:tcPr>
          <w:p w14:paraId="3693F91B" w14:textId="77777777" w:rsidR="003734EC" w:rsidRDefault="003734EC">
            <w:pPr>
              <w:rPr>
                <w:rFonts w:ascii="宋体"/>
              </w:rPr>
            </w:pPr>
          </w:p>
        </w:tc>
        <w:tc>
          <w:tcPr>
            <w:tcW w:w="0" w:type="auto"/>
            <w:shd w:val="clear" w:color="auto" w:fill="auto"/>
            <w:vAlign w:val="center"/>
          </w:tcPr>
          <w:p w14:paraId="3693F91C" w14:textId="77777777" w:rsidR="003734EC" w:rsidRDefault="003734EC">
            <w:pPr>
              <w:rPr>
                <w:rFonts w:ascii="宋体"/>
              </w:rPr>
            </w:pPr>
          </w:p>
        </w:tc>
        <w:tc>
          <w:tcPr>
            <w:tcW w:w="0" w:type="auto"/>
            <w:shd w:val="clear" w:color="auto" w:fill="auto"/>
            <w:vAlign w:val="center"/>
          </w:tcPr>
          <w:p w14:paraId="3693F91D" w14:textId="77777777" w:rsidR="003734EC" w:rsidRDefault="003734EC">
            <w:pPr>
              <w:rPr>
                <w:rFonts w:ascii="宋体"/>
              </w:rPr>
            </w:pPr>
          </w:p>
        </w:tc>
        <w:tc>
          <w:tcPr>
            <w:tcW w:w="0" w:type="auto"/>
            <w:shd w:val="clear" w:color="auto" w:fill="auto"/>
            <w:vAlign w:val="center"/>
          </w:tcPr>
          <w:p w14:paraId="3693F91E" w14:textId="77777777" w:rsidR="003734EC" w:rsidRDefault="003734EC">
            <w:pPr>
              <w:rPr>
                <w:rFonts w:ascii="宋体"/>
              </w:rPr>
            </w:pPr>
          </w:p>
        </w:tc>
      </w:tr>
    </w:tbl>
    <w:p w14:paraId="3693F920" w14:textId="77777777" w:rsidR="003734EC" w:rsidRDefault="000E364E">
      <w:pPr>
        <w:spacing w:after="180"/>
        <w:jc w:val="both"/>
      </w:pPr>
      <w:r>
        <w:rPr>
          <w:rFonts w:ascii="sans-serif" w:eastAsia="sans-serif" w:hAnsi="sans-serif" w:cs="sans-serif"/>
          <w:color w:val="000000"/>
          <w:sz w:val="20"/>
          <w:szCs w:val="20"/>
        </w:rPr>
        <w:t>Revenue for the first quarter was $3.08 billion, up 39% from a year earlier and down 1% sequentially.</w:t>
      </w:r>
    </w:p>
    <w:p w14:paraId="3693F921" w14:textId="77777777" w:rsidR="003734EC" w:rsidRDefault="000E364E">
      <w:pPr>
        <w:spacing w:after="180"/>
        <w:jc w:val="both"/>
      </w:pPr>
      <w:r>
        <w:rPr>
          <w:rFonts w:ascii="sans-serif" w:eastAsia="sans-serif" w:hAnsi="sans-serif" w:cs="sans-serif"/>
          <w:color w:val="000000"/>
          <w:sz w:val="20"/>
          <w:szCs w:val="20"/>
        </w:rPr>
        <w:t>Graphics</w:t>
      </w:r>
      <w:r>
        <w:rPr>
          <w:rFonts w:ascii="sans-serif" w:eastAsia="sans-serif" w:hAnsi="sans-serif" w:cs="sans-serif"/>
          <w:color w:val="000000"/>
          <w:sz w:val="20"/>
          <w:szCs w:val="20"/>
        </w:rPr>
        <w:t xml:space="preserve"> segment revenue for the first quarter was $1.91 billion, up 25% from a year earlier and down 9% sequentially.</w:t>
      </w:r>
    </w:p>
    <w:p w14:paraId="3693F922" w14:textId="77777777" w:rsidR="003734EC" w:rsidRDefault="000E364E">
      <w:pPr>
        <w:spacing w:after="180"/>
        <w:jc w:val="both"/>
      </w:pPr>
      <w:r>
        <w:rPr>
          <w:rFonts w:ascii="sans-serif" w:eastAsia="sans-serif" w:hAnsi="sans-serif" w:cs="sans-serif"/>
          <w:color w:val="000000"/>
          <w:sz w:val="20"/>
          <w:szCs w:val="20"/>
        </w:rPr>
        <w:t>Compute &amp; Networking segment revenue for the first quarter was $1.17 billion, up 69% from a year ago and up 15% sequentially.</w:t>
      </w:r>
    </w:p>
    <w:p w14:paraId="3693F923" w14:textId="77777777" w:rsidR="003734EC" w:rsidRDefault="000E364E">
      <w:pPr>
        <w:spacing w:after="180"/>
        <w:jc w:val="both"/>
      </w:pPr>
      <w:r>
        <w:rPr>
          <w:rFonts w:ascii="sans-serif" w:eastAsia="sans-serif" w:hAnsi="sans-serif" w:cs="sans-serif"/>
          <w:color w:val="000000"/>
          <w:sz w:val="20"/>
          <w:szCs w:val="20"/>
        </w:rPr>
        <w:t>From a market-platf</w:t>
      </w:r>
      <w:r>
        <w:rPr>
          <w:rFonts w:ascii="sans-serif" w:eastAsia="sans-serif" w:hAnsi="sans-serif" w:cs="sans-serif"/>
          <w:color w:val="000000"/>
          <w:sz w:val="20"/>
          <w:szCs w:val="20"/>
        </w:rPr>
        <w:t>orm perspective, Gaming revenue for the first quarter was $1.34 billion, up 27% from a year ago and down 10% sequentially. The year-on-year increase reflects higher sales across our major gaming products. The sequential decrease reflects seasonally lower s</w:t>
      </w:r>
      <w:r>
        <w:rPr>
          <w:rFonts w:ascii="sans-serif" w:eastAsia="sans-serif" w:hAnsi="sans-serif" w:cs="sans-serif"/>
          <w:color w:val="000000"/>
          <w:sz w:val="20"/>
          <w:szCs w:val="20"/>
        </w:rPr>
        <w:t>ales of GeForce desktop GPUs for gaming, partially offset by higher sales of SoCs for gaming platforms and GeForce laptop GPUs.</w:t>
      </w:r>
    </w:p>
    <w:p w14:paraId="3693F924" w14:textId="77777777" w:rsidR="003734EC" w:rsidRDefault="000E364E">
      <w:pPr>
        <w:spacing w:after="180"/>
        <w:jc w:val="both"/>
      </w:pPr>
      <w:r>
        <w:rPr>
          <w:rFonts w:ascii="sans-serif" w:eastAsia="sans-serif" w:hAnsi="sans-serif" w:cs="sans-serif"/>
          <w:color w:val="000000"/>
          <w:sz w:val="20"/>
          <w:szCs w:val="20"/>
        </w:rPr>
        <w:t xml:space="preserve">Professional Visualization revenue for the first quarter was $307 million, up 15% from a year earlier and down 7% sequentially. </w:t>
      </w:r>
      <w:r>
        <w:rPr>
          <w:rFonts w:ascii="sans-serif" w:eastAsia="sans-serif" w:hAnsi="sans-serif" w:cs="sans-serif"/>
          <w:color w:val="000000"/>
          <w:sz w:val="20"/>
          <w:szCs w:val="20"/>
        </w:rPr>
        <w:t>The year-on-year growth reflects strength in laptop and desktop workstations. The sequential decrease was driven by lower sales of desktop workstations, partially offset by strength in laptop workstations.</w:t>
      </w:r>
    </w:p>
    <w:p w14:paraId="3693F925" w14:textId="77777777" w:rsidR="003734EC" w:rsidRDefault="000E364E">
      <w:pPr>
        <w:spacing w:after="180"/>
        <w:jc w:val="both"/>
      </w:pPr>
      <w:r>
        <w:rPr>
          <w:rFonts w:ascii="sans-serif" w:eastAsia="sans-serif" w:hAnsi="sans-serif" w:cs="sans-serif"/>
          <w:color w:val="000000"/>
          <w:sz w:val="20"/>
          <w:szCs w:val="20"/>
        </w:rPr>
        <w:t>Data Center revenue for the first quarter was $1.1</w:t>
      </w:r>
      <w:r>
        <w:rPr>
          <w:rFonts w:ascii="sans-serif" w:eastAsia="sans-serif" w:hAnsi="sans-serif" w:cs="sans-serif"/>
          <w:color w:val="000000"/>
          <w:sz w:val="20"/>
          <w:szCs w:val="20"/>
        </w:rPr>
        <w:t>4 billion, up 80% from a year ago and up 18% sequentially, driven by higher vertical industries and hyperscale demand.</w:t>
      </w:r>
    </w:p>
    <w:p w14:paraId="3693F926" w14:textId="77777777" w:rsidR="003734EC" w:rsidRDefault="000E364E">
      <w:pPr>
        <w:spacing w:after="180"/>
        <w:jc w:val="center"/>
      </w:pPr>
      <w:r>
        <w:rPr>
          <w:rFonts w:ascii="sans-serif" w:eastAsia="sans-serif" w:hAnsi="sans-serif" w:cs="sans-serif"/>
          <w:color w:val="000000"/>
          <w:sz w:val="20"/>
          <w:szCs w:val="20"/>
        </w:rPr>
        <w:t>23</w:t>
      </w:r>
    </w:p>
    <w:p w14:paraId="3693F927" w14:textId="77777777" w:rsidR="003734EC" w:rsidRDefault="000E364E">
      <w:r>
        <w:pict w14:anchorId="3693FF60">
          <v:rect id="_x0000_i1046" style="width:415.3pt;height:1.5pt" o:hralign="center" o:hrstd="t" o:hr="t" fillcolor="#a0a0a0" stroked="f"/>
        </w:pict>
      </w:r>
    </w:p>
    <w:p w14:paraId="3693F928" w14:textId="77777777" w:rsidR="003734EC" w:rsidRDefault="003734EC">
      <w:pPr>
        <w:spacing w:after="180"/>
        <w:jc w:val="both"/>
      </w:pPr>
    </w:p>
    <w:p w14:paraId="3693F929" w14:textId="77777777" w:rsidR="003734EC" w:rsidRDefault="000E364E">
      <w:pPr>
        <w:spacing w:after="180"/>
        <w:jc w:val="both"/>
      </w:pPr>
      <w:r>
        <w:rPr>
          <w:rFonts w:ascii="sans-serif" w:eastAsia="sans-serif" w:hAnsi="sans-serif" w:cs="sans-serif"/>
          <w:color w:val="000000"/>
          <w:sz w:val="20"/>
          <w:szCs w:val="20"/>
        </w:rPr>
        <w:t>Automotive revenue was $155 million, down 7% from a year earlier and down 5% sequentially, primarily reflecting lower legacy infota</w:t>
      </w:r>
      <w:r>
        <w:rPr>
          <w:rFonts w:ascii="sans-serif" w:eastAsia="sans-serif" w:hAnsi="sans-serif" w:cs="sans-serif"/>
          <w:color w:val="000000"/>
          <w:sz w:val="20"/>
          <w:szCs w:val="20"/>
        </w:rPr>
        <w:t>inment revenue.</w:t>
      </w:r>
    </w:p>
    <w:p w14:paraId="3693F92A" w14:textId="77777777" w:rsidR="003734EC" w:rsidRDefault="000E364E">
      <w:pPr>
        <w:spacing w:after="180"/>
        <w:jc w:val="both"/>
      </w:pPr>
      <w:r>
        <w:rPr>
          <w:rFonts w:ascii="sans-serif" w:eastAsia="sans-serif" w:hAnsi="sans-serif" w:cs="sans-serif"/>
          <w:color w:val="000000"/>
          <w:sz w:val="20"/>
          <w:szCs w:val="20"/>
        </w:rPr>
        <w:t>OEM and Other revenue for the first quarter was $138 million, up 39% from a year ago and down 9% sequentially. The year-on-year increase was primarily due to higher demand for entry level laptop GPUs from PC OEMs. The sequential decrease re</w:t>
      </w:r>
      <w:r>
        <w:rPr>
          <w:rFonts w:ascii="sans-serif" w:eastAsia="sans-serif" w:hAnsi="sans-serif" w:cs="sans-serif"/>
          <w:color w:val="000000"/>
          <w:sz w:val="20"/>
          <w:szCs w:val="20"/>
        </w:rPr>
        <w:t>flects seasonally lower sales of entry-level GPUs for PC OEMs.</w:t>
      </w:r>
    </w:p>
    <w:p w14:paraId="3693F92B" w14:textId="77777777" w:rsidR="003734EC" w:rsidRDefault="000E364E">
      <w:pPr>
        <w:spacing w:after="180"/>
        <w:jc w:val="both"/>
      </w:pPr>
      <w:r>
        <w:rPr>
          <w:rFonts w:ascii="sans-serif" w:eastAsia="sans-serif" w:hAnsi="sans-serif" w:cs="sans-serif"/>
          <w:color w:val="000000"/>
          <w:sz w:val="20"/>
          <w:szCs w:val="20"/>
        </w:rPr>
        <w:t xml:space="preserve">Gross margin for the first quarter of fiscal year 2021 was 65.1%, up 670 basis points from a year earlier and up 20 basis points sequentially. The year-on-year increase was primarily driven by </w:t>
      </w:r>
      <w:r>
        <w:rPr>
          <w:rFonts w:ascii="sans-serif" w:eastAsia="sans-serif" w:hAnsi="sans-serif" w:cs="sans-serif"/>
          <w:color w:val="000000"/>
          <w:sz w:val="20"/>
          <w:szCs w:val="20"/>
        </w:rPr>
        <w:t>GeForce GPU product mix and higher Data Center sales. The sequential increase was Data Center, partially offset by product mix in GeForce GPUs.</w:t>
      </w:r>
    </w:p>
    <w:p w14:paraId="3693F92C" w14:textId="77777777" w:rsidR="003734EC" w:rsidRDefault="000E364E">
      <w:pPr>
        <w:spacing w:after="180"/>
        <w:jc w:val="both"/>
      </w:pPr>
      <w:r>
        <w:rPr>
          <w:rFonts w:ascii="sans-serif" w:eastAsia="sans-serif" w:hAnsi="sans-serif" w:cs="sans-serif"/>
          <w:color w:val="000000"/>
          <w:sz w:val="20"/>
          <w:szCs w:val="20"/>
        </w:rPr>
        <w:t xml:space="preserve">Operating expenses for the first quarter of fiscal year 2021 were $1.03 billion, up 10% from a year earlier and </w:t>
      </w:r>
      <w:r>
        <w:rPr>
          <w:rFonts w:ascii="sans-serif" w:eastAsia="sans-serif" w:hAnsi="sans-serif" w:cs="sans-serif"/>
          <w:color w:val="000000"/>
          <w:sz w:val="20"/>
          <w:szCs w:val="20"/>
        </w:rPr>
        <w:t>flat sequentially. The year-on-year growth primarily reflects employee additions and increases in employee compensation and other related costs, including stock-based compensation and infrastructure costs.</w:t>
      </w:r>
    </w:p>
    <w:p w14:paraId="3693F92D" w14:textId="77777777" w:rsidR="003734EC" w:rsidRDefault="000E364E">
      <w:pPr>
        <w:spacing w:after="180"/>
        <w:jc w:val="both"/>
      </w:pPr>
      <w:r>
        <w:rPr>
          <w:rFonts w:ascii="sans-serif" w:eastAsia="sans-serif" w:hAnsi="sans-serif" w:cs="sans-serif"/>
          <w:color w:val="000000"/>
          <w:sz w:val="20"/>
          <w:szCs w:val="20"/>
        </w:rPr>
        <w:t>Income from operations for the first quarter of fi</w:t>
      </w:r>
      <w:r>
        <w:rPr>
          <w:rFonts w:ascii="sans-serif" w:eastAsia="sans-serif" w:hAnsi="sans-serif" w:cs="sans-serif"/>
          <w:color w:val="000000"/>
          <w:sz w:val="20"/>
          <w:szCs w:val="20"/>
        </w:rPr>
        <w:t xml:space="preserve">scal year 2021 was $976 million, up 173% from a year earlier and down 1% sequentially. Net income for the first quarter of fiscal year 2021 was $917 million. Net income per diluted share for the first quarter of fiscal year 2021 were $1.47, up 130% from a </w:t>
      </w:r>
      <w:r>
        <w:rPr>
          <w:rFonts w:ascii="sans-serif" w:eastAsia="sans-serif" w:hAnsi="sans-serif" w:cs="sans-serif"/>
          <w:color w:val="000000"/>
          <w:sz w:val="20"/>
          <w:szCs w:val="20"/>
        </w:rPr>
        <w:t>year earlier and down 4% sequentially.</w:t>
      </w:r>
    </w:p>
    <w:p w14:paraId="3693F92E" w14:textId="77777777" w:rsidR="003734EC" w:rsidRDefault="000E364E">
      <w:pPr>
        <w:spacing w:after="180"/>
        <w:jc w:val="both"/>
      </w:pPr>
      <w:r>
        <w:rPr>
          <w:rFonts w:ascii="sans-serif" w:eastAsia="sans-serif" w:hAnsi="sans-serif" w:cs="sans-serif"/>
          <w:color w:val="000000"/>
          <w:sz w:val="20"/>
          <w:szCs w:val="20"/>
        </w:rPr>
        <w:t>In the first quarter of fiscal year 2021, we paid dividends of $98 million. Due to the current market uncertainties, we are evaluating the timing of resuming share repurchases and will remain nimble based on market conditions. We are currently authorized t</w:t>
      </w:r>
      <w:r>
        <w:rPr>
          <w:rFonts w:ascii="sans-serif" w:eastAsia="sans-serif" w:hAnsi="sans-serif" w:cs="sans-serif"/>
          <w:color w:val="000000"/>
          <w:sz w:val="20"/>
          <w:szCs w:val="20"/>
        </w:rPr>
        <w:t xml:space="preserve">o repurchase up to $7.24 billion through December 2022. We remain committed to paying quarterly dividends. </w:t>
      </w:r>
    </w:p>
    <w:p w14:paraId="3693F92F" w14:textId="77777777" w:rsidR="003734EC" w:rsidRDefault="000E364E">
      <w:pPr>
        <w:spacing w:after="180"/>
        <w:jc w:val="both"/>
      </w:pPr>
      <w:r>
        <w:rPr>
          <w:rFonts w:ascii="sans-serif" w:eastAsia="sans-serif" w:hAnsi="sans-serif" w:cs="sans-serif"/>
          <w:color w:val="000000"/>
          <w:sz w:val="20"/>
          <w:szCs w:val="20"/>
        </w:rPr>
        <w:t>Cash, cash equivalents and marketable securities at the end of the first quarter were $16.35 billion, up from $7.80 billion a year earlier and $10.9</w:t>
      </w:r>
      <w:r>
        <w:rPr>
          <w:rFonts w:ascii="sans-serif" w:eastAsia="sans-serif" w:hAnsi="sans-serif" w:cs="sans-serif"/>
          <w:color w:val="000000"/>
          <w:sz w:val="20"/>
          <w:szCs w:val="20"/>
        </w:rPr>
        <w:t>0 billion in the prior quarter, reflecting the issuance of $5 billion of March 2020 Notes and strong operating cash flow.</w:t>
      </w:r>
    </w:p>
    <w:p w14:paraId="3693F930" w14:textId="77777777" w:rsidR="003734EC" w:rsidRDefault="000E364E">
      <w:pPr>
        <w:spacing w:after="180"/>
        <w:jc w:val="both"/>
      </w:pPr>
      <w:r>
        <w:rPr>
          <w:rFonts w:ascii="sans-serif" w:eastAsia="sans-serif" w:hAnsi="sans-serif" w:cs="sans-serif"/>
          <w:color w:val="000000"/>
          <w:sz w:val="20"/>
          <w:szCs w:val="20"/>
        </w:rPr>
        <w:t>Subsequent to the end of the first quarter of fiscal year 2021, we closed the acquisition of Mellanox for a transaction value of appro</w:t>
      </w:r>
      <w:r>
        <w:rPr>
          <w:rFonts w:ascii="sans-serif" w:eastAsia="sans-serif" w:hAnsi="sans-serif" w:cs="sans-serif"/>
          <w:color w:val="000000"/>
          <w:sz w:val="20"/>
          <w:szCs w:val="20"/>
        </w:rPr>
        <w:t>ximately $7.0 billion in cash on April 27, 2020.</w:t>
      </w:r>
    </w:p>
    <w:p w14:paraId="3693F931" w14:textId="77777777" w:rsidR="003734EC" w:rsidRDefault="000E364E">
      <w:pPr>
        <w:spacing w:before="120" w:after="120"/>
        <w:jc w:val="both"/>
      </w:pPr>
      <w:r>
        <w:rPr>
          <w:rFonts w:ascii="sans-serif" w:eastAsia="sans-serif" w:hAnsi="sans-serif" w:cs="sans-serif"/>
          <w:b/>
          <w:bCs/>
          <w:color w:val="000000"/>
          <w:sz w:val="20"/>
          <w:szCs w:val="20"/>
        </w:rPr>
        <w:t>Market Platform Highlights</w:t>
      </w:r>
    </w:p>
    <w:p w14:paraId="3693F932" w14:textId="77777777" w:rsidR="003734EC" w:rsidRDefault="000E364E">
      <w:pPr>
        <w:spacing w:after="180"/>
        <w:jc w:val="both"/>
      </w:pPr>
      <w:r>
        <w:rPr>
          <w:rFonts w:ascii="sans-serif" w:eastAsia="sans-serif" w:hAnsi="sans-serif" w:cs="sans-serif"/>
          <w:color w:val="000000"/>
          <w:sz w:val="20"/>
          <w:szCs w:val="20"/>
        </w:rPr>
        <w:t xml:space="preserve">During the first quarter of fiscal year 2021, in our Gaming platform, we launched Minecraft with RTX as an open beta on Windows 10; announced the release of laptop models </w:t>
      </w:r>
      <w:r>
        <w:rPr>
          <w:rFonts w:ascii="sans-serif" w:eastAsia="sans-serif" w:hAnsi="sans-serif" w:cs="sans-serif"/>
          <w:color w:val="000000"/>
          <w:sz w:val="20"/>
          <w:szCs w:val="20"/>
        </w:rPr>
        <w:t>powered by NVIDIA GeForce GPUs; expanded the RTX Studio lineup powered by new GeForce RTX SUPER GPUs; released DLSS 2.0; and expanded NVIDIA GeForce NOW.</w:t>
      </w:r>
    </w:p>
    <w:p w14:paraId="3693F933" w14:textId="77777777" w:rsidR="003734EC" w:rsidRDefault="000E364E">
      <w:pPr>
        <w:spacing w:after="180"/>
        <w:jc w:val="both"/>
      </w:pPr>
      <w:r>
        <w:rPr>
          <w:rFonts w:ascii="sans-serif" w:eastAsia="sans-serif" w:hAnsi="sans-serif" w:cs="sans-serif"/>
          <w:color w:val="000000"/>
          <w:sz w:val="20"/>
          <w:szCs w:val="20"/>
        </w:rPr>
        <w:t>In our Professional Visualization platform, we powered Autodesk’s latest 3D visualization software wit</w:t>
      </w:r>
      <w:r>
        <w:rPr>
          <w:rFonts w:ascii="sans-serif" w:eastAsia="sans-serif" w:hAnsi="sans-serif" w:cs="sans-serif"/>
          <w:color w:val="000000"/>
          <w:sz w:val="20"/>
          <w:szCs w:val="20"/>
        </w:rPr>
        <w:t>h NVIDIA Quadro RTX; accelerated Altair's engineering software with NVIDIA CUDA; and brought Quadro professional graphics to HP's mobile workstation lineup.</w:t>
      </w:r>
    </w:p>
    <w:p w14:paraId="3693F934" w14:textId="77777777" w:rsidR="003734EC" w:rsidRDefault="000E364E">
      <w:pPr>
        <w:spacing w:before="120" w:after="120"/>
        <w:jc w:val="both"/>
      </w:pPr>
      <w:r>
        <w:rPr>
          <w:rFonts w:ascii="sans-serif" w:eastAsia="sans-serif" w:hAnsi="sans-serif" w:cs="sans-serif"/>
          <w:color w:val="000000"/>
          <w:sz w:val="20"/>
          <w:szCs w:val="20"/>
        </w:rPr>
        <w:t>In our Data Center platform, we introduced NVIDIA A100 data center GPU, the first based on the NVID</w:t>
      </w:r>
      <w:r>
        <w:rPr>
          <w:rFonts w:ascii="sans-serif" w:eastAsia="sans-serif" w:hAnsi="sans-serif" w:cs="sans-serif"/>
          <w:color w:val="000000"/>
          <w:sz w:val="20"/>
          <w:szCs w:val="20"/>
        </w:rPr>
        <w:t>IA Ampere architecture; launched the NVIDIA DGX A100; introduced two products for the EGX Edge AI platform; released NVIDIA Jarvis; collaborated with the open-source community to bring end-to-end GPU acceleration to Apache Spark 3.0; and announced NVIDIA M</w:t>
      </w:r>
      <w:r>
        <w:rPr>
          <w:rFonts w:ascii="sans-serif" w:eastAsia="sans-serif" w:hAnsi="sans-serif" w:cs="sans-serif"/>
          <w:color w:val="000000"/>
          <w:sz w:val="20"/>
          <w:szCs w:val="20"/>
        </w:rPr>
        <w:t>erlin.</w:t>
      </w:r>
    </w:p>
    <w:p w14:paraId="3693F935" w14:textId="77777777" w:rsidR="003734EC" w:rsidRDefault="000E364E">
      <w:pPr>
        <w:spacing w:before="120" w:after="120"/>
        <w:jc w:val="both"/>
      </w:pPr>
      <w:r>
        <w:rPr>
          <w:rFonts w:ascii="sans-serif" w:eastAsia="sans-serif" w:hAnsi="sans-serif" w:cs="sans-serif"/>
          <w:b/>
          <w:bCs/>
          <w:color w:val="000000"/>
          <w:sz w:val="20"/>
          <w:szCs w:val="20"/>
        </w:rPr>
        <w:t>Financial Information by Business Segment and Geographic Data</w:t>
      </w:r>
    </w:p>
    <w:p w14:paraId="3693F936" w14:textId="77777777" w:rsidR="003734EC" w:rsidRDefault="000E364E">
      <w:pPr>
        <w:spacing w:after="180"/>
        <w:jc w:val="both"/>
      </w:pPr>
      <w:r>
        <w:rPr>
          <w:rFonts w:ascii="sans-serif" w:eastAsia="sans-serif" w:hAnsi="sans-serif" w:cs="sans-serif"/>
          <w:color w:val="000000"/>
          <w:sz w:val="20"/>
          <w:szCs w:val="20"/>
        </w:rPr>
        <w:t>Refer to Note 15 of the Notes to Condensed Consolidated Financial Statements for disclosure regarding segment information.</w:t>
      </w:r>
    </w:p>
    <w:p w14:paraId="3693F937" w14:textId="77777777" w:rsidR="003734EC" w:rsidRDefault="000E364E">
      <w:pPr>
        <w:spacing w:after="180"/>
        <w:jc w:val="center"/>
      </w:pPr>
      <w:r>
        <w:rPr>
          <w:rFonts w:ascii="sans-serif" w:eastAsia="sans-serif" w:hAnsi="sans-serif" w:cs="sans-serif"/>
          <w:color w:val="000000"/>
          <w:sz w:val="20"/>
          <w:szCs w:val="20"/>
        </w:rPr>
        <w:t>24</w:t>
      </w:r>
    </w:p>
    <w:p w14:paraId="3693F938" w14:textId="77777777" w:rsidR="003734EC" w:rsidRDefault="000E364E">
      <w:r>
        <w:pict w14:anchorId="3693FF61">
          <v:rect id="_x0000_i1047" style="width:415.3pt;height:1.5pt" o:hralign="center" o:hrstd="t" o:hr="t" fillcolor="#a0a0a0" stroked="f"/>
        </w:pict>
      </w:r>
    </w:p>
    <w:p w14:paraId="3693F939" w14:textId="77777777" w:rsidR="003734EC" w:rsidRDefault="003734EC">
      <w:pPr>
        <w:spacing w:after="180"/>
        <w:jc w:val="both"/>
      </w:pPr>
    </w:p>
    <w:p w14:paraId="3693F93A" w14:textId="77777777" w:rsidR="003734EC" w:rsidRDefault="000E364E">
      <w:pPr>
        <w:spacing w:before="240" w:after="120"/>
        <w:jc w:val="both"/>
      </w:pPr>
      <w:r>
        <w:rPr>
          <w:rFonts w:ascii="sans-serif" w:eastAsia="sans-serif" w:hAnsi="sans-serif" w:cs="sans-serif"/>
          <w:b/>
          <w:bCs/>
          <w:color w:val="76B900"/>
          <w:sz w:val="22"/>
          <w:szCs w:val="22"/>
        </w:rPr>
        <w:t>Results of Operations</w:t>
      </w:r>
    </w:p>
    <w:p w14:paraId="3693F93B" w14:textId="77777777" w:rsidR="003734EC" w:rsidRDefault="000E364E">
      <w:pPr>
        <w:spacing w:after="180"/>
        <w:jc w:val="both"/>
      </w:pPr>
      <w:r>
        <w:rPr>
          <w:rFonts w:ascii="sans-serif" w:eastAsia="sans-serif" w:hAnsi="sans-serif" w:cs="sans-serif"/>
          <w:color w:val="000000"/>
          <w:sz w:val="20"/>
          <w:szCs w:val="20"/>
        </w:rPr>
        <w:t xml:space="preserve">The following table sets forth, for </w:t>
      </w:r>
      <w:r>
        <w:rPr>
          <w:rFonts w:ascii="sans-serif" w:eastAsia="sans-serif" w:hAnsi="sans-serif" w:cs="sans-serif"/>
          <w:color w:val="000000"/>
          <w:sz w:val="20"/>
          <w:szCs w:val="20"/>
        </w:rPr>
        <w:t>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8"/>
        <w:gridCol w:w="5605"/>
        <w:gridCol w:w="48"/>
        <w:gridCol w:w="48"/>
        <w:gridCol w:w="870"/>
        <w:gridCol w:w="178"/>
        <w:gridCol w:w="36"/>
        <w:gridCol w:w="36"/>
        <w:gridCol w:w="36"/>
        <w:gridCol w:w="43"/>
        <w:gridCol w:w="850"/>
        <w:gridCol w:w="178"/>
        <w:gridCol w:w="36"/>
        <w:gridCol w:w="36"/>
        <w:gridCol w:w="36"/>
        <w:gridCol w:w="36"/>
        <w:gridCol w:w="36"/>
        <w:gridCol w:w="36"/>
        <w:gridCol w:w="36"/>
        <w:gridCol w:w="36"/>
        <w:gridCol w:w="36"/>
        <w:gridCol w:w="36"/>
      </w:tblGrid>
      <w:tr w:rsidR="003734EC" w14:paraId="3693F94C" w14:textId="77777777">
        <w:trPr>
          <w:gridAfter w:val="6"/>
        </w:trPr>
        <w:tc>
          <w:tcPr>
            <w:tcW w:w="50" w:type="pct"/>
            <w:shd w:val="clear" w:color="auto" w:fill="auto"/>
            <w:vAlign w:val="center"/>
          </w:tcPr>
          <w:p w14:paraId="3693F93C" w14:textId="77777777" w:rsidR="003734EC" w:rsidRDefault="003734EC">
            <w:pPr>
              <w:rPr>
                <w:rFonts w:ascii="宋体"/>
              </w:rPr>
            </w:pPr>
          </w:p>
        </w:tc>
        <w:tc>
          <w:tcPr>
            <w:tcW w:w="3533" w:type="pct"/>
            <w:shd w:val="clear" w:color="auto" w:fill="auto"/>
            <w:vAlign w:val="center"/>
          </w:tcPr>
          <w:p w14:paraId="3693F93D" w14:textId="77777777" w:rsidR="003734EC" w:rsidRDefault="003734EC">
            <w:pPr>
              <w:rPr>
                <w:rFonts w:ascii="宋体"/>
              </w:rPr>
            </w:pPr>
          </w:p>
        </w:tc>
        <w:tc>
          <w:tcPr>
            <w:tcW w:w="50" w:type="pct"/>
            <w:shd w:val="clear" w:color="auto" w:fill="auto"/>
            <w:vAlign w:val="center"/>
          </w:tcPr>
          <w:p w14:paraId="3693F93E" w14:textId="77777777" w:rsidR="003734EC" w:rsidRDefault="003734EC">
            <w:pPr>
              <w:rPr>
                <w:rFonts w:ascii="宋体"/>
              </w:rPr>
            </w:pPr>
          </w:p>
        </w:tc>
        <w:tc>
          <w:tcPr>
            <w:tcW w:w="50" w:type="pct"/>
            <w:shd w:val="clear" w:color="auto" w:fill="auto"/>
            <w:vAlign w:val="center"/>
          </w:tcPr>
          <w:p w14:paraId="3693F93F" w14:textId="77777777" w:rsidR="003734EC" w:rsidRDefault="003734EC">
            <w:pPr>
              <w:rPr>
                <w:rFonts w:ascii="宋体"/>
              </w:rPr>
            </w:pPr>
          </w:p>
        </w:tc>
        <w:tc>
          <w:tcPr>
            <w:tcW w:w="565" w:type="pct"/>
            <w:shd w:val="clear" w:color="auto" w:fill="auto"/>
            <w:vAlign w:val="center"/>
          </w:tcPr>
          <w:p w14:paraId="3693F940" w14:textId="77777777" w:rsidR="003734EC" w:rsidRDefault="003734EC">
            <w:pPr>
              <w:rPr>
                <w:rFonts w:ascii="宋体"/>
              </w:rPr>
            </w:pPr>
          </w:p>
        </w:tc>
        <w:tc>
          <w:tcPr>
            <w:tcW w:w="50" w:type="pct"/>
            <w:shd w:val="clear" w:color="auto" w:fill="auto"/>
            <w:vAlign w:val="center"/>
          </w:tcPr>
          <w:p w14:paraId="3693F941" w14:textId="77777777" w:rsidR="003734EC" w:rsidRDefault="003734EC">
            <w:pPr>
              <w:rPr>
                <w:rFonts w:ascii="宋体"/>
              </w:rPr>
            </w:pPr>
          </w:p>
        </w:tc>
        <w:tc>
          <w:tcPr>
            <w:tcW w:w="5" w:type="pct"/>
            <w:shd w:val="clear" w:color="auto" w:fill="auto"/>
            <w:vAlign w:val="center"/>
          </w:tcPr>
          <w:p w14:paraId="3693F942" w14:textId="77777777" w:rsidR="003734EC" w:rsidRDefault="003734EC">
            <w:pPr>
              <w:rPr>
                <w:rFonts w:ascii="宋体"/>
              </w:rPr>
            </w:pPr>
          </w:p>
        </w:tc>
        <w:tc>
          <w:tcPr>
            <w:tcW w:w="26" w:type="pct"/>
            <w:shd w:val="clear" w:color="auto" w:fill="auto"/>
            <w:vAlign w:val="center"/>
          </w:tcPr>
          <w:p w14:paraId="3693F943" w14:textId="77777777" w:rsidR="003734EC" w:rsidRDefault="003734EC">
            <w:pPr>
              <w:rPr>
                <w:rFonts w:ascii="宋体"/>
              </w:rPr>
            </w:pPr>
          </w:p>
        </w:tc>
        <w:tc>
          <w:tcPr>
            <w:tcW w:w="5" w:type="pct"/>
            <w:shd w:val="clear" w:color="auto" w:fill="auto"/>
            <w:vAlign w:val="center"/>
          </w:tcPr>
          <w:p w14:paraId="3693F944" w14:textId="77777777" w:rsidR="003734EC" w:rsidRDefault="003734EC">
            <w:pPr>
              <w:rPr>
                <w:rFonts w:ascii="宋体"/>
              </w:rPr>
            </w:pPr>
          </w:p>
        </w:tc>
        <w:tc>
          <w:tcPr>
            <w:tcW w:w="50" w:type="pct"/>
            <w:shd w:val="clear" w:color="auto" w:fill="auto"/>
            <w:vAlign w:val="center"/>
          </w:tcPr>
          <w:p w14:paraId="3693F945" w14:textId="77777777" w:rsidR="003734EC" w:rsidRDefault="003734EC">
            <w:pPr>
              <w:rPr>
                <w:rFonts w:ascii="宋体"/>
              </w:rPr>
            </w:pPr>
          </w:p>
        </w:tc>
        <w:tc>
          <w:tcPr>
            <w:tcW w:w="565" w:type="pct"/>
            <w:shd w:val="clear" w:color="auto" w:fill="auto"/>
            <w:vAlign w:val="center"/>
          </w:tcPr>
          <w:p w14:paraId="3693F946" w14:textId="77777777" w:rsidR="003734EC" w:rsidRDefault="003734EC">
            <w:pPr>
              <w:rPr>
                <w:rFonts w:ascii="宋体"/>
              </w:rPr>
            </w:pPr>
          </w:p>
        </w:tc>
        <w:tc>
          <w:tcPr>
            <w:tcW w:w="50" w:type="pct"/>
            <w:shd w:val="clear" w:color="auto" w:fill="auto"/>
            <w:vAlign w:val="center"/>
          </w:tcPr>
          <w:p w14:paraId="3693F947" w14:textId="77777777" w:rsidR="003734EC" w:rsidRDefault="003734EC">
            <w:pPr>
              <w:rPr>
                <w:rFonts w:ascii="宋体"/>
              </w:rPr>
            </w:pPr>
          </w:p>
        </w:tc>
        <w:tc>
          <w:tcPr>
            <w:tcW w:w="0" w:type="auto"/>
            <w:shd w:val="clear" w:color="auto" w:fill="auto"/>
            <w:vAlign w:val="center"/>
          </w:tcPr>
          <w:p w14:paraId="3693F948" w14:textId="77777777" w:rsidR="003734EC" w:rsidRDefault="003734EC">
            <w:pPr>
              <w:rPr>
                <w:rFonts w:ascii="宋体"/>
                <w:vanish/>
              </w:rPr>
            </w:pPr>
          </w:p>
        </w:tc>
        <w:tc>
          <w:tcPr>
            <w:tcW w:w="0" w:type="auto"/>
            <w:shd w:val="clear" w:color="auto" w:fill="auto"/>
            <w:vAlign w:val="center"/>
          </w:tcPr>
          <w:p w14:paraId="3693F949" w14:textId="77777777" w:rsidR="003734EC" w:rsidRDefault="003734EC">
            <w:pPr>
              <w:rPr>
                <w:rFonts w:ascii="宋体"/>
                <w:vanish/>
              </w:rPr>
            </w:pPr>
          </w:p>
        </w:tc>
        <w:tc>
          <w:tcPr>
            <w:tcW w:w="0" w:type="auto"/>
            <w:shd w:val="clear" w:color="auto" w:fill="auto"/>
            <w:vAlign w:val="center"/>
          </w:tcPr>
          <w:p w14:paraId="3693F94A" w14:textId="77777777" w:rsidR="003734EC" w:rsidRDefault="003734EC">
            <w:pPr>
              <w:rPr>
                <w:rFonts w:ascii="宋体"/>
                <w:vanish/>
              </w:rPr>
            </w:pPr>
          </w:p>
        </w:tc>
        <w:tc>
          <w:tcPr>
            <w:tcW w:w="0" w:type="auto"/>
            <w:shd w:val="clear" w:color="auto" w:fill="auto"/>
            <w:vAlign w:val="center"/>
          </w:tcPr>
          <w:p w14:paraId="3693F94B" w14:textId="77777777" w:rsidR="003734EC" w:rsidRDefault="003734EC">
            <w:pPr>
              <w:rPr>
                <w:rFonts w:ascii="宋体"/>
                <w:vanish/>
              </w:rPr>
            </w:pPr>
          </w:p>
        </w:tc>
      </w:tr>
      <w:tr w:rsidR="003734EC" w14:paraId="3693F955" w14:textId="77777777">
        <w:tc>
          <w:tcPr>
            <w:tcW w:w="0" w:type="auto"/>
            <w:gridSpan w:val="3"/>
            <w:shd w:val="clear" w:color="auto" w:fill="auto"/>
            <w:tcMar>
              <w:top w:w="40" w:type="dxa"/>
              <w:left w:w="20" w:type="dxa"/>
              <w:bottom w:w="40" w:type="dxa"/>
              <w:right w:w="20" w:type="dxa"/>
            </w:tcMar>
            <w:vAlign w:val="bottom"/>
          </w:tcPr>
          <w:p w14:paraId="3693F94D" w14:textId="77777777" w:rsidR="003734EC" w:rsidRDefault="000E364E">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94E"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94F" w14:textId="77777777" w:rsidR="003734EC" w:rsidRDefault="003734EC">
            <w:pPr>
              <w:rPr>
                <w:rFonts w:ascii="宋体"/>
                <w:vanish/>
              </w:rPr>
            </w:pPr>
          </w:p>
        </w:tc>
        <w:tc>
          <w:tcPr>
            <w:tcW w:w="0" w:type="auto"/>
            <w:shd w:val="clear" w:color="auto" w:fill="auto"/>
            <w:vAlign w:val="center"/>
          </w:tcPr>
          <w:p w14:paraId="3693F950" w14:textId="77777777" w:rsidR="003734EC" w:rsidRDefault="003734EC">
            <w:pPr>
              <w:rPr>
                <w:rFonts w:ascii="宋体"/>
                <w:vanish/>
              </w:rPr>
            </w:pPr>
          </w:p>
        </w:tc>
        <w:tc>
          <w:tcPr>
            <w:tcW w:w="0" w:type="auto"/>
            <w:shd w:val="clear" w:color="auto" w:fill="auto"/>
            <w:vAlign w:val="center"/>
          </w:tcPr>
          <w:p w14:paraId="3693F951" w14:textId="77777777" w:rsidR="003734EC" w:rsidRDefault="003734EC">
            <w:pPr>
              <w:rPr>
                <w:rFonts w:ascii="宋体"/>
                <w:vanish/>
              </w:rPr>
            </w:pPr>
          </w:p>
        </w:tc>
        <w:tc>
          <w:tcPr>
            <w:tcW w:w="0" w:type="auto"/>
            <w:shd w:val="clear" w:color="auto" w:fill="auto"/>
            <w:vAlign w:val="center"/>
          </w:tcPr>
          <w:p w14:paraId="3693F952" w14:textId="77777777" w:rsidR="003734EC" w:rsidRDefault="003734EC">
            <w:pPr>
              <w:rPr>
                <w:rFonts w:ascii="宋体"/>
                <w:vanish/>
              </w:rPr>
            </w:pPr>
          </w:p>
        </w:tc>
        <w:tc>
          <w:tcPr>
            <w:tcW w:w="0" w:type="auto"/>
            <w:gridSpan w:val="3"/>
            <w:shd w:val="clear" w:color="auto" w:fill="auto"/>
            <w:vAlign w:val="center"/>
          </w:tcPr>
          <w:p w14:paraId="3693F953" w14:textId="77777777" w:rsidR="003734EC" w:rsidRDefault="003734EC">
            <w:pPr>
              <w:rPr>
                <w:rFonts w:ascii="宋体"/>
                <w:vanish/>
              </w:rPr>
            </w:pPr>
          </w:p>
        </w:tc>
        <w:tc>
          <w:tcPr>
            <w:tcW w:w="0" w:type="auto"/>
            <w:gridSpan w:val="3"/>
            <w:shd w:val="clear" w:color="auto" w:fill="auto"/>
            <w:vAlign w:val="center"/>
          </w:tcPr>
          <w:p w14:paraId="3693F954" w14:textId="77777777" w:rsidR="003734EC" w:rsidRDefault="003734EC">
            <w:pPr>
              <w:rPr>
                <w:rFonts w:ascii="宋体"/>
                <w:vanish/>
              </w:rPr>
            </w:pPr>
          </w:p>
        </w:tc>
      </w:tr>
      <w:tr w:rsidR="003734EC" w14:paraId="3693F964" w14:textId="77777777">
        <w:tc>
          <w:tcPr>
            <w:tcW w:w="0" w:type="auto"/>
            <w:gridSpan w:val="3"/>
            <w:shd w:val="clear" w:color="auto" w:fill="auto"/>
            <w:tcMar>
              <w:top w:w="40" w:type="dxa"/>
              <w:left w:w="20" w:type="dxa"/>
              <w:bottom w:w="40" w:type="dxa"/>
              <w:right w:w="20" w:type="dxa"/>
            </w:tcMar>
            <w:vAlign w:val="bottom"/>
          </w:tcPr>
          <w:p w14:paraId="3693F956" w14:textId="77777777" w:rsidR="003734EC" w:rsidRDefault="000E364E">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957" w14:textId="77777777" w:rsidR="003734EC" w:rsidRDefault="000E364E">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3693F958"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959" w14:textId="77777777" w:rsidR="003734EC" w:rsidRDefault="000E364E">
            <w:pPr>
              <w:jc w:val="center"/>
              <w:textAlignment w:val="bottom"/>
            </w:pPr>
            <w:r>
              <w:rPr>
                <w:rFonts w:ascii="sans-serif" w:eastAsia="sans-serif" w:hAnsi="sans-serif" w:cs="sans-serif"/>
                <w:b/>
                <w:bCs/>
                <w:color w:val="000000"/>
                <w:sz w:val="20"/>
                <w:szCs w:val="20"/>
              </w:rPr>
              <w:t>April 28,</w:t>
            </w:r>
            <w:r>
              <w:rPr>
                <w:rFonts w:ascii="sans-serif" w:eastAsia="sans-serif" w:hAnsi="sans-serif" w:cs="sans-serif"/>
                <w:b/>
                <w:bCs/>
                <w:color w:val="000000"/>
                <w:sz w:val="20"/>
                <w:szCs w:val="20"/>
              </w:rPr>
              <w:br/>
              <w:t>2019</w:t>
            </w:r>
          </w:p>
        </w:tc>
        <w:tc>
          <w:tcPr>
            <w:tcW w:w="0" w:type="auto"/>
            <w:shd w:val="clear" w:color="auto" w:fill="auto"/>
            <w:vAlign w:val="center"/>
          </w:tcPr>
          <w:p w14:paraId="3693F95A" w14:textId="77777777" w:rsidR="003734EC" w:rsidRDefault="003734EC">
            <w:pPr>
              <w:rPr>
                <w:rFonts w:ascii="宋体"/>
                <w:vanish/>
              </w:rPr>
            </w:pPr>
          </w:p>
        </w:tc>
        <w:tc>
          <w:tcPr>
            <w:tcW w:w="0" w:type="auto"/>
            <w:shd w:val="clear" w:color="auto" w:fill="auto"/>
            <w:vAlign w:val="center"/>
          </w:tcPr>
          <w:p w14:paraId="3693F95B" w14:textId="77777777" w:rsidR="003734EC" w:rsidRDefault="003734EC">
            <w:pPr>
              <w:rPr>
                <w:rFonts w:ascii="宋体"/>
                <w:vanish/>
              </w:rPr>
            </w:pPr>
          </w:p>
        </w:tc>
        <w:tc>
          <w:tcPr>
            <w:tcW w:w="0" w:type="auto"/>
            <w:shd w:val="clear" w:color="auto" w:fill="auto"/>
            <w:vAlign w:val="center"/>
          </w:tcPr>
          <w:p w14:paraId="3693F95C" w14:textId="77777777" w:rsidR="003734EC" w:rsidRDefault="003734EC">
            <w:pPr>
              <w:rPr>
                <w:rFonts w:ascii="宋体"/>
                <w:vanish/>
              </w:rPr>
            </w:pPr>
          </w:p>
        </w:tc>
        <w:tc>
          <w:tcPr>
            <w:tcW w:w="0" w:type="auto"/>
            <w:shd w:val="clear" w:color="auto" w:fill="auto"/>
            <w:vAlign w:val="center"/>
          </w:tcPr>
          <w:p w14:paraId="3693F95D" w14:textId="77777777" w:rsidR="003734EC" w:rsidRDefault="003734EC">
            <w:pPr>
              <w:rPr>
                <w:rFonts w:ascii="宋体"/>
                <w:vanish/>
              </w:rPr>
            </w:pPr>
          </w:p>
        </w:tc>
        <w:tc>
          <w:tcPr>
            <w:tcW w:w="0" w:type="auto"/>
            <w:shd w:val="clear" w:color="auto" w:fill="auto"/>
            <w:vAlign w:val="center"/>
          </w:tcPr>
          <w:p w14:paraId="3693F95E" w14:textId="77777777" w:rsidR="003734EC" w:rsidRDefault="003734EC">
            <w:pPr>
              <w:rPr>
                <w:rFonts w:ascii="宋体"/>
              </w:rPr>
            </w:pPr>
          </w:p>
        </w:tc>
        <w:tc>
          <w:tcPr>
            <w:tcW w:w="0" w:type="auto"/>
            <w:shd w:val="clear" w:color="auto" w:fill="auto"/>
            <w:vAlign w:val="center"/>
          </w:tcPr>
          <w:p w14:paraId="3693F95F" w14:textId="77777777" w:rsidR="003734EC" w:rsidRDefault="003734EC">
            <w:pPr>
              <w:rPr>
                <w:rFonts w:ascii="宋体"/>
              </w:rPr>
            </w:pPr>
          </w:p>
        </w:tc>
        <w:tc>
          <w:tcPr>
            <w:tcW w:w="0" w:type="auto"/>
            <w:shd w:val="clear" w:color="auto" w:fill="auto"/>
            <w:vAlign w:val="center"/>
          </w:tcPr>
          <w:p w14:paraId="3693F960" w14:textId="77777777" w:rsidR="003734EC" w:rsidRDefault="003734EC">
            <w:pPr>
              <w:rPr>
                <w:rFonts w:ascii="宋体"/>
              </w:rPr>
            </w:pPr>
          </w:p>
        </w:tc>
        <w:tc>
          <w:tcPr>
            <w:tcW w:w="0" w:type="auto"/>
            <w:shd w:val="clear" w:color="auto" w:fill="auto"/>
            <w:vAlign w:val="center"/>
          </w:tcPr>
          <w:p w14:paraId="3693F961" w14:textId="77777777" w:rsidR="003734EC" w:rsidRDefault="003734EC">
            <w:pPr>
              <w:rPr>
                <w:rFonts w:ascii="宋体"/>
              </w:rPr>
            </w:pPr>
          </w:p>
        </w:tc>
        <w:tc>
          <w:tcPr>
            <w:tcW w:w="0" w:type="auto"/>
            <w:shd w:val="clear" w:color="auto" w:fill="auto"/>
            <w:vAlign w:val="center"/>
          </w:tcPr>
          <w:p w14:paraId="3693F962" w14:textId="77777777" w:rsidR="003734EC" w:rsidRDefault="003734EC">
            <w:pPr>
              <w:rPr>
                <w:rFonts w:ascii="宋体"/>
              </w:rPr>
            </w:pPr>
          </w:p>
        </w:tc>
        <w:tc>
          <w:tcPr>
            <w:tcW w:w="0" w:type="auto"/>
            <w:shd w:val="clear" w:color="auto" w:fill="auto"/>
            <w:vAlign w:val="center"/>
          </w:tcPr>
          <w:p w14:paraId="3693F963" w14:textId="77777777" w:rsidR="003734EC" w:rsidRDefault="003734EC">
            <w:pPr>
              <w:rPr>
                <w:rFonts w:ascii="宋体"/>
              </w:rPr>
            </w:pPr>
          </w:p>
        </w:tc>
      </w:tr>
      <w:tr w:rsidR="003734EC" w14:paraId="3693F975" w14:textId="77777777">
        <w:tc>
          <w:tcPr>
            <w:tcW w:w="0" w:type="auto"/>
            <w:gridSpan w:val="3"/>
            <w:shd w:val="clear" w:color="auto" w:fill="E2EFD9"/>
            <w:tcMar>
              <w:top w:w="40" w:type="dxa"/>
              <w:left w:w="20" w:type="dxa"/>
              <w:bottom w:w="40" w:type="dxa"/>
              <w:right w:w="20" w:type="dxa"/>
            </w:tcMar>
            <w:vAlign w:val="bottom"/>
          </w:tcPr>
          <w:p w14:paraId="3693F965" w14:textId="77777777" w:rsidR="003734EC" w:rsidRDefault="000E364E">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66"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3693F967"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3693F968"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69" w14:textId="77777777" w:rsidR="003734EC" w:rsidRDefault="000E364E">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3693F96A"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96B" w14:textId="77777777" w:rsidR="003734EC" w:rsidRDefault="003734EC">
            <w:pPr>
              <w:rPr>
                <w:rFonts w:ascii="宋体"/>
                <w:vanish/>
              </w:rPr>
            </w:pPr>
          </w:p>
        </w:tc>
        <w:tc>
          <w:tcPr>
            <w:tcW w:w="0" w:type="auto"/>
            <w:shd w:val="clear" w:color="auto" w:fill="auto"/>
            <w:vAlign w:val="center"/>
          </w:tcPr>
          <w:p w14:paraId="3693F96C" w14:textId="77777777" w:rsidR="003734EC" w:rsidRDefault="003734EC">
            <w:pPr>
              <w:rPr>
                <w:rFonts w:ascii="宋体"/>
                <w:vanish/>
              </w:rPr>
            </w:pPr>
          </w:p>
        </w:tc>
        <w:tc>
          <w:tcPr>
            <w:tcW w:w="0" w:type="auto"/>
            <w:shd w:val="clear" w:color="auto" w:fill="auto"/>
            <w:vAlign w:val="center"/>
          </w:tcPr>
          <w:p w14:paraId="3693F96D" w14:textId="77777777" w:rsidR="003734EC" w:rsidRDefault="003734EC">
            <w:pPr>
              <w:rPr>
                <w:rFonts w:ascii="宋体"/>
                <w:vanish/>
              </w:rPr>
            </w:pPr>
          </w:p>
        </w:tc>
        <w:tc>
          <w:tcPr>
            <w:tcW w:w="0" w:type="auto"/>
            <w:shd w:val="clear" w:color="auto" w:fill="auto"/>
            <w:vAlign w:val="center"/>
          </w:tcPr>
          <w:p w14:paraId="3693F96E" w14:textId="77777777" w:rsidR="003734EC" w:rsidRDefault="003734EC">
            <w:pPr>
              <w:rPr>
                <w:rFonts w:ascii="宋体"/>
                <w:vanish/>
              </w:rPr>
            </w:pPr>
          </w:p>
        </w:tc>
        <w:tc>
          <w:tcPr>
            <w:tcW w:w="0" w:type="auto"/>
            <w:shd w:val="clear" w:color="auto" w:fill="auto"/>
            <w:vAlign w:val="center"/>
          </w:tcPr>
          <w:p w14:paraId="3693F96F" w14:textId="77777777" w:rsidR="003734EC" w:rsidRDefault="003734EC">
            <w:pPr>
              <w:rPr>
                <w:rFonts w:ascii="宋体"/>
              </w:rPr>
            </w:pPr>
          </w:p>
        </w:tc>
        <w:tc>
          <w:tcPr>
            <w:tcW w:w="0" w:type="auto"/>
            <w:shd w:val="clear" w:color="auto" w:fill="auto"/>
            <w:vAlign w:val="center"/>
          </w:tcPr>
          <w:p w14:paraId="3693F970" w14:textId="77777777" w:rsidR="003734EC" w:rsidRDefault="003734EC">
            <w:pPr>
              <w:rPr>
                <w:rFonts w:ascii="宋体"/>
              </w:rPr>
            </w:pPr>
          </w:p>
        </w:tc>
        <w:tc>
          <w:tcPr>
            <w:tcW w:w="0" w:type="auto"/>
            <w:shd w:val="clear" w:color="auto" w:fill="auto"/>
            <w:vAlign w:val="center"/>
          </w:tcPr>
          <w:p w14:paraId="3693F971" w14:textId="77777777" w:rsidR="003734EC" w:rsidRDefault="003734EC">
            <w:pPr>
              <w:rPr>
                <w:rFonts w:ascii="宋体"/>
              </w:rPr>
            </w:pPr>
          </w:p>
        </w:tc>
        <w:tc>
          <w:tcPr>
            <w:tcW w:w="0" w:type="auto"/>
            <w:shd w:val="clear" w:color="auto" w:fill="auto"/>
            <w:vAlign w:val="center"/>
          </w:tcPr>
          <w:p w14:paraId="3693F972" w14:textId="77777777" w:rsidR="003734EC" w:rsidRDefault="003734EC">
            <w:pPr>
              <w:rPr>
                <w:rFonts w:ascii="宋体"/>
              </w:rPr>
            </w:pPr>
          </w:p>
        </w:tc>
        <w:tc>
          <w:tcPr>
            <w:tcW w:w="0" w:type="auto"/>
            <w:shd w:val="clear" w:color="auto" w:fill="auto"/>
            <w:vAlign w:val="center"/>
          </w:tcPr>
          <w:p w14:paraId="3693F973" w14:textId="77777777" w:rsidR="003734EC" w:rsidRDefault="003734EC">
            <w:pPr>
              <w:rPr>
                <w:rFonts w:ascii="宋体"/>
              </w:rPr>
            </w:pPr>
          </w:p>
        </w:tc>
        <w:tc>
          <w:tcPr>
            <w:tcW w:w="0" w:type="auto"/>
            <w:shd w:val="clear" w:color="auto" w:fill="auto"/>
            <w:vAlign w:val="center"/>
          </w:tcPr>
          <w:p w14:paraId="3693F974" w14:textId="77777777" w:rsidR="003734EC" w:rsidRDefault="003734EC">
            <w:pPr>
              <w:rPr>
                <w:rFonts w:ascii="宋体"/>
              </w:rPr>
            </w:pPr>
          </w:p>
        </w:tc>
      </w:tr>
      <w:tr w:rsidR="003734EC" w14:paraId="3693F986" w14:textId="77777777">
        <w:tc>
          <w:tcPr>
            <w:tcW w:w="0" w:type="auto"/>
            <w:gridSpan w:val="3"/>
            <w:shd w:val="clear" w:color="auto" w:fill="FFFFFF"/>
            <w:tcMar>
              <w:top w:w="40" w:type="dxa"/>
              <w:left w:w="20" w:type="dxa"/>
              <w:bottom w:w="40" w:type="dxa"/>
              <w:right w:w="20" w:type="dxa"/>
            </w:tcMar>
            <w:vAlign w:val="bottom"/>
          </w:tcPr>
          <w:p w14:paraId="3693F976" w14:textId="77777777" w:rsidR="003734EC" w:rsidRDefault="000E364E">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3693F977" w14:textId="77777777" w:rsidR="003734EC" w:rsidRDefault="000E364E">
            <w:pPr>
              <w:jc w:val="right"/>
              <w:textAlignment w:val="bottom"/>
            </w:pPr>
            <w:r>
              <w:rPr>
                <w:rFonts w:ascii="sans-serif" w:eastAsia="sans-serif" w:hAnsi="sans-serif" w:cs="sans-serif"/>
                <w:color w:val="000000"/>
                <w:sz w:val="20"/>
                <w:szCs w:val="20"/>
              </w:rPr>
              <w:t>34.9 </w:t>
            </w:r>
          </w:p>
        </w:tc>
        <w:tc>
          <w:tcPr>
            <w:tcW w:w="0" w:type="auto"/>
            <w:shd w:val="clear" w:color="auto" w:fill="FFFFFF"/>
            <w:tcMar>
              <w:top w:w="40" w:type="dxa"/>
              <w:bottom w:w="40" w:type="dxa"/>
              <w:right w:w="20" w:type="dxa"/>
            </w:tcMar>
            <w:vAlign w:val="bottom"/>
          </w:tcPr>
          <w:p w14:paraId="3693F97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7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97A" w14:textId="77777777" w:rsidR="003734EC" w:rsidRDefault="000E364E">
            <w:pPr>
              <w:jc w:val="right"/>
              <w:textAlignment w:val="bottom"/>
            </w:pPr>
            <w:r>
              <w:rPr>
                <w:rFonts w:ascii="sans-serif" w:eastAsia="sans-serif" w:hAnsi="sans-serif" w:cs="sans-serif"/>
                <w:color w:val="000000"/>
                <w:sz w:val="20"/>
                <w:szCs w:val="20"/>
              </w:rPr>
              <w:t>41.6 </w:t>
            </w:r>
          </w:p>
        </w:tc>
        <w:tc>
          <w:tcPr>
            <w:tcW w:w="0" w:type="auto"/>
            <w:shd w:val="clear" w:color="auto" w:fill="FFFFFF"/>
            <w:tcMar>
              <w:top w:w="40" w:type="dxa"/>
              <w:bottom w:w="40" w:type="dxa"/>
              <w:right w:w="20" w:type="dxa"/>
            </w:tcMar>
            <w:vAlign w:val="bottom"/>
          </w:tcPr>
          <w:p w14:paraId="3693F97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7C" w14:textId="77777777" w:rsidR="003734EC" w:rsidRDefault="003734EC">
            <w:pPr>
              <w:rPr>
                <w:rFonts w:ascii="宋体"/>
                <w:vanish/>
              </w:rPr>
            </w:pPr>
          </w:p>
        </w:tc>
        <w:tc>
          <w:tcPr>
            <w:tcW w:w="0" w:type="auto"/>
            <w:shd w:val="clear" w:color="auto" w:fill="auto"/>
            <w:vAlign w:val="center"/>
          </w:tcPr>
          <w:p w14:paraId="3693F97D" w14:textId="77777777" w:rsidR="003734EC" w:rsidRDefault="003734EC">
            <w:pPr>
              <w:rPr>
                <w:rFonts w:ascii="宋体"/>
                <w:vanish/>
              </w:rPr>
            </w:pPr>
          </w:p>
        </w:tc>
        <w:tc>
          <w:tcPr>
            <w:tcW w:w="0" w:type="auto"/>
            <w:shd w:val="clear" w:color="auto" w:fill="auto"/>
            <w:vAlign w:val="center"/>
          </w:tcPr>
          <w:p w14:paraId="3693F97E" w14:textId="77777777" w:rsidR="003734EC" w:rsidRDefault="003734EC">
            <w:pPr>
              <w:rPr>
                <w:rFonts w:ascii="宋体"/>
                <w:vanish/>
              </w:rPr>
            </w:pPr>
          </w:p>
        </w:tc>
        <w:tc>
          <w:tcPr>
            <w:tcW w:w="0" w:type="auto"/>
            <w:shd w:val="clear" w:color="auto" w:fill="auto"/>
            <w:vAlign w:val="center"/>
          </w:tcPr>
          <w:p w14:paraId="3693F97F" w14:textId="77777777" w:rsidR="003734EC" w:rsidRDefault="003734EC">
            <w:pPr>
              <w:rPr>
                <w:rFonts w:ascii="宋体"/>
                <w:vanish/>
              </w:rPr>
            </w:pPr>
          </w:p>
        </w:tc>
        <w:tc>
          <w:tcPr>
            <w:tcW w:w="0" w:type="auto"/>
            <w:shd w:val="clear" w:color="auto" w:fill="auto"/>
            <w:vAlign w:val="center"/>
          </w:tcPr>
          <w:p w14:paraId="3693F980" w14:textId="77777777" w:rsidR="003734EC" w:rsidRDefault="003734EC">
            <w:pPr>
              <w:rPr>
                <w:rFonts w:ascii="宋体"/>
              </w:rPr>
            </w:pPr>
          </w:p>
        </w:tc>
        <w:tc>
          <w:tcPr>
            <w:tcW w:w="0" w:type="auto"/>
            <w:shd w:val="clear" w:color="auto" w:fill="auto"/>
            <w:vAlign w:val="center"/>
          </w:tcPr>
          <w:p w14:paraId="3693F981" w14:textId="77777777" w:rsidR="003734EC" w:rsidRDefault="003734EC">
            <w:pPr>
              <w:rPr>
                <w:rFonts w:ascii="宋体"/>
              </w:rPr>
            </w:pPr>
          </w:p>
        </w:tc>
        <w:tc>
          <w:tcPr>
            <w:tcW w:w="0" w:type="auto"/>
            <w:shd w:val="clear" w:color="auto" w:fill="auto"/>
            <w:vAlign w:val="center"/>
          </w:tcPr>
          <w:p w14:paraId="3693F982" w14:textId="77777777" w:rsidR="003734EC" w:rsidRDefault="003734EC">
            <w:pPr>
              <w:rPr>
                <w:rFonts w:ascii="宋体"/>
              </w:rPr>
            </w:pPr>
          </w:p>
        </w:tc>
        <w:tc>
          <w:tcPr>
            <w:tcW w:w="0" w:type="auto"/>
            <w:shd w:val="clear" w:color="auto" w:fill="auto"/>
            <w:vAlign w:val="center"/>
          </w:tcPr>
          <w:p w14:paraId="3693F983" w14:textId="77777777" w:rsidR="003734EC" w:rsidRDefault="003734EC">
            <w:pPr>
              <w:rPr>
                <w:rFonts w:ascii="宋体"/>
              </w:rPr>
            </w:pPr>
          </w:p>
        </w:tc>
        <w:tc>
          <w:tcPr>
            <w:tcW w:w="0" w:type="auto"/>
            <w:shd w:val="clear" w:color="auto" w:fill="auto"/>
            <w:vAlign w:val="center"/>
          </w:tcPr>
          <w:p w14:paraId="3693F984" w14:textId="77777777" w:rsidR="003734EC" w:rsidRDefault="003734EC">
            <w:pPr>
              <w:rPr>
                <w:rFonts w:ascii="宋体"/>
              </w:rPr>
            </w:pPr>
          </w:p>
        </w:tc>
        <w:tc>
          <w:tcPr>
            <w:tcW w:w="0" w:type="auto"/>
            <w:shd w:val="clear" w:color="auto" w:fill="auto"/>
            <w:vAlign w:val="center"/>
          </w:tcPr>
          <w:p w14:paraId="3693F985" w14:textId="77777777" w:rsidR="003734EC" w:rsidRDefault="003734EC">
            <w:pPr>
              <w:rPr>
                <w:rFonts w:ascii="宋体"/>
              </w:rPr>
            </w:pPr>
          </w:p>
        </w:tc>
      </w:tr>
      <w:tr w:rsidR="003734EC" w14:paraId="3693F997" w14:textId="77777777">
        <w:tc>
          <w:tcPr>
            <w:tcW w:w="0" w:type="auto"/>
            <w:gridSpan w:val="3"/>
            <w:shd w:val="clear" w:color="auto" w:fill="E2EFD9"/>
            <w:tcMar>
              <w:top w:w="40" w:type="dxa"/>
              <w:left w:w="20" w:type="dxa"/>
              <w:bottom w:w="40" w:type="dxa"/>
              <w:right w:w="20" w:type="dxa"/>
            </w:tcMar>
            <w:vAlign w:val="bottom"/>
          </w:tcPr>
          <w:p w14:paraId="3693F987" w14:textId="77777777" w:rsidR="003734EC" w:rsidRDefault="000E364E">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88" w14:textId="77777777" w:rsidR="003734EC" w:rsidRDefault="000E364E">
            <w:pPr>
              <w:jc w:val="right"/>
              <w:textAlignment w:val="bottom"/>
            </w:pPr>
            <w:r>
              <w:rPr>
                <w:rFonts w:ascii="sans-serif" w:eastAsia="sans-serif" w:hAnsi="sans-serif" w:cs="sans-serif"/>
                <w:color w:val="000000"/>
                <w:sz w:val="20"/>
                <w:szCs w:val="20"/>
              </w:rPr>
              <w:t>65.1 </w:t>
            </w:r>
          </w:p>
        </w:tc>
        <w:tc>
          <w:tcPr>
            <w:tcW w:w="0" w:type="auto"/>
            <w:tcBorders>
              <w:top w:val="single" w:sz="8" w:space="0" w:color="000000"/>
            </w:tcBorders>
            <w:shd w:val="clear" w:color="auto" w:fill="E2EFD9"/>
            <w:tcMar>
              <w:top w:w="40" w:type="dxa"/>
              <w:bottom w:w="40" w:type="dxa"/>
              <w:right w:w="20" w:type="dxa"/>
            </w:tcMar>
            <w:vAlign w:val="bottom"/>
          </w:tcPr>
          <w:p w14:paraId="3693F989"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98A"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8B" w14:textId="77777777" w:rsidR="003734EC" w:rsidRDefault="000E364E">
            <w:pPr>
              <w:jc w:val="right"/>
              <w:textAlignment w:val="bottom"/>
            </w:pPr>
            <w:r>
              <w:rPr>
                <w:rFonts w:ascii="sans-serif" w:eastAsia="sans-serif" w:hAnsi="sans-serif" w:cs="sans-serif"/>
                <w:color w:val="000000"/>
                <w:sz w:val="20"/>
                <w:szCs w:val="20"/>
              </w:rPr>
              <w:t>58.4 </w:t>
            </w:r>
          </w:p>
        </w:tc>
        <w:tc>
          <w:tcPr>
            <w:tcW w:w="0" w:type="auto"/>
            <w:tcBorders>
              <w:top w:val="single" w:sz="8" w:space="0" w:color="000000"/>
            </w:tcBorders>
            <w:shd w:val="clear" w:color="auto" w:fill="E2EFD9"/>
            <w:tcMar>
              <w:top w:w="40" w:type="dxa"/>
              <w:bottom w:w="40" w:type="dxa"/>
              <w:right w:w="20" w:type="dxa"/>
            </w:tcMar>
            <w:vAlign w:val="bottom"/>
          </w:tcPr>
          <w:p w14:paraId="3693F98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8D" w14:textId="77777777" w:rsidR="003734EC" w:rsidRDefault="003734EC">
            <w:pPr>
              <w:rPr>
                <w:rFonts w:ascii="宋体"/>
                <w:vanish/>
              </w:rPr>
            </w:pPr>
          </w:p>
        </w:tc>
        <w:tc>
          <w:tcPr>
            <w:tcW w:w="0" w:type="auto"/>
            <w:shd w:val="clear" w:color="auto" w:fill="auto"/>
            <w:vAlign w:val="center"/>
          </w:tcPr>
          <w:p w14:paraId="3693F98E" w14:textId="77777777" w:rsidR="003734EC" w:rsidRDefault="003734EC">
            <w:pPr>
              <w:rPr>
                <w:rFonts w:ascii="宋体"/>
                <w:vanish/>
              </w:rPr>
            </w:pPr>
          </w:p>
        </w:tc>
        <w:tc>
          <w:tcPr>
            <w:tcW w:w="0" w:type="auto"/>
            <w:shd w:val="clear" w:color="auto" w:fill="auto"/>
            <w:vAlign w:val="center"/>
          </w:tcPr>
          <w:p w14:paraId="3693F98F" w14:textId="77777777" w:rsidR="003734EC" w:rsidRDefault="003734EC">
            <w:pPr>
              <w:rPr>
                <w:rFonts w:ascii="宋体"/>
                <w:vanish/>
              </w:rPr>
            </w:pPr>
          </w:p>
        </w:tc>
        <w:tc>
          <w:tcPr>
            <w:tcW w:w="0" w:type="auto"/>
            <w:shd w:val="clear" w:color="auto" w:fill="auto"/>
            <w:vAlign w:val="center"/>
          </w:tcPr>
          <w:p w14:paraId="3693F990" w14:textId="77777777" w:rsidR="003734EC" w:rsidRDefault="003734EC">
            <w:pPr>
              <w:rPr>
                <w:rFonts w:ascii="宋体"/>
                <w:vanish/>
              </w:rPr>
            </w:pPr>
          </w:p>
        </w:tc>
        <w:tc>
          <w:tcPr>
            <w:tcW w:w="0" w:type="auto"/>
            <w:shd w:val="clear" w:color="auto" w:fill="auto"/>
            <w:vAlign w:val="center"/>
          </w:tcPr>
          <w:p w14:paraId="3693F991" w14:textId="77777777" w:rsidR="003734EC" w:rsidRDefault="003734EC">
            <w:pPr>
              <w:rPr>
                <w:rFonts w:ascii="宋体"/>
              </w:rPr>
            </w:pPr>
          </w:p>
        </w:tc>
        <w:tc>
          <w:tcPr>
            <w:tcW w:w="0" w:type="auto"/>
            <w:shd w:val="clear" w:color="auto" w:fill="auto"/>
            <w:vAlign w:val="center"/>
          </w:tcPr>
          <w:p w14:paraId="3693F992" w14:textId="77777777" w:rsidR="003734EC" w:rsidRDefault="003734EC">
            <w:pPr>
              <w:rPr>
                <w:rFonts w:ascii="宋体"/>
              </w:rPr>
            </w:pPr>
          </w:p>
        </w:tc>
        <w:tc>
          <w:tcPr>
            <w:tcW w:w="0" w:type="auto"/>
            <w:shd w:val="clear" w:color="auto" w:fill="auto"/>
            <w:vAlign w:val="center"/>
          </w:tcPr>
          <w:p w14:paraId="3693F993" w14:textId="77777777" w:rsidR="003734EC" w:rsidRDefault="003734EC">
            <w:pPr>
              <w:rPr>
                <w:rFonts w:ascii="宋体"/>
              </w:rPr>
            </w:pPr>
          </w:p>
        </w:tc>
        <w:tc>
          <w:tcPr>
            <w:tcW w:w="0" w:type="auto"/>
            <w:shd w:val="clear" w:color="auto" w:fill="auto"/>
            <w:vAlign w:val="center"/>
          </w:tcPr>
          <w:p w14:paraId="3693F994" w14:textId="77777777" w:rsidR="003734EC" w:rsidRDefault="003734EC">
            <w:pPr>
              <w:rPr>
                <w:rFonts w:ascii="宋体"/>
              </w:rPr>
            </w:pPr>
          </w:p>
        </w:tc>
        <w:tc>
          <w:tcPr>
            <w:tcW w:w="0" w:type="auto"/>
            <w:shd w:val="clear" w:color="auto" w:fill="auto"/>
            <w:vAlign w:val="center"/>
          </w:tcPr>
          <w:p w14:paraId="3693F995" w14:textId="77777777" w:rsidR="003734EC" w:rsidRDefault="003734EC">
            <w:pPr>
              <w:rPr>
                <w:rFonts w:ascii="宋体"/>
              </w:rPr>
            </w:pPr>
          </w:p>
        </w:tc>
        <w:tc>
          <w:tcPr>
            <w:tcW w:w="0" w:type="auto"/>
            <w:shd w:val="clear" w:color="auto" w:fill="auto"/>
            <w:vAlign w:val="center"/>
          </w:tcPr>
          <w:p w14:paraId="3693F996" w14:textId="77777777" w:rsidR="003734EC" w:rsidRDefault="003734EC">
            <w:pPr>
              <w:rPr>
                <w:rFonts w:ascii="宋体"/>
              </w:rPr>
            </w:pPr>
          </w:p>
        </w:tc>
      </w:tr>
      <w:tr w:rsidR="003734EC" w14:paraId="3693F9A7" w14:textId="77777777">
        <w:tc>
          <w:tcPr>
            <w:tcW w:w="0" w:type="auto"/>
            <w:gridSpan w:val="3"/>
            <w:shd w:val="clear" w:color="auto" w:fill="FFFFFF"/>
            <w:tcMar>
              <w:top w:w="40" w:type="dxa"/>
              <w:left w:w="20" w:type="dxa"/>
              <w:bottom w:w="40" w:type="dxa"/>
              <w:right w:w="20" w:type="dxa"/>
            </w:tcMar>
            <w:vAlign w:val="bottom"/>
          </w:tcPr>
          <w:p w14:paraId="3693F998" w14:textId="77777777" w:rsidR="003734EC" w:rsidRDefault="000E364E">
            <w:pPr>
              <w:textAlignment w:val="bottom"/>
            </w:pPr>
            <w:r>
              <w:rPr>
                <w:rFonts w:ascii="sans-serif" w:eastAsia="sans-serif" w:hAnsi="sans-serif" w:cs="sans-serif"/>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14:paraId="3693F999" w14:textId="77777777" w:rsidR="003734EC" w:rsidRDefault="000E364E">
            <w:pPr>
              <w:jc w:val="right"/>
              <w:textAlignment w:val="bottom"/>
            </w:pPr>
            <w:r>
              <w:rPr>
                <w:rFonts w:ascii="sans-serif" w:eastAsia="sans-serif" w:hAnsi="sans-serif" w:cs="sans-serif"/>
                <w:color w:val="EE2724"/>
                <w:sz w:val="20"/>
                <w:szCs w:val="20"/>
              </w:rPr>
              <w:t>  </w:t>
            </w:r>
          </w:p>
        </w:tc>
        <w:tc>
          <w:tcPr>
            <w:tcW w:w="0" w:type="auto"/>
            <w:shd w:val="clear" w:color="auto" w:fill="FFFFFF"/>
            <w:tcMar>
              <w:top w:w="40" w:type="dxa"/>
              <w:bottom w:w="40" w:type="dxa"/>
              <w:right w:w="20" w:type="dxa"/>
            </w:tcMar>
            <w:vAlign w:val="bottom"/>
          </w:tcPr>
          <w:p w14:paraId="3693F99A" w14:textId="77777777" w:rsidR="003734EC" w:rsidRDefault="000E364E">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left w:w="20" w:type="dxa"/>
              <w:right w:w="20" w:type="dxa"/>
            </w:tcMar>
            <w:vAlign w:val="bottom"/>
          </w:tcPr>
          <w:p w14:paraId="3693F99B"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99C" w14:textId="77777777" w:rsidR="003734EC" w:rsidRDefault="003734EC">
            <w:pPr>
              <w:rPr>
                <w:rFonts w:ascii="宋体"/>
              </w:rPr>
            </w:pPr>
          </w:p>
        </w:tc>
        <w:tc>
          <w:tcPr>
            <w:tcW w:w="0" w:type="auto"/>
            <w:shd w:val="clear" w:color="auto" w:fill="auto"/>
            <w:vAlign w:val="center"/>
          </w:tcPr>
          <w:p w14:paraId="3693F99D" w14:textId="77777777" w:rsidR="003734EC" w:rsidRDefault="003734EC">
            <w:pPr>
              <w:rPr>
                <w:rFonts w:ascii="宋体"/>
                <w:vanish/>
              </w:rPr>
            </w:pPr>
          </w:p>
        </w:tc>
        <w:tc>
          <w:tcPr>
            <w:tcW w:w="0" w:type="auto"/>
            <w:shd w:val="clear" w:color="auto" w:fill="auto"/>
            <w:vAlign w:val="center"/>
          </w:tcPr>
          <w:p w14:paraId="3693F99E" w14:textId="77777777" w:rsidR="003734EC" w:rsidRDefault="003734EC">
            <w:pPr>
              <w:rPr>
                <w:rFonts w:ascii="宋体"/>
                <w:vanish/>
              </w:rPr>
            </w:pPr>
          </w:p>
        </w:tc>
        <w:tc>
          <w:tcPr>
            <w:tcW w:w="0" w:type="auto"/>
            <w:shd w:val="clear" w:color="auto" w:fill="auto"/>
            <w:vAlign w:val="center"/>
          </w:tcPr>
          <w:p w14:paraId="3693F99F" w14:textId="77777777" w:rsidR="003734EC" w:rsidRDefault="003734EC">
            <w:pPr>
              <w:rPr>
                <w:rFonts w:ascii="宋体"/>
                <w:vanish/>
              </w:rPr>
            </w:pPr>
          </w:p>
        </w:tc>
        <w:tc>
          <w:tcPr>
            <w:tcW w:w="0" w:type="auto"/>
            <w:shd w:val="clear" w:color="auto" w:fill="auto"/>
            <w:vAlign w:val="center"/>
          </w:tcPr>
          <w:p w14:paraId="3693F9A0" w14:textId="77777777" w:rsidR="003734EC" w:rsidRDefault="003734EC">
            <w:pPr>
              <w:rPr>
                <w:rFonts w:ascii="宋体"/>
                <w:vanish/>
              </w:rPr>
            </w:pPr>
          </w:p>
        </w:tc>
        <w:tc>
          <w:tcPr>
            <w:tcW w:w="0" w:type="auto"/>
            <w:shd w:val="clear" w:color="auto" w:fill="auto"/>
            <w:vAlign w:val="center"/>
          </w:tcPr>
          <w:p w14:paraId="3693F9A1" w14:textId="77777777" w:rsidR="003734EC" w:rsidRDefault="003734EC">
            <w:pPr>
              <w:rPr>
                <w:rFonts w:ascii="宋体"/>
              </w:rPr>
            </w:pPr>
          </w:p>
        </w:tc>
        <w:tc>
          <w:tcPr>
            <w:tcW w:w="0" w:type="auto"/>
            <w:shd w:val="clear" w:color="auto" w:fill="auto"/>
            <w:vAlign w:val="center"/>
          </w:tcPr>
          <w:p w14:paraId="3693F9A2" w14:textId="77777777" w:rsidR="003734EC" w:rsidRDefault="003734EC">
            <w:pPr>
              <w:rPr>
                <w:rFonts w:ascii="宋体"/>
              </w:rPr>
            </w:pPr>
          </w:p>
        </w:tc>
        <w:tc>
          <w:tcPr>
            <w:tcW w:w="0" w:type="auto"/>
            <w:shd w:val="clear" w:color="auto" w:fill="auto"/>
            <w:vAlign w:val="center"/>
          </w:tcPr>
          <w:p w14:paraId="3693F9A3" w14:textId="77777777" w:rsidR="003734EC" w:rsidRDefault="003734EC">
            <w:pPr>
              <w:rPr>
                <w:rFonts w:ascii="宋体"/>
              </w:rPr>
            </w:pPr>
          </w:p>
        </w:tc>
        <w:tc>
          <w:tcPr>
            <w:tcW w:w="0" w:type="auto"/>
            <w:shd w:val="clear" w:color="auto" w:fill="auto"/>
            <w:vAlign w:val="center"/>
          </w:tcPr>
          <w:p w14:paraId="3693F9A4" w14:textId="77777777" w:rsidR="003734EC" w:rsidRDefault="003734EC">
            <w:pPr>
              <w:rPr>
                <w:rFonts w:ascii="宋体"/>
              </w:rPr>
            </w:pPr>
          </w:p>
        </w:tc>
        <w:tc>
          <w:tcPr>
            <w:tcW w:w="0" w:type="auto"/>
            <w:shd w:val="clear" w:color="auto" w:fill="auto"/>
            <w:vAlign w:val="center"/>
          </w:tcPr>
          <w:p w14:paraId="3693F9A5" w14:textId="77777777" w:rsidR="003734EC" w:rsidRDefault="003734EC">
            <w:pPr>
              <w:rPr>
                <w:rFonts w:ascii="宋体"/>
              </w:rPr>
            </w:pPr>
          </w:p>
        </w:tc>
        <w:tc>
          <w:tcPr>
            <w:tcW w:w="0" w:type="auto"/>
            <w:shd w:val="clear" w:color="auto" w:fill="auto"/>
            <w:vAlign w:val="center"/>
          </w:tcPr>
          <w:p w14:paraId="3693F9A6" w14:textId="77777777" w:rsidR="003734EC" w:rsidRDefault="003734EC">
            <w:pPr>
              <w:rPr>
                <w:rFonts w:ascii="宋体"/>
              </w:rPr>
            </w:pPr>
          </w:p>
        </w:tc>
      </w:tr>
      <w:tr w:rsidR="003734EC" w14:paraId="3693F9B8" w14:textId="77777777">
        <w:tc>
          <w:tcPr>
            <w:tcW w:w="0" w:type="auto"/>
            <w:gridSpan w:val="3"/>
            <w:shd w:val="clear" w:color="auto" w:fill="E2EFD9"/>
            <w:tcMar>
              <w:top w:w="40" w:type="dxa"/>
              <w:left w:w="20" w:type="dxa"/>
              <w:bottom w:w="40" w:type="dxa"/>
              <w:right w:w="20" w:type="dxa"/>
            </w:tcMar>
            <w:vAlign w:val="bottom"/>
          </w:tcPr>
          <w:p w14:paraId="3693F9A8" w14:textId="77777777" w:rsidR="003734EC" w:rsidRDefault="000E364E">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3693F9A9" w14:textId="77777777" w:rsidR="003734EC" w:rsidRDefault="000E364E">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bottom w:w="40" w:type="dxa"/>
              <w:right w:w="20" w:type="dxa"/>
            </w:tcMar>
            <w:vAlign w:val="bottom"/>
          </w:tcPr>
          <w:p w14:paraId="3693F9A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9A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9AC" w14:textId="77777777" w:rsidR="003734EC" w:rsidRDefault="000E364E">
            <w:pPr>
              <w:jc w:val="right"/>
              <w:textAlignment w:val="bottom"/>
            </w:pPr>
            <w:r>
              <w:rPr>
                <w:rFonts w:ascii="sans-serif" w:eastAsia="sans-serif" w:hAnsi="sans-serif" w:cs="sans-serif"/>
                <w:color w:val="000000"/>
                <w:sz w:val="20"/>
                <w:szCs w:val="20"/>
              </w:rPr>
              <w:t>30.4 </w:t>
            </w:r>
          </w:p>
        </w:tc>
        <w:tc>
          <w:tcPr>
            <w:tcW w:w="0" w:type="auto"/>
            <w:shd w:val="clear" w:color="auto" w:fill="E2EFD9"/>
            <w:tcMar>
              <w:top w:w="40" w:type="dxa"/>
              <w:bottom w:w="40" w:type="dxa"/>
              <w:right w:w="20" w:type="dxa"/>
            </w:tcMar>
            <w:vAlign w:val="bottom"/>
          </w:tcPr>
          <w:p w14:paraId="3693F9A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AE" w14:textId="77777777" w:rsidR="003734EC" w:rsidRDefault="003734EC">
            <w:pPr>
              <w:rPr>
                <w:rFonts w:ascii="宋体"/>
                <w:vanish/>
              </w:rPr>
            </w:pPr>
          </w:p>
        </w:tc>
        <w:tc>
          <w:tcPr>
            <w:tcW w:w="0" w:type="auto"/>
            <w:shd w:val="clear" w:color="auto" w:fill="auto"/>
            <w:vAlign w:val="center"/>
          </w:tcPr>
          <w:p w14:paraId="3693F9AF" w14:textId="77777777" w:rsidR="003734EC" w:rsidRDefault="003734EC">
            <w:pPr>
              <w:rPr>
                <w:rFonts w:ascii="宋体"/>
                <w:vanish/>
              </w:rPr>
            </w:pPr>
          </w:p>
        </w:tc>
        <w:tc>
          <w:tcPr>
            <w:tcW w:w="0" w:type="auto"/>
            <w:shd w:val="clear" w:color="auto" w:fill="auto"/>
            <w:vAlign w:val="center"/>
          </w:tcPr>
          <w:p w14:paraId="3693F9B0" w14:textId="77777777" w:rsidR="003734EC" w:rsidRDefault="003734EC">
            <w:pPr>
              <w:rPr>
                <w:rFonts w:ascii="宋体"/>
                <w:vanish/>
              </w:rPr>
            </w:pPr>
          </w:p>
        </w:tc>
        <w:tc>
          <w:tcPr>
            <w:tcW w:w="0" w:type="auto"/>
            <w:shd w:val="clear" w:color="auto" w:fill="auto"/>
            <w:vAlign w:val="center"/>
          </w:tcPr>
          <w:p w14:paraId="3693F9B1" w14:textId="77777777" w:rsidR="003734EC" w:rsidRDefault="003734EC">
            <w:pPr>
              <w:rPr>
                <w:rFonts w:ascii="宋体"/>
                <w:vanish/>
              </w:rPr>
            </w:pPr>
          </w:p>
        </w:tc>
        <w:tc>
          <w:tcPr>
            <w:tcW w:w="0" w:type="auto"/>
            <w:shd w:val="clear" w:color="auto" w:fill="auto"/>
            <w:vAlign w:val="center"/>
          </w:tcPr>
          <w:p w14:paraId="3693F9B2" w14:textId="77777777" w:rsidR="003734EC" w:rsidRDefault="003734EC">
            <w:pPr>
              <w:rPr>
                <w:rFonts w:ascii="宋体"/>
              </w:rPr>
            </w:pPr>
          </w:p>
        </w:tc>
        <w:tc>
          <w:tcPr>
            <w:tcW w:w="0" w:type="auto"/>
            <w:shd w:val="clear" w:color="auto" w:fill="auto"/>
            <w:vAlign w:val="center"/>
          </w:tcPr>
          <w:p w14:paraId="3693F9B3" w14:textId="77777777" w:rsidR="003734EC" w:rsidRDefault="003734EC">
            <w:pPr>
              <w:rPr>
                <w:rFonts w:ascii="宋体"/>
              </w:rPr>
            </w:pPr>
          </w:p>
        </w:tc>
        <w:tc>
          <w:tcPr>
            <w:tcW w:w="0" w:type="auto"/>
            <w:shd w:val="clear" w:color="auto" w:fill="auto"/>
            <w:vAlign w:val="center"/>
          </w:tcPr>
          <w:p w14:paraId="3693F9B4" w14:textId="77777777" w:rsidR="003734EC" w:rsidRDefault="003734EC">
            <w:pPr>
              <w:rPr>
                <w:rFonts w:ascii="宋体"/>
              </w:rPr>
            </w:pPr>
          </w:p>
        </w:tc>
        <w:tc>
          <w:tcPr>
            <w:tcW w:w="0" w:type="auto"/>
            <w:shd w:val="clear" w:color="auto" w:fill="auto"/>
            <w:vAlign w:val="center"/>
          </w:tcPr>
          <w:p w14:paraId="3693F9B5" w14:textId="77777777" w:rsidR="003734EC" w:rsidRDefault="003734EC">
            <w:pPr>
              <w:rPr>
                <w:rFonts w:ascii="宋体"/>
              </w:rPr>
            </w:pPr>
          </w:p>
        </w:tc>
        <w:tc>
          <w:tcPr>
            <w:tcW w:w="0" w:type="auto"/>
            <w:shd w:val="clear" w:color="auto" w:fill="auto"/>
            <w:vAlign w:val="center"/>
          </w:tcPr>
          <w:p w14:paraId="3693F9B6" w14:textId="77777777" w:rsidR="003734EC" w:rsidRDefault="003734EC">
            <w:pPr>
              <w:rPr>
                <w:rFonts w:ascii="宋体"/>
              </w:rPr>
            </w:pPr>
          </w:p>
        </w:tc>
        <w:tc>
          <w:tcPr>
            <w:tcW w:w="0" w:type="auto"/>
            <w:shd w:val="clear" w:color="auto" w:fill="auto"/>
            <w:vAlign w:val="center"/>
          </w:tcPr>
          <w:p w14:paraId="3693F9B7" w14:textId="77777777" w:rsidR="003734EC" w:rsidRDefault="003734EC">
            <w:pPr>
              <w:rPr>
                <w:rFonts w:ascii="宋体"/>
              </w:rPr>
            </w:pPr>
          </w:p>
        </w:tc>
      </w:tr>
      <w:tr w:rsidR="003734EC" w14:paraId="3693F9C9" w14:textId="77777777">
        <w:tc>
          <w:tcPr>
            <w:tcW w:w="0" w:type="auto"/>
            <w:gridSpan w:val="3"/>
            <w:shd w:val="clear" w:color="auto" w:fill="FFFFFF"/>
            <w:tcMar>
              <w:top w:w="40" w:type="dxa"/>
              <w:left w:w="20" w:type="dxa"/>
              <w:bottom w:w="40" w:type="dxa"/>
              <w:right w:w="20" w:type="dxa"/>
            </w:tcMar>
            <w:vAlign w:val="bottom"/>
          </w:tcPr>
          <w:p w14:paraId="3693F9B9" w14:textId="77777777" w:rsidR="003734EC" w:rsidRDefault="000E364E">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3693F9BA" w14:textId="77777777" w:rsidR="003734EC" w:rsidRDefault="000E364E">
            <w:pPr>
              <w:jc w:val="right"/>
              <w:textAlignment w:val="bottom"/>
            </w:pPr>
            <w:r>
              <w:rPr>
                <w:rFonts w:ascii="sans-serif" w:eastAsia="sans-serif" w:hAnsi="sans-serif" w:cs="sans-serif"/>
                <w:color w:val="000000"/>
                <w:sz w:val="20"/>
                <w:szCs w:val="20"/>
              </w:rPr>
              <w:t>9.5 </w:t>
            </w:r>
          </w:p>
        </w:tc>
        <w:tc>
          <w:tcPr>
            <w:tcW w:w="0" w:type="auto"/>
            <w:shd w:val="clear" w:color="auto" w:fill="FFFFFF"/>
            <w:tcMar>
              <w:top w:w="40" w:type="dxa"/>
              <w:bottom w:w="40" w:type="dxa"/>
              <w:right w:w="20" w:type="dxa"/>
            </w:tcMar>
            <w:vAlign w:val="bottom"/>
          </w:tcPr>
          <w:p w14:paraId="3693F9B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BC"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9BD" w14:textId="77777777" w:rsidR="003734EC" w:rsidRDefault="000E364E">
            <w:pPr>
              <w:jc w:val="right"/>
              <w:textAlignment w:val="bottom"/>
            </w:pPr>
            <w:r>
              <w:rPr>
                <w:rFonts w:ascii="sans-serif" w:eastAsia="sans-serif" w:hAnsi="sans-serif" w:cs="sans-serif"/>
                <w:color w:val="000000"/>
                <w:sz w:val="20"/>
                <w:szCs w:val="20"/>
              </w:rPr>
              <w:t>11.9 </w:t>
            </w:r>
          </w:p>
        </w:tc>
        <w:tc>
          <w:tcPr>
            <w:tcW w:w="0" w:type="auto"/>
            <w:shd w:val="clear" w:color="auto" w:fill="FFFFFF"/>
            <w:tcMar>
              <w:top w:w="40" w:type="dxa"/>
              <w:bottom w:w="40" w:type="dxa"/>
              <w:right w:w="20" w:type="dxa"/>
            </w:tcMar>
            <w:vAlign w:val="bottom"/>
          </w:tcPr>
          <w:p w14:paraId="3693F9B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BF" w14:textId="77777777" w:rsidR="003734EC" w:rsidRDefault="003734EC">
            <w:pPr>
              <w:rPr>
                <w:rFonts w:ascii="宋体"/>
                <w:vanish/>
              </w:rPr>
            </w:pPr>
          </w:p>
        </w:tc>
        <w:tc>
          <w:tcPr>
            <w:tcW w:w="0" w:type="auto"/>
            <w:shd w:val="clear" w:color="auto" w:fill="auto"/>
            <w:vAlign w:val="center"/>
          </w:tcPr>
          <w:p w14:paraId="3693F9C0" w14:textId="77777777" w:rsidR="003734EC" w:rsidRDefault="003734EC">
            <w:pPr>
              <w:rPr>
                <w:rFonts w:ascii="宋体"/>
                <w:vanish/>
              </w:rPr>
            </w:pPr>
          </w:p>
        </w:tc>
        <w:tc>
          <w:tcPr>
            <w:tcW w:w="0" w:type="auto"/>
            <w:shd w:val="clear" w:color="auto" w:fill="auto"/>
            <w:vAlign w:val="center"/>
          </w:tcPr>
          <w:p w14:paraId="3693F9C1" w14:textId="77777777" w:rsidR="003734EC" w:rsidRDefault="003734EC">
            <w:pPr>
              <w:rPr>
                <w:rFonts w:ascii="宋体"/>
                <w:vanish/>
              </w:rPr>
            </w:pPr>
          </w:p>
        </w:tc>
        <w:tc>
          <w:tcPr>
            <w:tcW w:w="0" w:type="auto"/>
            <w:shd w:val="clear" w:color="auto" w:fill="auto"/>
            <w:vAlign w:val="center"/>
          </w:tcPr>
          <w:p w14:paraId="3693F9C2" w14:textId="77777777" w:rsidR="003734EC" w:rsidRDefault="003734EC">
            <w:pPr>
              <w:rPr>
                <w:rFonts w:ascii="宋体"/>
                <w:vanish/>
              </w:rPr>
            </w:pPr>
          </w:p>
        </w:tc>
        <w:tc>
          <w:tcPr>
            <w:tcW w:w="0" w:type="auto"/>
            <w:shd w:val="clear" w:color="auto" w:fill="auto"/>
            <w:vAlign w:val="center"/>
          </w:tcPr>
          <w:p w14:paraId="3693F9C3" w14:textId="77777777" w:rsidR="003734EC" w:rsidRDefault="003734EC">
            <w:pPr>
              <w:rPr>
                <w:rFonts w:ascii="宋体"/>
              </w:rPr>
            </w:pPr>
          </w:p>
        </w:tc>
        <w:tc>
          <w:tcPr>
            <w:tcW w:w="0" w:type="auto"/>
            <w:shd w:val="clear" w:color="auto" w:fill="auto"/>
            <w:vAlign w:val="center"/>
          </w:tcPr>
          <w:p w14:paraId="3693F9C4" w14:textId="77777777" w:rsidR="003734EC" w:rsidRDefault="003734EC">
            <w:pPr>
              <w:rPr>
                <w:rFonts w:ascii="宋体"/>
              </w:rPr>
            </w:pPr>
          </w:p>
        </w:tc>
        <w:tc>
          <w:tcPr>
            <w:tcW w:w="0" w:type="auto"/>
            <w:shd w:val="clear" w:color="auto" w:fill="auto"/>
            <w:vAlign w:val="center"/>
          </w:tcPr>
          <w:p w14:paraId="3693F9C5" w14:textId="77777777" w:rsidR="003734EC" w:rsidRDefault="003734EC">
            <w:pPr>
              <w:rPr>
                <w:rFonts w:ascii="宋体"/>
              </w:rPr>
            </w:pPr>
          </w:p>
        </w:tc>
        <w:tc>
          <w:tcPr>
            <w:tcW w:w="0" w:type="auto"/>
            <w:shd w:val="clear" w:color="auto" w:fill="auto"/>
            <w:vAlign w:val="center"/>
          </w:tcPr>
          <w:p w14:paraId="3693F9C6" w14:textId="77777777" w:rsidR="003734EC" w:rsidRDefault="003734EC">
            <w:pPr>
              <w:rPr>
                <w:rFonts w:ascii="宋体"/>
              </w:rPr>
            </w:pPr>
          </w:p>
        </w:tc>
        <w:tc>
          <w:tcPr>
            <w:tcW w:w="0" w:type="auto"/>
            <w:shd w:val="clear" w:color="auto" w:fill="auto"/>
            <w:vAlign w:val="center"/>
          </w:tcPr>
          <w:p w14:paraId="3693F9C7" w14:textId="77777777" w:rsidR="003734EC" w:rsidRDefault="003734EC">
            <w:pPr>
              <w:rPr>
                <w:rFonts w:ascii="宋体"/>
              </w:rPr>
            </w:pPr>
          </w:p>
        </w:tc>
        <w:tc>
          <w:tcPr>
            <w:tcW w:w="0" w:type="auto"/>
            <w:shd w:val="clear" w:color="auto" w:fill="auto"/>
            <w:vAlign w:val="center"/>
          </w:tcPr>
          <w:p w14:paraId="3693F9C8" w14:textId="77777777" w:rsidR="003734EC" w:rsidRDefault="003734EC">
            <w:pPr>
              <w:rPr>
                <w:rFonts w:ascii="宋体"/>
              </w:rPr>
            </w:pPr>
          </w:p>
        </w:tc>
      </w:tr>
      <w:tr w:rsidR="003734EC" w14:paraId="3693F9D8" w14:textId="77777777">
        <w:trPr>
          <w:hidden/>
        </w:trPr>
        <w:tc>
          <w:tcPr>
            <w:tcW w:w="0" w:type="auto"/>
            <w:gridSpan w:val="3"/>
            <w:shd w:val="clear" w:color="auto" w:fill="auto"/>
            <w:vAlign w:val="center"/>
          </w:tcPr>
          <w:p w14:paraId="3693F9CA" w14:textId="77777777" w:rsidR="003734EC" w:rsidRDefault="003734EC">
            <w:pPr>
              <w:rPr>
                <w:rFonts w:ascii="宋体"/>
                <w:vanish/>
              </w:rPr>
            </w:pPr>
          </w:p>
        </w:tc>
        <w:tc>
          <w:tcPr>
            <w:tcW w:w="0" w:type="auto"/>
            <w:gridSpan w:val="3"/>
            <w:shd w:val="clear" w:color="auto" w:fill="auto"/>
            <w:vAlign w:val="center"/>
          </w:tcPr>
          <w:p w14:paraId="3693F9CB" w14:textId="77777777" w:rsidR="003734EC" w:rsidRDefault="003734EC">
            <w:pPr>
              <w:rPr>
                <w:rFonts w:ascii="宋体"/>
                <w:vanish/>
              </w:rPr>
            </w:pPr>
          </w:p>
        </w:tc>
        <w:tc>
          <w:tcPr>
            <w:tcW w:w="0" w:type="auto"/>
            <w:gridSpan w:val="3"/>
            <w:shd w:val="clear" w:color="auto" w:fill="auto"/>
            <w:vAlign w:val="center"/>
          </w:tcPr>
          <w:p w14:paraId="3693F9CC" w14:textId="77777777" w:rsidR="003734EC" w:rsidRDefault="003734EC">
            <w:pPr>
              <w:rPr>
                <w:rFonts w:ascii="宋体"/>
                <w:vanish/>
              </w:rPr>
            </w:pPr>
          </w:p>
        </w:tc>
        <w:tc>
          <w:tcPr>
            <w:tcW w:w="0" w:type="auto"/>
            <w:gridSpan w:val="3"/>
            <w:shd w:val="clear" w:color="auto" w:fill="auto"/>
            <w:vAlign w:val="center"/>
          </w:tcPr>
          <w:p w14:paraId="3693F9CD" w14:textId="77777777" w:rsidR="003734EC" w:rsidRDefault="003734EC">
            <w:pPr>
              <w:rPr>
                <w:rFonts w:ascii="宋体"/>
                <w:vanish/>
              </w:rPr>
            </w:pPr>
          </w:p>
        </w:tc>
        <w:tc>
          <w:tcPr>
            <w:tcW w:w="0" w:type="auto"/>
            <w:shd w:val="clear" w:color="auto" w:fill="auto"/>
            <w:vAlign w:val="center"/>
          </w:tcPr>
          <w:p w14:paraId="3693F9CE" w14:textId="77777777" w:rsidR="003734EC" w:rsidRDefault="003734EC">
            <w:pPr>
              <w:rPr>
                <w:rFonts w:ascii="宋体"/>
                <w:vanish/>
              </w:rPr>
            </w:pPr>
          </w:p>
        </w:tc>
        <w:tc>
          <w:tcPr>
            <w:tcW w:w="0" w:type="auto"/>
            <w:shd w:val="clear" w:color="auto" w:fill="auto"/>
            <w:vAlign w:val="center"/>
          </w:tcPr>
          <w:p w14:paraId="3693F9CF" w14:textId="77777777" w:rsidR="003734EC" w:rsidRDefault="003734EC">
            <w:pPr>
              <w:rPr>
                <w:rFonts w:ascii="宋体"/>
                <w:vanish/>
              </w:rPr>
            </w:pPr>
          </w:p>
        </w:tc>
        <w:tc>
          <w:tcPr>
            <w:tcW w:w="0" w:type="auto"/>
            <w:shd w:val="clear" w:color="auto" w:fill="auto"/>
            <w:vAlign w:val="center"/>
          </w:tcPr>
          <w:p w14:paraId="3693F9D0" w14:textId="77777777" w:rsidR="003734EC" w:rsidRDefault="003734EC">
            <w:pPr>
              <w:rPr>
                <w:rFonts w:ascii="宋体"/>
                <w:vanish/>
              </w:rPr>
            </w:pPr>
          </w:p>
        </w:tc>
        <w:tc>
          <w:tcPr>
            <w:tcW w:w="0" w:type="auto"/>
            <w:shd w:val="clear" w:color="auto" w:fill="auto"/>
            <w:vAlign w:val="center"/>
          </w:tcPr>
          <w:p w14:paraId="3693F9D1" w14:textId="77777777" w:rsidR="003734EC" w:rsidRDefault="003734EC">
            <w:pPr>
              <w:rPr>
                <w:rFonts w:ascii="宋体"/>
                <w:vanish/>
              </w:rPr>
            </w:pPr>
          </w:p>
        </w:tc>
        <w:tc>
          <w:tcPr>
            <w:tcW w:w="0" w:type="auto"/>
            <w:shd w:val="clear" w:color="auto" w:fill="auto"/>
            <w:vAlign w:val="center"/>
          </w:tcPr>
          <w:p w14:paraId="3693F9D2" w14:textId="77777777" w:rsidR="003734EC" w:rsidRDefault="003734EC">
            <w:pPr>
              <w:rPr>
                <w:rFonts w:ascii="宋体"/>
              </w:rPr>
            </w:pPr>
          </w:p>
        </w:tc>
        <w:tc>
          <w:tcPr>
            <w:tcW w:w="0" w:type="auto"/>
            <w:shd w:val="clear" w:color="auto" w:fill="auto"/>
            <w:vAlign w:val="center"/>
          </w:tcPr>
          <w:p w14:paraId="3693F9D3" w14:textId="77777777" w:rsidR="003734EC" w:rsidRDefault="003734EC">
            <w:pPr>
              <w:rPr>
                <w:rFonts w:ascii="宋体"/>
              </w:rPr>
            </w:pPr>
          </w:p>
        </w:tc>
        <w:tc>
          <w:tcPr>
            <w:tcW w:w="0" w:type="auto"/>
            <w:shd w:val="clear" w:color="auto" w:fill="auto"/>
            <w:vAlign w:val="center"/>
          </w:tcPr>
          <w:p w14:paraId="3693F9D4" w14:textId="77777777" w:rsidR="003734EC" w:rsidRDefault="003734EC">
            <w:pPr>
              <w:rPr>
                <w:rFonts w:ascii="宋体"/>
              </w:rPr>
            </w:pPr>
          </w:p>
        </w:tc>
        <w:tc>
          <w:tcPr>
            <w:tcW w:w="0" w:type="auto"/>
            <w:shd w:val="clear" w:color="auto" w:fill="auto"/>
            <w:vAlign w:val="center"/>
          </w:tcPr>
          <w:p w14:paraId="3693F9D5" w14:textId="77777777" w:rsidR="003734EC" w:rsidRDefault="003734EC">
            <w:pPr>
              <w:rPr>
                <w:rFonts w:ascii="宋体"/>
              </w:rPr>
            </w:pPr>
          </w:p>
        </w:tc>
        <w:tc>
          <w:tcPr>
            <w:tcW w:w="0" w:type="auto"/>
            <w:shd w:val="clear" w:color="auto" w:fill="auto"/>
            <w:vAlign w:val="center"/>
          </w:tcPr>
          <w:p w14:paraId="3693F9D6" w14:textId="77777777" w:rsidR="003734EC" w:rsidRDefault="003734EC">
            <w:pPr>
              <w:rPr>
                <w:rFonts w:ascii="宋体"/>
              </w:rPr>
            </w:pPr>
          </w:p>
        </w:tc>
        <w:tc>
          <w:tcPr>
            <w:tcW w:w="0" w:type="auto"/>
            <w:shd w:val="clear" w:color="auto" w:fill="auto"/>
            <w:vAlign w:val="center"/>
          </w:tcPr>
          <w:p w14:paraId="3693F9D7" w14:textId="77777777" w:rsidR="003734EC" w:rsidRDefault="003734EC">
            <w:pPr>
              <w:rPr>
                <w:rFonts w:ascii="宋体"/>
              </w:rPr>
            </w:pPr>
          </w:p>
        </w:tc>
      </w:tr>
      <w:tr w:rsidR="003734EC" w14:paraId="3693F9E9" w14:textId="77777777">
        <w:tc>
          <w:tcPr>
            <w:tcW w:w="0" w:type="auto"/>
            <w:gridSpan w:val="3"/>
            <w:shd w:val="clear" w:color="auto" w:fill="E2EFD9"/>
            <w:tcMar>
              <w:top w:w="40" w:type="dxa"/>
              <w:left w:w="20" w:type="dxa"/>
              <w:bottom w:w="40" w:type="dxa"/>
              <w:right w:w="20" w:type="dxa"/>
            </w:tcMar>
            <w:vAlign w:val="bottom"/>
          </w:tcPr>
          <w:p w14:paraId="3693F9D9" w14:textId="77777777" w:rsidR="003734EC" w:rsidRDefault="000E364E">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DA" w14:textId="77777777" w:rsidR="003734EC" w:rsidRDefault="000E364E">
            <w:pPr>
              <w:jc w:val="right"/>
              <w:textAlignment w:val="bottom"/>
            </w:pPr>
            <w:r>
              <w:rPr>
                <w:rFonts w:ascii="sans-serif" w:eastAsia="sans-serif" w:hAnsi="sans-serif" w:cs="sans-serif"/>
                <w:color w:val="000000"/>
                <w:sz w:val="20"/>
                <w:szCs w:val="20"/>
              </w:rPr>
              <w:t>33.4 </w:t>
            </w:r>
          </w:p>
        </w:tc>
        <w:tc>
          <w:tcPr>
            <w:tcW w:w="0" w:type="auto"/>
            <w:tcBorders>
              <w:top w:val="single" w:sz="8" w:space="0" w:color="000000"/>
            </w:tcBorders>
            <w:shd w:val="clear" w:color="auto" w:fill="E2EFD9"/>
            <w:tcMar>
              <w:top w:w="40" w:type="dxa"/>
              <w:bottom w:w="40" w:type="dxa"/>
              <w:right w:w="20" w:type="dxa"/>
            </w:tcMar>
            <w:vAlign w:val="bottom"/>
          </w:tcPr>
          <w:p w14:paraId="3693F9D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9DC"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9DD" w14:textId="77777777" w:rsidR="003734EC" w:rsidRDefault="000E364E">
            <w:pPr>
              <w:jc w:val="right"/>
              <w:textAlignment w:val="bottom"/>
            </w:pPr>
            <w:r>
              <w:rPr>
                <w:rFonts w:ascii="sans-serif" w:eastAsia="sans-serif" w:hAnsi="sans-serif" w:cs="sans-serif"/>
                <w:color w:val="000000"/>
                <w:sz w:val="20"/>
                <w:szCs w:val="20"/>
              </w:rPr>
              <w:t>42.3 </w:t>
            </w:r>
          </w:p>
        </w:tc>
        <w:tc>
          <w:tcPr>
            <w:tcW w:w="0" w:type="auto"/>
            <w:tcBorders>
              <w:top w:val="single" w:sz="8" w:space="0" w:color="000000"/>
            </w:tcBorders>
            <w:shd w:val="clear" w:color="auto" w:fill="E2EFD9"/>
            <w:tcMar>
              <w:top w:w="40" w:type="dxa"/>
              <w:bottom w:w="40" w:type="dxa"/>
              <w:right w:w="20" w:type="dxa"/>
            </w:tcMar>
            <w:vAlign w:val="bottom"/>
          </w:tcPr>
          <w:p w14:paraId="3693F9D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DF" w14:textId="77777777" w:rsidR="003734EC" w:rsidRDefault="003734EC">
            <w:pPr>
              <w:rPr>
                <w:rFonts w:ascii="宋体"/>
                <w:vanish/>
              </w:rPr>
            </w:pPr>
          </w:p>
        </w:tc>
        <w:tc>
          <w:tcPr>
            <w:tcW w:w="0" w:type="auto"/>
            <w:shd w:val="clear" w:color="auto" w:fill="auto"/>
            <w:vAlign w:val="center"/>
          </w:tcPr>
          <w:p w14:paraId="3693F9E0" w14:textId="77777777" w:rsidR="003734EC" w:rsidRDefault="003734EC">
            <w:pPr>
              <w:rPr>
                <w:rFonts w:ascii="宋体"/>
                <w:vanish/>
              </w:rPr>
            </w:pPr>
          </w:p>
        </w:tc>
        <w:tc>
          <w:tcPr>
            <w:tcW w:w="0" w:type="auto"/>
            <w:shd w:val="clear" w:color="auto" w:fill="auto"/>
            <w:vAlign w:val="center"/>
          </w:tcPr>
          <w:p w14:paraId="3693F9E1" w14:textId="77777777" w:rsidR="003734EC" w:rsidRDefault="003734EC">
            <w:pPr>
              <w:rPr>
                <w:rFonts w:ascii="宋体"/>
                <w:vanish/>
              </w:rPr>
            </w:pPr>
          </w:p>
        </w:tc>
        <w:tc>
          <w:tcPr>
            <w:tcW w:w="0" w:type="auto"/>
            <w:shd w:val="clear" w:color="auto" w:fill="auto"/>
            <w:vAlign w:val="center"/>
          </w:tcPr>
          <w:p w14:paraId="3693F9E2" w14:textId="77777777" w:rsidR="003734EC" w:rsidRDefault="003734EC">
            <w:pPr>
              <w:rPr>
                <w:rFonts w:ascii="宋体"/>
                <w:vanish/>
              </w:rPr>
            </w:pPr>
          </w:p>
        </w:tc>
        <w:tc>
          <w:tcPr>
            <w:tcW w:w="0" w:type="auto"/>
            <w:shd w:val="clear" w:color="auto" w:fill="auto"/>
            <w:vAlign w:val="center"/>
          </w:tcPr>
          <w:p w14:paraId="3693F9E3" w14:textId="77777777" w:rsidR="003734EC" w:rsidRDefault="003734EC">
            <w:pPr>
              <w:rPr>
                <w:rFonts w:ascii="宋体"/>
              </w:rPr>
            </w:pPr>
          </w:p>
        </w:tc>
        <w:tc>
          <w:tcPr>
            <w:tcW w:w="0" w:type="auto"/>
            <w:shd w:val="clear" w:color="auto" w:fill="auto"/>
            <w:vAlign w:val="center"/>
          </w:tcPr>
          <w:p w14:paraId="3693F9E4" w14:textId="77777777" w:rsidR="003734EC" w:rsidRDefault="003734EC">
            <w:pPr>
              <w:rPr>
                <w:rFonts w:ascii="宋体"/>
              </w:rPr>
            </w:pPr>
          </w:p>
        </w:tc>
        <w:tc>
          <w:tcPr>
            <w:tcW w:w="0" w:type="auto"/>
            <w:shd w:val="clear" w:color="auto" w:fill="auto"/>
            <w:vAlign w:val="center"/>
          </w:tcPr>
          <w:p w14:paraId="3693F9E5" w14:textId="77777777" w:rsidR="003734EC" w:rsidRDefault="003734EC">
            <w:pPr>
              <w:rPr>
                <w:rFonts w:ascii="宋体"/>
              </w:rPr>
            </w:pPr>
          </w:p>
        </w:tc>
        <w:tc>
          <w:tcPr>
            <w:tcW w:w="0" w:type="auto"/>
            <w:shd w:val="clear" w:color="auto" w:fill="auto"/>
            <w:vAlign w:val="center"/>
          </w:tcPr>
          <w:p w14:paraId="3693F9E6" w14:textId="77777777" w:rsidR="003734EC" w:rsidRDefault="003734EC">
            <w:pPr>
              <w:rPr>
                <w:rFonts w:ascii="宋体"/>
              </w:rPr>
            </w:pPr>
          </w:p>
        </w:tc>
        <w:tc>
          <w:tcPr>
            <w:tcW w:w="0" w:type="auto"/>
            <w:shd w:val="clear" w:color="auto" w:fill="auto"/>
            <w:vAlign w:val="center"/>
          </w:tcPr>
          <w:p w14:paraId="3693F9E7" w14:textId="77777777" w:rsidR="003734EC" w:rsidRDefault="003734EC">
            <w:pPr>
              <w:rPr>
                <w:rFonts w:ascii="宋体"/>
              </w:rPr>
            </w:pPr>
          </w:p>
        </w:tc>
        <w:tc>
          <w:tcPr>
            <w:tcW w:w="0" w:type="auto"/>
            <w:shd w:val="clear" w:color="auto" w:fill="auto"/>
            <w:vAlign w:val="center"/>
          </w:tcPr>
          <w:p w14:paraId="3693F9E8" w14:textId="77777777" w:rsidR="003734EC" w:rsidRDefault="003734EC">
            <w:pPr>
              <w:rPr>
                <w:rFonts w:ascii="宋体"/>
              </w:rPr>
            </w:pPr>
          </w:p>
        </w:tc>
      </w:tr>
      <w:tr w:rsidR="003734EC" w14:paraId="3693F9FA" w14:textId="77777777">
        <w:tc>
          <w:tcPr>
            <w:tcW w:w="0" w:type="auto"/>
            <w:gridSpan w:val="3"/>
            <w:shd w:val="clear" w:color="auto" w:fill="FFFFFF"/>
            <w:tcMar>
              <w:top w:w="40" w:type="dxa"/>
              <w:left w:w="20" w:type="dxa"/>
              <w:bottom w:w="40" w:type="dxa"/>
              <w:right w:w="20" w:type="dxa"/>
            </w:tcMar>
            <w:vAlign w:val="bottom"/>
          </w:tcPr>
          <w:p w14:paraId="3693F9EA" w14:textId="77777777" w:rsidR="003734EC" w:rsidRDefault="000E364E">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F9EB" w14:textId="77777777" w:rsidR="003734EC" w:rsidRDefault="000E364E">
            <w:pPr>
              <w:jc w:val="right"/>
              <w:textAlignment w:val="bottom"/>
            </w:pPr>
            <w:r>
              <w:rPr>
                <w:rFonts w:ascii="sans-serif" w:eastAsia="sans-serif" w:hAnsi="sans-serif" w:cs="sans-serif"/>
                <w:color w:val="000000"/>
                <w:sz w:val="20"/>
                <w:szCs w:val="20"/>
              </w:rPr>
              <w:t>31.7 </w:t>
            </w:r>
          </w:p>
        </w:tc>
        <w:tc>
          <w:tcPr>
            <w:tcW w:w="0" w:type="auto"/>
            <w:tcBorders>
              <w:top w:val="single" w:sz="8" w:space="0" w:color="000000"/>
            </w:tcBorders>
            <w:shd w:val="clear" w:color="auto" w:fill="FFFFFF"/>
            <w:tcMar>
              <w:top w:w="40" w:type="dxa"/>
              <w:bottom w:w="40" w:type="dxa"/>
              <w:right w:w="20" w:type="dxa"/>
            </w:tcMar>
            <w:vAlign w:val="bottom"/>
          </w:tcPr>
          <w:p w14:paraId="3693F9E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9ED"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F9EE" w14:textId="77777777" w:rsidR="003734EC" w:rsidRDefault="000E364E">
            <w:pPr>
              <w:jc w:val="right"/>
              <w:textAlignment w:val="bottom"/>
            </w:pPr>
            <w:r>
              <w:rPr>
                <w:rFonts w:ascii="sans-serif" w:eastAsia="sans-serif" w:hAnsi="sans-serif" w:cs="sans-serif"/>
                <w:color w:val="000000"/>
                <w:sz w:val="20"/>
                <w:szCs w:val="20"/>
              </w:rPr>
              <w:t>16.1 </w:t>
            </w:r>
          </w:p>
        </w:tc>
        <w:tc>
          <w:tcPr>
            <w:tcW w:w="0" w:type="auto"/>
            <w:tcBorders>
              <w:top w:val="single" w:sz="8" w:space="0" w:color="000000"/>
            </w:tcBorders>
            <w:shd w:val="clear" w:color="auto" w:fill="FFFFFF"/>
            <w:tcMar>
              <w:top w:w="40" w:type="dxa"/>
              <w:bottom w:w="40" w:type="dxa"/>
              <w:right w:w="20" w:type="dxa"/>
            </w:tcMar>
            <w:vAlign w:val="bottom"/>
          </w:tcPr>
          <w:p w14:paraId="3693F9E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9F0" w14:textId="77777777" w:rsidR="003734EC" w:rsidRDefault="003734EC">
            <w:pPr>
              <w:rPr>
                <w:rFonts w:ascii="宋体"/>
                <w:vanish/>
              </w:rPr>
            </w:pPr>
          </w:p>
        </w:tc>
        <w:tc>
          <w:tcPr>
            <w:tcW w:w="0" w:type="auto"/>
            <w:shd w:val="clear" w:color="auto" w:fill="auto"/>
            <w:vAlign w:val="center"/>
          </w:tcPr>
          <w:p w14:paraId="3693F9F1" w14:textId="77777777" w:rsidR="003734EC" w:rsidRDefault="003734EC">
            <w:pPr>
              <w:rPr>
                <w:rFonts w:ascii="宋体"/>
                <w:vanish/>
              </w:rPr>
            </w:pPr>
          </w:p>
        </w:tc>
        <w:tc>
          <w:tcPr>
            <w:tcW w:w="0" w:type="auto"/>
            <w:shd w:val="clear" w:color="auto" w:fill="auto"/>
            <w:vAlign w:val="center"/>
          </w:tcPr>
          <w:p w14:paraId="3693F9F2" w14:textId="77777777" w:rsidR="003734EC" w:rsidRDefault="003734EC">
            <w:pPr>
              <w:rPr>
                <w:rFonts w:ascii="宋体"/>
                <w:vanish/>
              </w:rPr>
            </w:pPr>
          </w:p>
        </w:tc>
        <w:tc>
          <w:tcPr>
            <w:tcW w:w="0" w:type="auto"/>
            <w:shd w:val="clear" w:color="auto" w:fill="auto"/>
            <w:vAlign w:val="center"/>
          </w:tcPr>
          <w:p w14:paraId="3693F9F3" w14:textId="77777777" w:rsidR="003734EC" w:rsidRDefault="003734EC">
            <w:pPr>
              <w:rPr>
                <w:rFonts w:ascii="宋体"/>
                <w:vanish/>
              </w:rPr>
            </w:pPr>
          </w:p>
        </w:tc>
        <w:tc>
          <w:tcPr>
            <w:tcW w:w="0" w:type="auto"/>
            <w:shd w:val="clear" w:color="auto" w:fill="auto"/>
            <w:vAlign w:val="center"/>
          </w:tcPr>
          <w:p w14:paraId="3693F9F4" w14:textId="77777777" w:rsidR="003734EC" w:rsidRDefault="003734EC">
            <w:pPr>
              <w:rPr>
                <w:rFonts w:ascii="宋体"/>
              </w:rPr>
            </w:pPr>
          </w:p>
        </w:tc>
        <w:tc>
          <w:tcPr>
            <w:tcW w:w="0" w:type="auto"/>
            <w:shd w:val="clear" w:color="auto" w:fill="auto"/>
            <w:vAlign w:val="center"/>
          </w:tcPr>
          <w:p w14:paraId="3693F9F5" w14:textId="77777777" w:rsidR="003734EC" w:rsidRDefault="003734EC">
            <w:pPr>
              <w:rPr>
                <w:rFonts w:ascii="宋体"/>
              </w:rPr>
            </w:pPr>
          </w:p>
        </w:tc>
        <w:tc>
          <w:tcPr>
            <w:tcW w:w="0" w:type="auto"/>
            <w:shd w:val="clear" w:color="auto" w:fill="auto"/>
            <w:vAlign w:val="center"/>
          </w:tcPr>
          <w:p w14:paraId="3693F9F6" w14:textId="77777777" w:rsidR="003734EC" w:rsidRDefault="003734EC">
            <w:pPr>
              <w:rPr>
                <w:rFonts w:ascii="宋体"/>
              </w:rPr>
            </w:pPr>
          </w:p>
        </w:tc>
        <w:tc>
          <w:tcPr>
            <w:tcW w:w="0" w:type="auto"/>
            <w:shd w:val="clear" w:color="auto" w:fill="auto"/>
            <w:vAlign w:val="center"/>
          </w:tcPr>
          <w:p w14:paraId="3693F9F7" w14:textId="77777777" w:rsidR="003734EC" w:rsidRDefault="003734EC">
            <w:pPr>
              <w:rPr>
                <w:rFonts w:ascii="宋体"/>
              </w:rPr>
            </w:pPr>
          </w:p>
        </w:tc>
        <w:tc>
          <w:tcPr>
            <w:tcW w:w="0" w:type="auto"/>
            <w:shd w:val="clear" w:color="auto" w:fill="auto"/>
            <w:vAlign w:val="center"/>
          </w:tcPr>
          <w:p w14:paraId="3693F9F8" w14:textId="77777777" w:rsidR="003734EC" w:rsidRDefault="003734EC">
            <w:pPr>
              <w:rPr>
                <w:rFonts w:ascii="宋体"/>
              </w:rPr>
            </w:pPr>
          </w:p>
        </w:tc>
        <w:tc>
          <w:tcPr>
            <w:tcW w:w="0" w:type="auto"/>
            <w:shd w:val="clear" w:color="auto" w:fill="auto"/>
            <w:vAlign w:val="center"/>
          </w:tcPr>
          <w:p w14:paraId="3693F9F9" w14:textId="77777777" w:rsidR="003734EC" w:rsidRDefault="003734EC">
            <w:pPr>
              <w:rPr>
                <w:rFonts w:ascii="宋体"/>
              </w:rPr>
            </w:pPr>
          </w:p>
        </w:tc>
      </w:tr>
      <w:tr w:rsidR="003734EC" w14:paraId="3693FA0B" w14:textId="77777777">
        <w:tc>
          <w:tcPr>
            <w:tcW w:w="0" w:type="auto"/>
            <w:gridSpan w:val="3"/>
            <w:shd w:val="clear" w:color="auto" w:fill="E2EFD9"/>
            <w:tcMar>
              <w:top w:w="40" w:type="dxa"/>
              <w:left w:w="20" w:type="dxa"/>
              <w:bottom w:w="40" w:type="dxa"/>
              <w:right w:w="20" w:type="dxa"/>
            </w:tcMar>
            <w:vAlign w:val="bottom"/>
          </w:tcPr>
          <w:p w14:paraId="3693F9FB" w14:textId="77777777" w:rsidR="003734EC" w:rsidRDefault="000E364E">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3693F9FC" w14:textId="77777777" w:rsidR="003734EC" w:rsidRDefault="000E364E">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bottom w:w="40" w:type="dxa"/>
              <w:right w:w="20" w:type="dxa"/>
            </w:tcMar>
            <w:vAlign w:val="bottom"/>
          </w:tcPr>
          <w:p w14:paraId="3693F9FD"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9FE"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9FF" w14:textId="77777777" w:rsidR="003734EC" w:rsidRDefault="000E364E">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bottom w:w="40" w:type="dxa"/>
              <w:right w:w="20" w:type="dxa"/>
            </w:tcMar>
            <w:vAlign w:val="bottom"/>
          </w:tcPr>
          <w:p w14:paraId="3693FA0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A01" w14:textId="77777777" w:rsidR="003734EC" w:rsidRDefault="003734EC">
            <w:pPr>
              <w:rPr>
                <w:rFonts w:ascii="宋体"/>
                <w:vanish/>
              </w:rPr>
            </w:pPr>
          </w:p>
        </w:tc>
        <w:tc>
          <w:tcPr>
            <w:tcW w:w="0" w:type="auto"/>
            <w:shd w:val="clear" w:color="auto" w:fill="auto"/>
            <w:vAlign w:val="center"/>
          </w:tcPr>
          <w:p w14:paraId="3693FA02" w14:textId="77777777" w:rsidR="003734EC" w:rsidRDefault="003734EC">
            <w:pPr>
              <w:rPr>
                <w:rFonts w:ascii="宋体"/>
                <w:vanish/>
              </w:rPr>
            </w:pPr>
          </w:p>
        </w:tc>
        <w:tc>
          <w:tcPr>
            <w:tcW w:w="0" w:type="auto"/>
            <w:shd w:val="clear" w:color="auto" w:fill="auto"/>
            <w:vAlign w:val="center"/>
          </w:tcPr>
          <w:p w14:paraId="3693FA03" w14:textId="77777777" w:rsidR="003734EC" w:rsidRDefault="003734EC">
            <w:pPr>
              <w:rPr>
                <w:rFonts w:ascii="宋体"/>
                <w:vanish/>
              </w:rPr>
            </w:pPr>
          </w:p>
        </w:tc>
        <w:tc>
          <w:tcPr>
            <w:tcW w:w="0" w:type="auto"/>
            <w:shd w:val="clear" w:color="auto" w:fill="auto"/>
            <w:vAlign w:val="center"/>
          </w:tcPr>
          <w:p w14:paraId="3693FA04" w14:textId="77777777" w:rsidR="003734EC" w:rsidRDefault="003734EC">
            <w:pPr>
              <w:rPr>
                <w:rFonts w:ascii="宋体"/>
                <w:vanish/>
              </w:rPr>
            </w:pPr>
          </w:p>
        </w:tc>
        <w:tc>
          <w:tcPr>
            <w:tcW w:w="0" w:type="auto"/>
            <w:shd w:val="clear" w:color="auto" w:fill="auto"/>
            <w:vAlign w:val="center"/>
          </w:tcPr>
          <w:p w14:paraId="3693FA05" w14:textId="77777777" w:rsidR="003734EC" w:rsidRDefault="003734EC">
            <w:pPr>
              <w:rPr>
                <w:rFonts w:ascii="宋体"/>
              </w:rPr>
            </w:pPr>
          </w:p>
        </w:tc>
        <w:tc>
          <w:tcPr>
            <w:tcW w:w="0" w:type="auto"/>
            <w:shd w:val="clear" w:color="auto" w:fill="auto"/>
            <w:vAlign w:val="center"/>
          </w:tcPr>
          <w:p w14:paraId="3693FA06" w14:textId="77777777" w:rsidR="003734EC" w:rsidRDefault="003734EC">
            <w:pPr>
              <w:rPr>
                <w:rFonts w:ascii="宋体"/>
              </w:rPr>
            </w:pPr>
          </w:p>
        </w:tc>
        <w:tc>
          <w:tcPr>
            <w:tcW w:w="0" w:type="auto"/>
            <w:shd w:val="clear" w:color="auto" w:fill="auto"/>
            <w:vAlign w:val="center"/>
          </w:tcPr>
          <w:p w14:paraId="3693FA07" w14:textId="77777777" w:rsidR="003734EC" w:rsidRDefault="003734EC">
            <w:pPr>
              <w:rPr>
                <w:rFonts w:ascii="宋体"/>
              </w:rPr>
            </w:pPr>
          </w:p>
        </w:tc>
        <w:tc>
          <w:tcPr>
            <w:tcW w:w="0" w:type="auto"/>
            <w:shd w:val="clear" w:color="auto" w:fill="auto"/>
            <w:vAlign w:val="center"/>
          </w:tcPr>
          <w:p w14:paraId="3693FA08" w14:textId="77777777" w:rsidR="003734EC" w:rsidRDefault="003734EC">
            <w:pPr>
              <w:rPr>
                <w:rFonts w:ascii="宋体"/>
              </w:rPr>
            </w:pPr>
          </w:p>
        </w:tc>
        <w:tc>
          <w:tcPr>
            <w:tcW w:w="0" w:type="auto"/>
            <w:shd w:val="clear" w:color="auto" w:fill="auto"/>
            <w:vAlign w:val="center"/>
          </w:tcPr>
          <w:p w14:paraId="3693FA09" w14:textId="77777777" w:rsidR="003734EC" w:rsidRDefault="003734EC">
            <w:pPr>
              <w:rPr>
                <w:rFonts w:ascii="宋体"/>
              </w:rPr>
            </w:pPr>
          </w:p>
        </w:tc>
        <w:tc>
          <w:tcPr>
            <w:tcW w:w="0" w:type="auto"/>
            <w:shd w:val="clear" w:color="auto" w:fill="auto"/>
            <w:vAlign w:val="center"/>
          </w:tcPr>
          <w:p w14:paraId="3693FA0A" w14:textId="77777777" w:rsidR="003734EC" w:rsidRDefault="003734EC">
            <w:pPr>
              <w:rPr>
                <w:rFonts w:ascii="宋体"/>
              </w:rPr>
            </w:pPr>
          </w:p>
        </w:tc>
      </w:tr>
      <w:tr w:rsidR="003734EC" w14:paraId="3693FA1C" w14:textId="77777777">
        <w:tc>
          <w:tcPr>
            <w:tcW w:w="0" w:type="auto"/>
            <w:gridSpan w:val="3"/>
            <w:shd w:val="clear" w:color="auto" w:fill="FFFFFF"/>
            <w:tcMar>
              <w:top w:w="40" w:type="dxa"/>
              <w:left w:w="20" w:type="dxa"/>
              <w:bottom w:w="40" w:type="dxa"/>
              <w:right w:w="20" w:type="dxa"/>
            </w:tcMar>
            <w:vAlign w:val="bottom"/>
          </w:tcPr>
          <w:p w14:paraId="3693FA0C" w14:textId="77777777" w:rsidR="003734EC" w:rsidRDefault="000E364E">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3693FA0D" w14:textId="77777777" w:rsidR="003734EC" w:rsidRDefault="000E364E">
            <w:pPr>
              <w:jc w:val="right"/>
              <w:textAlignment w:val="bottom"/>
            </w:pPr>
            <w:r>
              <w:rPr>
                <w:rFonts w:ascii="sans-serif" w:eastAsia="sans-serif" w:hAnsi="sans-serif" w:cs="sans-serif"/>
                <w:color w:val="000000"/>
                <w:sz w:val="20"/>
                <w:szCs w:val="20"/>
              </w:rPr>
              <w:t>(0.8)</w:t>
            </w:r>
          </w:p>
        </w:tc>
        <w:tc>
          <w:tcPr>
            <w:tcW w:w="0" w:type="auto"/>
            <w:shd w:val="clear" w:color="auto" w:fill="FFFFFF"/>
            <w:tcMar>
              <w:top w:w="40" w:type="dxa"/>
              <w:bottom w:w="40" w:type="dxa"/>
              <w:right w:w="20" w:type="dxa"/>
            </w:tcMar>
            <w:vAlign w:val="bottom"/>
          </w:tcPr>
          <w:p w14:paraId="3693FA0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A0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A10" w14:textId="77777777" w:rsidR="003734EC" w:rsidRDefault="000E364E">
            <w:pPr>
              <w:jc w:val="right"/>
              <w:textAlignment w:val="bottom"/>
            </w:pPr>
            <w:r>
              <w:rPr>
                <w:rFonts w:ascii="sans-serif" w:eastAsia="sans-serif" w:hAnsi="sans-serif" w:cs="sans-serif"/>
                <w:color w:val="000000"/>
                <w:sz w:val="20"/>
                <w:szCs w:val="20"/>
              </w:rPr>
              <w:t>(0.6)</w:t>
            </w:r>
          </w:p>
        </w:tc>
        <w:tc>
          <w:tcPr>
            <w:tcW w:w="0" w:type="auto"/>
            <w:shd w:val="clear" w:color="auto" w:fill="FFFFFF"/>
            <w:tcMar>
              <w:top w:w="40" w:type="dxa"/>
              <w:bottom w:w="40" w:type="dxa"/>
              <w:right w:w="20" w:type="dxa"/>
            </w:tcMar>
            <w:vAlign w:val="bottom"/>
          </w:tcPr>
          <w:p w14:paraId="3693FA1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A12" w14:textId="77777777" w:rsidR="003734EC" w:rsidRDefault="003734EC">
            <w:pPr>
              <w:rPr>
                <w:rFonts w:ascii="宋体"/>
                <w:vanish/>
              </w:rPr>
            </w:pPr>
          </w:p>
        </w:tc>
        <w:tc>
          <w:tcPr>
            <w:tcW w:w="0" w:type="auto"/>
            <w:shd w:val="clear" w:color="auto" w:fill="auto"/>
            <w:vAlign w:val="center"/>
          </w:tcPr>
          <w:p w14:paraId="3693FA13" w14:textId="77777777" w:rsidR="003734EC" w:rsidRDefault="003734EC">
            <w:pPr>
              <w:rPr>
                <w:rFonts w:ascii="宋体"/>
                <w:vanish/>
              </w:rPr>
            </w:pPr>
          </w:p>
        </w:tc>
        <w:tc>
          <w:tcPr>
            <w:tcW w:w="0" w:type="auto"/>
            <w:shd w:val="clear" w:color="auto" w:fill="auto"/>
            <w:vAlign w:val="center"/>
          </w:tcPr>
          <w:p w14:paraId="3693FA14" w14:textId="77777777" w:rsidR="003734EC" w:rsidRDefault="003734EC">
            <w:pPr>
              <w:rPr>
                <w:rFonts w:ascii="宋体"/>
                <w:vanish/>
              </w:rPr>
            </w:pPr>
          </w:p>
        </w:tc>
        <w:tc>
          <w:tcPr>
            <w:tcW w:w="0" w:type="auto"/>
            <w:shd w:val="clear" w:color="auto" w:fill="auto"/>
            <w:vAlign w:val="center"/>
          </w:tcPr>
          <w:p w14:paraId="3693FA15" w14:textId="77777777" w:rsidR="003734EC" w:rsidRDefault="003734EC">
            <w:pPr>
              <w:rPr>
                <w:rFonts w:ascii="宋体"/>
                <w:vanish/>
              </w:rPr>
            </w:pPr>
          </w:p>
        </w:tc>
        <w:tc>
          <w:tcPr>
            <w:tcW w:w="0" w:type="auto"/>
            <w:shd w:val="clear" w:color="auto" w:fill="auto"/>
            <w:vAlign w:val="center"/>
          </w:tcPr>
          <w:p w14:paraId="3693FA16" w14:textId="77777777" w:rsidR="003734EC" w:rsidRDefault="003734EC">
            <w:pPr>
              <w:rPr>
                <w:rFonts w:ascii="宋体"/>
              </w:rPr>
            </w:pPr>
          </w:p>
        </w:tc>
        <w:tc>
          <w:tcPr>
            <w:tcW w:w="0" w:type="auto"/>
            <w:shd w:val="clear" w:color="auto" w:fill="auto"/>
            <w:vAlign w:val="center"/>
          </w:tcPr>
          <w:p w14:paraId="3693FA17" w14:textId="77777777" w:rsidR="003734EC" w:rsidRDefault="003734EC">
            <w:pPr>
              <w:rPr>
                <w:rFonts w:ascii="宋体"/>
              </w:rPr>
            </w:pPr>
          </w:p>
        </w:tc>
        <w:tc>
          <w:tcPr>
            <w:tcW w:w="0" w:type="auto"/>
            <w:shd w:val="clear" w:color="auto" w:fill="auto"/>
            <w:vAlign w:val="center"/>
          </w:tcPr>
          <w:p w14:paraId="3693FA18" w14:textId="77777777" w:rsidR="003734EC" w:rsidRDefault="003734EC">
            <w:pPr>
              <w:rPr>
                <w:rFonts w:ascii="宋体"/>
              </w:rPr>
            </w:pPr>
          </w:p>
        </w:tc>
        <w:tc>
          <w:tcPr>
            <w:tcW w:w="0" w:type="auto"/>
            <w:shd w:val="clear" w:color="auto" w:fill="auto"/>
            <w:vAlign w:val="center"/>
          </w:tcPr>
          <w:p w14:paraId="3693FA19" w14:textId="77777777" w:rsidR="003734EC" w:rsidRDefault="003734EC">
            <w:pPr>
              <w:rPr>
                <w:rFonts w:ascii="宋体"/>
              </w:rPr>
            </w:pPr>
          </w:p>
        </w:tc>
        <w:tc>
          <w:tcPr>
            <w:tcW w:w="0" w:type="auto"/>
            <w:shd w:val="clear" w:color="auto" w:fill="auto"/>
            <w:vAlign w:val="center"/>
          </w:tcPr>
          <w:p w14:paraId="3693FA1A" w14:textId="77777777" w:rsidR="003734EC" w:rsidRDefault="003734EC">
            <w:pPr>
              <w:rPr>
                <w:rFonts w:ascii="宋体"/>
              </w:rPr>
            </w:pPr>
          </w:p>
        </w:tc>
        <w:tc>
          <w:tcPr>
            <w:tcW w:w="0" w:type="auto"/>
            <w:shd w:val="clear" w:color="auto" w:fill="auto"/>
            <w:vAlign w:val="center"/>
          </w:tcPr>
          <w:p w14:paraId="3693FA1B" w14:textId="77777777" w:rsidR="003734EC" w:rsidRDefault="003734EC">
            <w:pPr>
              <w:rPr>
                <w:rFonts w:ascii="宋体"/>
              </w:rPr>
            </w:pPr>
          </w:p>
        </w:tc>
      </w:tr>
      <w:tr w:rsidR="003734EC" w14:paraId="3693FA2B" w14:textId="77777777">
        <w:trPr>
          <w:hidden/>
        </w:trPr>
        <w:tc>
          <w:tcPr>
            <w:tcW w:w="0" w:type="auto"/>
            <w:gridSpan w:val="3"/>
            <w:shd w:val="clear" w:color="auto" w:fill="auto"/>
            <w:vAlign w:val="center"/>
          </w:tcPr>
          <w:p w14:paraId="3693FA1D" w14:textId="77777777" w:rsidR="003734EC" w:rsidRDefault="003734EC">
            <w:pPr>
              <w:rPr>
                <w:rFonts w:ascii="宋体"/>
                <w:vanish/>
              </w:rPr>
            </w:pPr>
          </w:p>
        </w:tc>
        <w:tc>
          <w:tcPr>
            <w:tcW w:w="0" w:type="auto"/>
            <w:gridSpan w:val="3"/>
            <w:shd w:val="clear" w:color="auto" w:fill="auto"/>
            <w:vAlign w:val="center"/>
          </w:tcPr>
          <w:p w14:paraId="3693FA1E" w14:textId="77777777" w:rsidR="003734EC" w:rsidRDefault="003734EC">
            <w:pPr>
              <w:rPr>
                <w:rFonts w:ascii="宋体"/>
                <w:vanish/>
              </w:rPr>
            </w:pPr>
          </w:p>
        </w:tc>
        <w:tc>
          <w:tcPr>
            <w:tcW w:w="0" w:type="auto"/>
            <w:gridSpan w:val="3"/>
            <w:shd w:val="clear" w:color="auto" w:fill="auto"/>
            <w:vAlign w:val="center"/>
          </w:tcPr>
          <w:p w14:paraId="3693FA1F" w14:textId="77777777" w:rsidR="003734EC" w:rsidRDefault="003734EC">
            <w:pPr>
              <w:rPr>
                <w:rFonts w:ascii="宋体"/>
                <w:vanish/>
              </w:rPr>
            </w:pPr>
          </w:p>
        </w:tc>
        <w:tc>
          <w:tcPr>
            <w:tcW w:w="0" w:type="auto"/>
            <w:gridSpan w:val="3"/>
            <w:shd w:val="clear" w:color="auto" w:fill="auto"/>
            <w:vAlign w:val="center"/>
          </w:tcPr>
          <w:p w14:paraId="3693FA20" w14:textId="77777777" w:rsidR="003734EC" w:rsidRDefault="003734EC">
            <w:pPr>
              <w:rPr>
                <w:rFonts w:ascii="宋体"/>
                <w:vanish/>
              </w:rPr>
            </w:pPr>
          </w:p>
        </w:tc>
        <w:tc>
          <w:tcPr>
            <w:tcW w:w="0" w:type="auto"/>
            <w:shd w:val="clear" w:color="auto" w:fill="auto"/>
            <w:vAlign w:val="center"/>
          </w:tcPr>
          <w:p w14:paraId="3693FA21" w14:textId="77777777" w:rsidR="003734EC" w:rsidRDefault="003734EC">
            <w:pPr>
              <w:rPr>
                <w:rFonts w:ascii="宋体"/>
                <w:vanish/>
              </w:rPr>
            </w:pPr>
          </w:p>
        </w:tc>
        <w:tc>
          <w:tcPr>
            <w:tcW w:w="0" w:type="auto"/>
            <w:shd w:val="clear" w:color="auto" w:fill="auto"/>
            <w:vAlign w:val="center"/>
          </w:tcPr>
          <w:p w14:paraId="3693FA22" w14:textId="77777777" w:rsidR="003734EC" w:rsidRDefault="003734EC">
            <w:pPr>
              <w:rPr>
                <w:rFonts w:ascii="宋体"/>
                <w:vanish/>
              </w:rPr>
            </w:pPr>
          </w:p>
        </w:tc>
        <w:tc>
          <w:tcPr>
            <w:tcW w:w="0" w:type="auto"/>
            <w:shd w:val="clear" w:color="auto" w:fill="auto"/>
            <w:vAlign w:val="center"/>
          </w:tcPr>
          <w:p w14:paraId="3693FA23" w14:textId="77777777" w:rsidR="003734EC" w:rsidRDefault="003734EC">
            <w:pPr>
              <w:rPr>
                <w:rFonts w:ascii="宋体"/>
                <w:vanish/>
              </w:rPr>
            </w:pPr>
          </w:p>
        </w:tc>
        <w:tc>
          <w:tcPr>
            <w:tcW w:w="0" w:type="auto"/>
            <w:shd w:val="clear" w:color="auto" w:fill="auto"/>
            <w:vAlign w:val="center"/>
          </w:tcPr>
          <w:p w14:paraId="3693FA24" w14:textId="77777777" w:rsidR="003734EC" w:rsidRDefault="003734EC">
            <w:pPr>
              <w:rPr>
                <w:rFonts w:ascii="宋体"/>
                <w:vanish/>
              </w:rPr>
            </w:pPr>
          </w:p>
        </w:tc>
        <w:tc>
          <w:tcPr>
            <w:tcW w:w="0" w:type="auto"/>
            <w:shd w:val="clear" w:color="auto" w:fill="auto"/>
            <w:vAlign w:val="center"/>
          </w:tcPr>
          <w:p w14:paraId="3693FA25" w14:textId="77777777" w:rsidR="003734EC" w:rsidRDefault="003734EC">
            <w:pPr>
              <w:rPr>
                <w:rFonts w:ascii="宋体"/>
              </w:rPr>
            </w:pPr>
          </w:p>
        </w:tc>
        <w:tc>
          <w:tcPr>
            <w:tcW w:w="0" w:type="auto"/>
            <w:shd w:val="clear" w:color="auto" w:fill="auto"/>
            <w:vAlign w:val="center"/>
          </w:tcPr>
          <w:p w14:paraId="3693FA26" w14:textId="77777777" w:rsidR="003734EC" w:rsidRDefault="003734EC">
            <w:pPr>
              <w:rPr>
                <w:rFonts w:ascii="宋体"/>
              </w:rPr>
            </w:pPr>
          </w:p>
        </w:tc>
        <w:tc>
          <w:tcPr>
            <w:tcW w:w="0" w:type="auto"/>
            <w:shd w:val="clear" w:color="auto" w:fill="auto"/>
            <w:vAlign w:val="center"/>
          </w:tcPr>
          <w:p w14:paraId="3693FA27" w14:textId="77777777" w:rsidR="003734EC" w:rsidRDefault="003734EC">
            <w:pPr>
              <w:rPr>
                <w:rFonts w:ascii="宋体"/>
              </w:rPr>
            </w:pPr>
          </w:p>
        </w:tc>
        <w:tc>
          <w:tcPr>
            <w:tcW w:w="0" w:type="auto"/>
            <w:shd w:val="clear" w:color="auto" w:fill="auto"/>
            <w:vAlign w:val="center"/>
          </w:tcPr>
          <w:p w14:paraId="3693FA28" w14:textId="77777777" w:rsidR="003734EC" w:rsidRDefault="003734EC">
            <w:pPr>
              <w:rPr>
                <w:rFonts w:ascii="宋体"/>
              </w:rPr>
            </w:pPr>
          </w:p>
        </w:tc>
        <w:tc>
          <w:tcPr>
            <w:tcW w:w="0" w:type="auto"/>
            <w:shd w:val="clear" w:color="auto" w:fill="auto"/>
            <w:vAlign w:val="center"/>
          </w:tcPr>
          <w:p w14:paraId="3693FA29" w14:textId="77777777" w:rsidR="003734EC" w:rsidRDefault="003734EC">
            <w:pPr>
              <w:rPr>
                <w:rFonts w:ascii="宋体"/>
              </w:rPr>
            </w:pPr>
          </w:p>
        </w:tc>
        <w:tc>
          <w:tcPr>
            <w:tcW w:w="0" w:type="auto"/>
            <w:shd w:val="clear" w:color="auto" w:fill="auto"/>
            <w:vAlign w:val="center"/>
          </w:tcPr>
          <w:p w14:paraId="3693FA2A" w14:textId="77777777" w:rsidR="003734EC" w:rsidRDefault="003734EC">
            <w:pPr>
              <w:rPr>
                <w:rFonts w:ascii="宋体"/>
              </w:rPr>
            </w:pPr>
          </w:p>
        </w:tc>
      </w:tr>
      <w:tr w:rsidR="003734EC" w14:paraId="3693FA3C" w14:textId="77777777">
        <w:tc>
          <w:tcPr>
            <w:tcW w:w="0" w:type="auto"/>
            <w:gridSpan w:val="3"/>
            <w:shd w:val="clear" w:color="auto" w:fill="E2EFD9"/>
            <w:tcMar>
              <w:top w:w="40" w:type="dxa"/>
              <w:left w:w="495" w:type="dxa"/>
              <w:bottom w:w="40" w:type="dxa"/>
              <w:right w:w="20" w:type="dxa"/>
            </w:tcMar>
            <w:vAlign w:val="bottom"/>
          </w:tcPr>
          <w:p w14:paraId="3693FA2C" w14:textId="77777777" w:rsidR="003734EC" w:rsidRDefault="000E364E">
            <w:pPr>
              <w:textAlignment w:val="bottom"/>
            </w:pPr>
            <w:r>
              <w:rPr>
                <w:rFonts w:ascii="sans-serif" w:eastAsia="sans-serif" w:hAnsi="sans-serif" w:cs="sans-serif"/>
                <w:color w:val="000000"/>
                <w:sz w:val="20"/>
                <w:szCs w:val="20"/>
              </w:rPr>
              <w:t>Other income,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A2D" w14:textId="77777777" w:rsidR="003734EC" w:rsidRDefault="000E364E">
            <w:pPr>
              <w:jc w:val="right"/>
              <w:textAlignment w:val="bottom"/>
            </w:pPr>
            <w:r>
              <w:rPr>
                <w:rFonts w:ascii="sans-serif" w:eastAsia="sans-serif" w:hAnsi="sans-serif" w:cs="sans-serif"/>
                <w:color w:val="000000"/>
                <w:sz w:val="20"/>
                <w:szCs w:val="20"/>
              </w:rPr>
              <w:t>0.2 </w:t>
            </w:r>
          </w:p>
        </w:tc>
        <w:tc>
          <w:tcPr>
            <w:tcW w:w="0" w:type="auto"/>
            <w:tcBorders>
              <w:top w:val="single" w:sz="8" w:space="0" w:color="000000"/>
            </w:tcBorders>
            <w:shd w:val="clear" w:color="auto" w:fill="E2EFD9"/>
            <w:tcMar>
              <w:top w:w="40" w:type="dxa"/>
              <w:bottom w:w="40" w:type="dxa"/>
              <w:right w:w="20" w:type="dxa"/>
            </w:tcMar>
            <w:vAlign w:val="bottom"/>
          </w:tcPr>
          <w:p w14:paraId="3693FA2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A2F" w14:textId="77777777" w:rsidR="003734EC" w:rsidRDefault="003734EC">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3693FA30" w14:textId="77777777" w:rsidR="003734EC" w:rsidRDefault="000E364E">
            <w:pPr>
              <w:jc w:val="right"/>
              <w:textAlignment w:val="bottom"/>
            </w:pPr>
            <w:r>
              <w:rPr>
                <w:rFonts w:ascii="sans-serif" w:eastAsia="sans-serif" w:hAnsi="sans-serif" w:cs="sans-serif"/>
                <w:color w:val="000000"/>
                <w:sz w:val="20"/>
                <w:szCs w:val="20"/>
              </w:rPr>
              <w:t>1.4 </w:t>
            </w:r>
          </w:p>
        </w:tc>
        <w:tc>
          <w:tcPr>
            <w:tcW w:w="0" w:type="auto"/>
            <w:tcBorders>
              <w:top w:val="single" w:sz="8" w:space="0" w:color="000000"/>
            </w:tcBorders>
            <w:shd w:val="clear" w:color="auto" w:fill="E2EFD9"/>
            <w:tcMar>
              <w:top w:w="40" w:type="dxa"/>
              <w:bottom w:w="40" w:type="dxa"/>
              <w:right w:w="20" w:type="dxa"/>
            </w:tcMar>
            <w:vAlign w:val="bottom"/>
          </w:tcPr>
          <w:p w14:paraId="3693FA3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A32" w14:textId="77777777" w:rsidR="003734EC" w:rsidRDefault="003734EC">
            <w:pPr>
              <w:rPr>
                <w:rFonts w:ascii="宋体"/>
                <w:vanish/>
              </w:rPr>
            </w:pPr>
          </w:p>
        </w:tc>
        <w:tc>
          <w:tcPr>
            <w:tcW w:w="0" w:type="auto"/>
            <w:shd w:val="clear" w:color="auto" w:fill="auto"/>
            <w:vAlign w:val="center"/>
          </w:tcPr>
          <w:p w14:paraId="3693FA33" w14:textId="77777777" w:rsidR="003734EC" w:rsidRDefault="003734EC">
            <w:pPr>
              <w:rPr>
                <w:rFonts w:ascii="宋体"/>
                <w:vanish/>
              </w:rPr>
            </w:pPr>
          </w:p>
        </w:tc>
        <w:tc>
          <w:tcPr>
            <w:tcW w:w="0" w:type="auto"/>
            <w:shd w:val="clear" w:color="auto" w:fill="auto"/>
            <w:vAlign w:val="center"/>
          </w:tcPr>
          <w:p w14:paraId="3693FA34" w14:textId="77777777" w:rsidR="003734EC" w:rsidRDefault="003734EC">
            <w:pPr>
              <w:rPr>
                <w:rFonts w:ascii="宋体"/>
                <w:vanish/>
              </w:rPr>
            </w:pPr>
          </w:p>
        </w:tc>
        <w:tc>
          <w:tcPr>
            <w:tcW w:w="0" w:type="auto"/>
            <w:shd w:val="clear" w:color="auto" w:fill="auto"/>
            <w:vAlign w:val="center"/>
          </w:tcPr>
          <w:p w14:paraId="3693FA35" w14:textId="77777777" w:rsidR="003734EC" w:rsidRDefault="003734EC">
            <w:pPr>
              <w:rPr>
                <w:rFonts w:ascii="宋体"/>
                <w:vanish/>
              </w:rPr>
            </w:pPr>
          </w:p>
        </w:tc>
        <w:tc>
          <w:tcPr>
            <w:tcW w:w="0" w:type="auto"/>
            <w:shd w:val="clear" w:color="auto" w:fill="auto"/>
            <w:vAlign w:val="center"/>
          </w:tcPr>
          <w:p w14:paraId="3693FA36" w14:textId="77777777" w:rsidR="003734EC" w:rsidRDefault="003734EC">
            <w:pPr>
              <w:rPr>
                <w:rFonts w:ascii="宋体"/>
              </w:rPr>
            </w:pPr>
          </w:p>
        </w:tc>
        <w:tc>
          <w:tcPr>
            <w:tcW w:w="0" w:type="auto"/>
            <w:shd w:val="clear" w:color="auto" w:fill="auto"/>
            <w:vAlign w:val="center"/>
          </w:tcPr>
          <w:p w14:paraId="3693FA37" w14:textId="77777777" w:rsidR="003734EC" w:rsidRDefault="003734EC">
            <w:pPr>
              <w:rPr>
                <w:rFonts w:ascii="宋体"/>
              </w:rPr>
            </w:pPr>
          </w:p>
        </w:tc>
        <w:tc>
          <w:tcPr>
            <w:tcW w:w="0" w:type="auto"/>
            <w:shd w:val="clear" w:color="auto" w:fill="auto"/>
            <w:vAlign w:val="center"/>
          </w:tcPr>
          <w:p w14:paraId="3693FA38" w14:textId="77777777" w:rsidR="003734EC" w:rsidRDefault="003734EC">
            <w:pPr>
              <w:rPr>
                <w:rFonts w:ascii="宋体"/>
              </w:rPr>
            </w:pPr>
          </w:p>
        </w:tc>
        <w:tc>
          <w:tcPr>
            <w:tcW w:w="0" w:type="auto"/>
            <w:shd w:val="clear" w:color="auto" w:fill="auto"/>
            <w:vAlign w:val="center"/>
          </w:tcPr>
          <w:p w14:paraId="3693FA39" w14:textId="77777777" w:rsidR="003734EC" w:rsidRDefault="003734EC">
            <w:pPr>
              <w:rPr>
                <w:rFonts w:ascii="宋体"/>
              </w:rPr>
            </w:pPr>
          </w:p>
        </w:tc>
        <w:tc>
          <w:tcPr>
            <w:tcW w:w="0" w:type="auto"/>
            <w:shd w:val="clear" w:color="auto" w:fill="auto"/>
            <w:vAlign w:val="center"/>
          </w:tcPr>
          <w:p w14:paraId="3693FA3A" w14:textId="77777777" w:rsidR="003734EC" w:rsidRDefault="003734EC">
            <w:pPr>
              <w:rPr>
                <w:rFonts w:ascii="宋体"/>
              </w:rPr>
            </w:pPr>
          </w:p>
        </w:tc>
        <w:tc>
          <w:tcPr>
            <w:tcW w:w="0" w:type="auto"/>
            <w:shd w:val="clear" w:color="auto" w:fill="auto"/>
            <w:vAlign w:val="center"/>
          </w:tcPr>
          <w:p w14:paraId="3693FA3B" w14:textId="77777777" w:rsidR="003734EC" w:rsidRDefault="003734EC">
            <w:pPr>
              <w:rPr>
                <w:rFonts w:ascii="宋体"/>
              </w:rPr>
            </w:pPr>
          </w:p>
        </w:tc>
      </w:tr>
      <w:tr w:rsidR="003734EC" w14:paraId="3693FA4D" w14:textId="77777777">
        <w:tc>
          <w:tcPr>
            <w:tcW w:w="0" w:type="auto"/>
            <w:gridSpan w:val="3"/>
            <w:shd w:val="clear" w:color="auto" w:fill="FFFFFF"/>
            <w:tcMar>
              <w:top w:w="40" w:type="dxa"/>
              <w:left w:w="20" w:type="dxa"/>
              <w:bottom w:w="40" w:type="dxa"/>
              <w:right w:w="20" w:type="dxa"/>
            </w:tcMar>
            <w:vAlign w:val="bottom"/>
          </w:tcPr>
          <w:p w14:paraId="3693FA3D" w14:textId="77777777" w:rsidR="003734EC" w:rsidRDefault="000E364E">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FA3E" w14:textId="77777777" w:rsidR="003734EC" w:rsidRDefault="000E364E">
            <w:pPr>
              <w:jc w:val="right"/>
              <w:textAlignment w:val="bottom"/>
            </w:pPr>
            <w:r>
              <w:rPr>
                <w:rFonts w:ascii="sans-serif" w:eastAsia="sans-serif" w:hAnsi="sans-serif" w:cs="sans-serif"/>
                <w:color w:val="000000"/>
                <w:sz w:val="20"/>
                <w:szCs w:val="20"/>
              </w:rPr>
              <w:t>31.9 </w:t>
            </w:r>
          </w:p>
        </w:tc>
        <w:tc>
          <w:tcPr>
            <w:tcW w:w="0" w:type="auto"/>
            <w:tcBorders>
              <w:top w:val="single" w:sz="8" w:space="0" w:color="000000"/>
            </w:tcBorders>
            <w:shd w:val="clear" w:color="auto" w:fill="FFFFFF"/>
            <w:tcMar>
              <w:top w:w="40" w:type="dxa"/>
              <w:bottom w:w="40" w:type="dxa"/>
              <w:right w:w="20" w:type="dxa"/>
            </w:tcMar>
            <w:vAlign w:val="bottom"/>
          </w:tcPr>
          <w:p w14:paraId="3693FA3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A40" w14:textId="77777777" w:rsidR="003734EC" w:rsidRDefault="003734E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93FA41" w14:textId="77777777" w:rsidR="003734EC" w:rsidRDefault="000E364E">
            <w:pPr>
              <w:jc w:val="right"/>
              <w:textAlignment w:val="bottom"/>
            </w:pPr>
            <w:r>
              <w:rPr>
                <w:rFonts w:ascii="sans-serif" w:eastAsia="sans-serif" w:hAnsi="sans-serif" w:cs="sans-serif"/>
                <w:color w:val="000000"/>
                <w:sz w:val="20"/>
                <w:szCs w:val="20"/>
              </w:rPr>
              <w:t>17.5 </w:t>
            </w:r>
          </w:p>
        </w:tc>
        <w:tc>
          <w:tcPr>
            <w:tcW w:w="0" w:type="auto"/>
            <w:tcBorders>
              <w:top w:val="single" w:sz="8" w:space="0" w:color="000000"/>
            </w:tcBorders>
            <w:shd w:val="clear" w:color="auto" w:fill="FFFFFF"/>
            <w:tcMar>
              <w:top w:w="40" w:type="dxa"/>
              <w:bottom w:w="40" w:type="dxa"/>
              <w:right w:w="20" w:type="dxa"/>
            </w:tcMar>
            <w:vAlign w:val="bottom"/>
          </w:tcPr>
          <w:p w14:paraId="3693FA42"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A43" w14:textId="77777777" w:rsidR="003734EC" w:rsidRDefault="003734EC">
            <w:pPr>
              <w:rPr>
                <w:rFonts w:ascii="宋体"/>
                <w:vanish/>
              </w:rPr>
            </w:pPr>
          </w:p>
        </w:tc>
        <w:tc>
          <w:tcPr>
            <w:tcW w:w="0" w:type="auto"/>
            <w:shd w:val="clear" w:color="auto" w:fill="auto"/>
            <w:vAlign w:val="center"/>
          </w:tcPr>
          <w:p w14:paraId="3693FA44" w14:textId="77777777" w:rsidR="003734EC" w:rsidRDefault="003734EC">
            <w:pPr>
              <w:rPr>
                <w:rFonts w:ascii="宋体"/>
                <w:vanish/>
              </w:rPr>
            </w:pPr>
          </w:p>
        </w:tc>
        <w:tc>
          <w:tcPr>
            <w:tcW w:w="0" w:type="auto"/>
            <w:shd w:val="clear" w:color="auto" w:fill="auto"/>
            <w:vAlign w:val="center"/>
          </w:tcPr>
          <w:p w14:paraId="3693FA45" w14:textId="77777777" w:rsidR="003734EC" w:rsidRDefault="003734EC">
            <w:pPr>
              <w:rPr>
                <w:rFonts w:ascii="宋体"/>
                <w:vanish/>
              </w:rPr>
            </w:pPr>
          </w:p>
        </w:tc>
        <w:tc>
          <w:tcPr>
            <w:tcW w:w="0" w:type="auto"/>
            <w:shd w:val="clear" w:color="auto" w:fill="auto"/>
            <w:vAlign w:val="center"/>
          </w:tcPr>
          <w:p w14:paraId="3693FA46" w14:textId="77777777" w:rsidR="003734EC" w:rsidRDefault="003734EC">
            <w:pPr>
              <w:rPr>
                <w:rFonts w:ascii="宋体"/>
                <w:vanish/>
              </w:rPr>
            </w:pPr>
          </w:p>
        </w:tc>
        <w:tc>
          <w:tcPr>
            <w:tcW w:w="0" w:type="auto"/>
            <w:shd w:val="clear" w:color="auto" w:fill="auto"/>
            <w:vAlign w:val="center"/>
          </w:tcPr>
          <w:p w14:paraId="3693FA47" w14:textId="77777777" w:rsidR="003734EC" w:rsidRDefault="003734EC">
            <w:pPr>
              <w:rPr>
                <w:rFonts w:ascii="宋体"/>
              </w:rPr>
            </w:pPr>
          </w:p>
        </w:tc>
        <w:tc>
          <w:tcPr>
            <w:tcW w:w="0" w:type="auto"/>
            <w:shd w:val="clear" w:color="auto" w:fill="auto"/>
            <w:vAlign w:val="center"/>
          </w:tcPr>
          <w:p w14:paraId="3693FA48" w14:textId="77777777" w:rsidR="003734EC" w:rsidRDefault="003734EC">
            <w:pPr>
              <w:rPr>
                <w:rFonts w:ascii="宋体"/>
              </w:rPr>
            </w:pPr>
          </w:p>
        </w:tc>
        <w:tc>
          <w:tcPr>
            <w:tcW w:w="0" w:type="auto"/>
            <w:shd w:val="clear" w:color="auto" w:fill="auto"/>
            <w:vAlign w:val="center"/>
          </w:tcPr>
          <w:p w14:paraId="3693FA49" w14:textId="77777777" w:rsidR="003734EC" w:rsidRDefault="003734EC">
            <w:pPr>
              <w:rPr>
                <w:rFonts w:ascii="宋体"/>
              </w:rPr>
            </w:pPr>
          </w:p>
        </w:tc>
        <w:tc>
          <w:tcPr>
            <w:tcW w:w="0" w:type="auto"/>
            <w:shd w:val="clear" w:color="auto" w:fill="auto"/>
            <w:vAlign w:val="center"/>
          </w:tcPr>
          <w:p w14:paraId="3693FA4A" w14:textId="77777777" w:rsidR="003734EC" w:rsidRDefault="003734EC">
            <w:pPr>
              <w:rPr>
                <w:rFonts w:ascii="宋体"/>
              </w:rPr>
            </w:pPr>
          </w:p>
        </w:tc>
        <w:tc>
          <w:tcPr>
            <w:tcW w:w="0" w:type="auto"/>
            <w:shd w:val="clear" w:color="auto" w:fill="auto"/>
            <w:vAlign w:val="center"/>
          </w:tcPr>
          <w:p w14:paraId="3693FA4B" w14:textId="77777777" w:rsidR="003734EC" w:rsidRDefault="003734EC">
            <w:pPr>
              <w:rPr>
                <w:rFonts w:ascii="宋体"/>
              </w:rPr>
            </w:pPr>
          </w:p>
        </w:tc>
        <w:tc>
          <w:tcPr>
            <w:tcW w:w="0" w:type="auto"/>
            <w:shd w:val="clear" w:color="auto" w:fill="auto"/>
            <w:vAlign w:val="center"/>
          </w:tcPr>
          <w:p w14:paraId="3693FA4C" w14:textId="77777777" w:rsidR="003734EC" w:rsidRDefault="003734EC">
            <w:pPr>
              <w:rPr>
                <w:rFonts w:ascii="宋体"/>
              </w:rPr>
            </w:pPr>
          </w:p>
        </w:tc>
      </w:tr>
      <w:tr w:rsidR="003734EC" w14:paraId="3693FA5E" w14:textId="77777777">
        <w:tc>
          <w:tcPr>
            <w:tcW w:w="0" w:type="auto"/>
            <w:gridSpan w:val="3"/>
            <w:shd w:val="clear" w:color="auto" w:fill="E2EFD9"/>
            <w:tcMar>
              <w:top w:w="40" w:type="dxa"/>
              <w:left w:w="20" w:type="dxa"/>
              <w:bottom w:w="40" w:type="dxa"/>
              <w:right w:w="20" w:type="dxa"/>
            </w:tcMar>
            <w:vAlign w:val="bottom"/>
          </w:tcPr>
          <w:p w14:paraId="3693FA4E" w14:textId="77777777" w:rsidR="003734EC" w:rsidRDefault="000E364E">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3693FA4F" w14:textId="77777777" w:rsidR="003734EC" w:rsidRDefault="000E364E">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bottom w:w="40" w:type="dxa"/>
              <w:right w:w="20" w:type="dxa"/>
            </w:tcMar>
            <w:vAlign w:val="bottom"/>
          </w:tcPr>
          <w:p w14:paraId="3693FA5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A5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A52" w14:textId="77777777" w:rsidR="003734EC" w:rsidRDefault="000E364E">
            <w:pPr>
              <w:jc w:val="right"/>
              <w:textAlignment w:val="bottom"/>
            </w:pPr>
            <w:r>
              <w:rPr>
                <w:rFonts w:ascii="sans-serif" w:eastAsia="sans-serif" w:hAnsi="sans-serif" w:cs="sans-serif"/>
                <w:color w:val="000000"/>
                <w:sz w:val="20"/>
                <w:szCs w:val="20"/>
              </w:rPr>
              <w:t>(0.2)</w:t>
            </w:r>
          </w:p>
        </w:tc>
        <w:tc>
          <w:tcPr>
            <w:tcW w:w="0" w:type="auto"/>
            <w:shd w:val="clear" w:color="auto" w:fill="E2EFD9"/>
            <w:tcMar>
              <w:top w:w="40" w:type="dxa"/>
              <w:bottom w:w="40" w:type="dxa"/>
              <w:right w:w="20" w:type="dxa"/>
            </w:tcMar>
            <w:vAlign w:val="bottom"/>
          </w:tcPr>
          <w:p w14:paraId="3693FA5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A54" w14:textId="77777777" w:rsidR="003734EC" w:rsidRDefault="003734EC">
            <w:pPr>
              <w:rPr>
                <w:rFonts w:ascii="宋体"/>
                <w:vanish/>
              </w:rPr>
            </w:pPr>
          </w:p>
        </w:tc>
        <w:tc>
          <w:tcPr>
            <w:tcW w:w="0" w:type="auto"/>
            <w:shd w:val="clear" w:color="auto" w:fill="auto"/>
            <w:vAlign w:val="center"/>
          </w:tcPr>
          <w:p w14:paraId="3693FA55" w14:textId="77777777" w:rsidR="003734EC" w:rsidRDefault="003734EC">
            <w:pPr>
              <w:rPr>
                <w:rFonts w:ascii="宋体"/>
                <w:vanish/>
              </w:rPr>
            </w:pPr>
          </w:p>
        </w:tc>
        <w:tc>
          <w:tcPr>
            <w:tcW w:w="0" w:type="auto"/>
            <w:shd w:val="clear" w:color="auto" w:fill="auto"/>
            <w:vAlign w:val="center"/>
          </w:tcPr>
          <w:p w14:paraId="3693FA56" w14:textId="77777777" w:rsidR="003734EC" w:rsidRDefault="003734EC">
            <w:pPr>
              <w:rPr>
                <w:rFonts w:ascii="宋体"/>
                <w:vanish/>
              </w:rPr>
            </w:pPr>
          </w:p>
        </w:tc>
        <w:tc>
          <w:tcPr>
            <w:tcW w:w="0" w:type="auto"/>
            <w:shd w:val="clear" w:color="auto" w:fill="auto"/>
            <w:vAlign w:val="center"/>
          </w:tcPr>
          <w:p w14:paraId="3693FA57" w14:textId="77777777" w:rsidR="003734EC" w:rsidRDefault="003734EC">
            <w:pPr>
              <w:rPr>
                <w:rFonts w:ascii="宋体"/>
                <w:vanish/>
              </w:rPr>
            </w:pPr>
          </w:p>
        </w:tc>
        <w:tc>
          <w:tcPr>
            <w:tcW w:w="0" w:type="auto"/>
            <w:shd w:val="clear" w:color="auto" w:fill="auto"/>
            <w:vAlign w:val="center"/>
          </w:tcPr>
          <w:p w14:paraId="3693FA58" w14:textId="77777777" w:rsidR="003734EC" w:rsidRDefault="003734EC">
            <w:pPr>
              <w:rPr>
                <w:rFonts w:ascii="宋体"/>
              </w:rPr>
            </w:pPr>
          </w:p>
        </w:tc>
        <w:tc>
          <w:tcPr>
            <w:tcW w:w="0" w:type="auto"/>
            <w:shd w:val="clear" w:color="auto" w:fill="auto"/>
            <w:vAlign w:val="center"/>
          </w:tcPr>
          <w:p w14:paraId="3693FA59" w14:textId="77777777" w:rsidR="003734EC" w:rsidRDefault="003734EC">
            <w:pPr>
              <w:rPr>
                <w:rFonts w:ascii="宋体"/>
              </w:rPr>
            </w:pPr>
          </w:p>
        </w:tc>
        <w:tc>
          <w:tcPr>
            <w:tcW w:w="0" w:type="auto"/>
            <w:shd w:val="clear" w:color="auto" w:fill="auto"/>
            <w:vAlign w:val="center"/>
          </w:tcPr>
          <w:p w14:paraId="3693FA5A" w14:textId="77777777" w:rsidR="003734EC" w:rsidRDefault="003734EC">
            <w:pPr>
              <w:rPr>
                <w:rFonts w:ascii="宋体"/>
              </w:rPr>
            </w:pPr>
          </w:p>
        </w:tc>
        <w:tc>
          <w:tcPr>
            <w:tcW w:w="0" w:type="auto"/>
            <w:shd w:val="clear" w:color="auto" w:fill="auto"/>
            <w:vAlign w:val="center"/>
          </w:tcPr>
          <w:p w14:paraId="3693FA5B" w14:textId="77777777" w:rsidR="003734EC" w:rsidRDefault="003734EC">
            <w:pPr>
              <w:rPr>
                <w:rFonts w:ascii="宋体"/>
              </w:rPr>
            </w:pPr>
          </w:p>
        </w:tc>
        <w:tc>
          <w:tcPr>
            <w:tcW w:w="0" w:type="auto"/>
            <w:shd w:val="clear" w:color="auto" w:fill="auto"/>
            <w:vAlign w:val="center"/>
          </w:tcPr>
          <w:p w14:paraId="3693FA5C" w14:textId="77777777" w:rsidR="003734EC" w:rsidRDefault="003734EC">
            <w:pPr>
              <w:rPr>
                <w:rFonts w:ascii="宋体"/>
              </w:rPr>
            </w:pPr>
          </w:p>
        </w:tc>
        <w:tc>
          <w:tcPr>
            <w:tcW w:w="0" w:type="auto"/>
            <w:shd w:val="clear" w:color="auto" w:fill="auto"/>
            <w:vAlign w:val="center"/>
          </w:tcPr>
          <w:p w14:paraId="3693FA5D" w14:textId="77777777" w:rsidR="003734EC" w:rsidRDefault="003734EC">
            <w:pPr>
              <w:rPr>
                <w:rFonts w:ascii="宋体"/>
              </w:rPr>
            </w:pPr>
          </w:p>
        </w:tc>
      </w:tr>
      <w:tr w:rsidR="003734EC" w14:paraId="3693FA6F" w14:textId="77777777">
        <w:tc>
          <w:tcPr>
            <w:tcW w:w="0" w:type="auto"/>
            <w:gridSpan w:val="3"/>
            <w:shd w:val="clear" w:color="auto" w:fill="FFFFFF"/>
            <w:tcMar>
              <w:top w:w="40" w:type="dxa"/>
              <w:left w:w="20" w:type="dxa"/>
              <w:bottom w:w="40" w:type="dxa"/>
              <w:right w:w="20" w:type="dxa"/>
            </w:tcMar>
            <w:vAlign w:val="bottom"/>
          </w:tcPr>
          <w:p w14:paraId="3693FA5F" w14:textId="77777777" w:rsidR="003734EC" w:rsidRDefault="000E364E">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93FA60" w14:textId="77777777" w:rsidR="003734EC" w:rsidRDefault="000E364E">
            <w:pPr>
              <w:jc w:val="right"/>
              <w:textAlignment w:val="bottom"/>
            </w:pPr>
            <w:r>
              <w:rPr>
                <w:rFonts w:ascii="sans-serif" w:eastAsia="sans-serif" w:hAnsi="sans-serif" w:cs="sans-serif"/>
                <w:color w:val="000000"/>
                <w:sz w:val="20"/>
                <w:szCs w:val="20"/>
              </w:rPr>
              <w:t>29.8 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A61" w14:textId="77777777" w:rsidR="003734EC" w:rsidRDefault="000E364E">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3693FA62" w14:textId="77777777" w:rsidR="003734EC" w:rsidRDefault="003734EC">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93FA63" w14:textId="77777777" w:rsidR="003734EC" w:rsidRDefault="000E364E">
            <w:pPr>
              <w:jc w:val="right"/>
              <w:textAlignment w:val="bottom"/>
            </w:pPr>
            <w:r>
              <w:rPr>
                <w:rFonts w:ascii="sans-serif" w:eastAsia="sans-serif" w:hAnsi="sans-serif" w:cs="sans-serif"/>
                <w:color w:val="000000"/>
                <w:sz w:val="20"/>
                <w:szCs w:val="20"/>
              </w:rPr>
              <w:t>17.7 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693FA64"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A65" w14:textId="77777777" w:rsidR="003734EC" w:rsidRDefault="003734EC">
            <w:pPr>
              <w:rPr>
                <w:rFonts w:ascii="宋体"/>
                <w:vanish/>
              </w:rPr>
            </w:pPr>
          </w:p>
        </w:tc>
        <w:tc>
          <w:tcPr>
            <w:tcW w:w="0" w:type="auto"/>
            <w:shd w:val="clear" w:color="auto" w:fill="auto"/>
            <w:vAlign w:val="center"/>
          </w:tcPr>
          <w:p w14:paraId="3693FA66" w14:textId="77777777" w:rsidR="003734EC" w:rsidRDefault="003734EC">
            <w:pPr>
              <w:rPr>
                <w:rFonts w:ascii="宋体"/>
                <w:vanish/>
              </w:rPr>
            </w:pPr>
          </w:p>
        </w:tc>
        <w:tc>
          <w:tcPr>
            <w:tcW w:w="0" w:type="auto"/>
            <w:shd w:val="clear" w:color="auto" w:fill="auto"/>
            <w:vAlign w:val="center"/>
          </w:tcPr>
          <w:p w14:paraId="3693FA67" w14:textId="77777777" w:rsidR="003734EC" w:rsidRDefault="003734EC">
            <w:pPr>
              <w:rPr>
                <w:rFonts w:ascii="宋体"/>
                <w:vanish/>
              </w:rPr>
            </w:pPr>
          </w:p>
        </w:tc>
        <w:tc>
          <w:tcPr>
            <w:tcW w:w="0" w:type="auto"/>
            <w:shd w:val="clear" w:color="auto" w:fill="auto"/>
            <w:vAlign w:val="center"/>
          </w:tcPr>
          <w:p w14:paraId="3693FA68" w14:textId="77777777" w:rsidR="003734EC" w:rsidRDefault="003734EC">
            <w:pPr>
              <w:rPr>
                <w:rFonts w:ascii="宋体"/>
                <w:vanish/>
              </w:rPr>
            </w:pPr>
          </w:p>
        </w:tc>
        <w:tc>
          <w:tcPr>
            <w:tcW w:w="0" w:type="auto"/>
            <w:shd w:val="clear" w:color="auto" w:fill="auto"/>
            <w:vAlign w:val="center"/>
          </w:tcPr>
          <w:p w14:paraId="3693FA69" w14:textId="77777777" w:rsidR="003734EC" w:rsidRDefault="003734EC">
            <w:pPr>
              <w:rPr>
                <w:rFonts w:ascii="宋体"/>
              </w:rPr>
            </w:pPr>
          </w:p>
        </w:tc>
        <w:tc>
          <w:tcPr>
            <w:tcW w:w="0" w:type="auto"/>
            <w:shd w:val="clear" w:color="auto" w:fill="auto"/>
            <w:vAlign w:val="center"/>
          </w:tcPr>
          <w:p w14:paraId="3693FA6A" w14:textId="77777777" w:rsidR="003734EC" w:rsidRDefault="003734EC">
            <w:pPr>
              <w:rPr>
                <w:rFonts w:ascii="宋体"/>
              </w:rPr>
            </w:pPr>
          </w:p>
        </w:tc>
        <w:tc>
          <w:tcPr>
            <w:tcW w:w="0" w:type="auto"/>
            <w:shd w:val="clear" w:color="auto" w:fill="auto"/>
            <w:vAlign w:val="center"/>
          </w:tcPr>
          <w:p w14:paraId="3693FA6B" w14:textId="77777777" w:rsidR="003734EC" w:rsidRDefault="003734EC">
            <w:pPr>
              <w:rPr>
                <w:rFonts w:ascii="宋体"/>
              </w:rPr>
            </w:pPr>
          </w:p>
        </w:tc>
        <w:tc>
          <w:tcPr>
            <w:tcW w:w="0" w:type="auto"/>
            <w:shd w:val="clear" w:color="auto" w:fill="auto"/>
            <w:vAlign w:val="center"/>
          </w:tcPr>
          <w:p w14:paraId="3693FA6C" w14:textId="77777777" w:rsidR="003734EC" w:rsidRDefault="003734EC">
            <w:pPr>
              <w:rPr>
                <w:rFonts w:ascii="宋体"/>
              </w:rPr>
            </w:pPr>
          </w:p>
        </w:tc>
        <w:tc>
          <w:tcPr>
            <w:tcW w:w="0" w:type="auto"/>
            <w:shd w:val="clear" w:color="auto" w:fill="auto"/>
            <w:vAlign w:val="center"/>
          </w:tcPr>
          <w:p w14:paraId="3693FA6D" w14:textId="77777777" w:rsidR="003734EC" w:rsidRDefault="003734EC">
            <w:pPr>
              <w:rPr>
                <w:rFonts w:ascii="宋体"/>
              </w:rPr>
            </w:pPr>
          </w:p>
        </w:tc>
        <w:tc>
          <w:tcPr>
            <w:tcW w:w="0" w:type="auto"/>
            <w:shd w:val="clear" w:color="auto" w:fill="auto"/>
            <w:vAlign w:val="center"/>
          </w:tcPr>
          <w:p w14:paraId="3693FA6E" w14:textId="77777777" w:rsidR="003734EC" w:rsidRDefault="003734EC">
            <w:pPr>
              <w:rPr>
                <w:rFonts w:ascii="宋体"/>
              </w:rPr>
            </w:pPr>
          </w:p>
        </w:tc>
      </w:tr>
    </w:tbl>
    <w:p w14:paraId="3693FA70" w14:textId="77777777" w:rsidR="003734EC" w:rsidRDefault="000E364E">
      <w:pPr>
        <w:spacing w:before="240" w:after="60"/>
        <w:jc w:val="both"/>
      </w:pPr>
      <w:r>
        <w:rPr>
          <w:rFonts w:ascii="sans-serif" w:eastAsia="sans-serif" w:hAnsi="sans-serif" w:cs="sans-serif"/>
          <w:b/>
          <w:bCs/>
          <w:color w:val="76B900"/>
          <w:sz w:val="20"/>
          <w:szCs w:val="20"/>
        </w:rPr>
        <w:t>Revenue</w:t>
      </w:r>
    </w:p>
    <w:p w14:paraId="3693FA71" w14:textId="77777777" w:rsidR="003734EC" w:rsidRDefault="000E364E">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112"/>
        <w:gridCol w:w="36"/>
        <w:gridCol w:w="137"/>
        <w:gridCol w:w="557"/>
        <w:gridCol w:w="81"/>
        <w:gridCol w:w="36"/>
        <w:gridCol w:w="36"/>
        <w:gridCol w:w="36"/>
        <w:gridCol w:w="137"/>
        <w:gridCol w:w="521"/>
        <w:gridCol w:w="81"/>
        <w:gridCol w:w="36"/>
        <w:gridCol w:w="36"/>
        <w:gridCol w:w="36"/>
        <w:gridCol w:w="138"/>
        <w:gridCol w:w="506"/>
        <w:gridCol w:w="81"/>
        <w:gridCol w:w="36"/>
        <w:gridCol w:w="36"/>
        <w:gridCol w:w="36"/>
        <w:gridCol w:w="75"/>
        <w:gridCol w:w="506"/>
        <w:gridCol w:w="17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734EC" w14:paraId="3693FA92" w14:textId="77777777">
        <w:trPr>
          <w:gridAfter w:val="15"/>
        </w:trPr>
        <w:tc>
          <w:tcPr>
            <w:tcW w:w="50" w:type="pct"/>
            <w:shd w:val="clear" w:color="auto" w:fill="auto"/>
            <w:vAlign w:val="center"/>
          </w:tcPr>
          <w:p w14:paraId="3693FA72" w14:textId="77777777" w:rsidR="003734EC" w:rsidRDefault="003734EC">
            <w:pPr>
              <w:rPr>
                <w:rFonts w:ascii="宋体"/>
              </w:rPr>
            </w:pPr>
          </w:p>
        </w:tc>
        <w:tc>
          <w:tcPr>
            <w:tcW w:w="2816" w:type="pct"/>
            <w:shd w:val="clear" w:color="auto" w:fill="auto"/>
            <w:vAlign w:val="center"/>
          </w:tcPr>
          <w:p w14:paraId="3693FA73" w14:textId="77777777" w:rsidR="003734EC" w:rsidRDefault="003734EC">
            <w:pPr>
              <w:rPr>
                <w:rFonts w:ascii="宋体"/>
              </w:rPr>
            </w:pPr>
          </w:p>
        </w:tc>
        <w:tc>
          <w:tcPr>
            <w:tcW w:w="50" w:type="pct"/>
            <w:shd w:val="clear" w:color="auto" w:fill="auto"/>
            <w:vAlign w:val="center"/>
          </w:tcPr>
          <w:p w14:paraId="3693FA74" w14:textId="77777777" w:rsidR="003734EC" w:rsidRDefault="003734EC">
            <w:pPr>
              <w:rPr>
                <w:rFonts w:ascii="宋体"/>
              </w:rPr>
            </w:pPr>
          </w:p>
        </w:tc>
        <w:tc>
          <w:tcPr>
            <w:tcW w:w="50" w:type="pct"/>
            <w:shd w:val="clear" w:color="auto" w:fill="auto"/>
            <w:vAlign w:val="center"/>
          </w:tcPr>
          <w:p w14:paraId="3693FA75" w14:textId="77777777" w:rsidR="003734EC" w:rsidRDefault="003734EC">
            <w:pPr>
              <w:rPr>
                <w:rFonts w:ascii="宋体"/>
              </w:rPr>
            </w:pPr>
          </w:p>
        </w:tc>
        <w:tc>
          <w:tcPr>
            <w:tcW w:w="448" w:type="pct"/>
            <w:shd w:val="clear" w:color="auto" w:fill="auto"/>
            <w:vAlign w:val="center"/>
          </w:tcPr>
          <w:p w14:paraId="3693FA76" w14:textId="77777777" w:rsidR="003734EC" w:rsidRDefault="003734EC">
            <w:pPr>
              <w:rPr>
                <w:rFonts w:ascii="宋体"/>
              </w:rPr>
            </w:pPr>
          </w:p>
        </w:tc>
        <w:tc>
          <w:tcPr>
            <w:tcW w:w="50" w:type="pct"/>
            <w:shd w:val="clear" w:color="auto" w:fill="auto"/>
            <w:vAlign w:val="center"/>
          </w:tcPr>
          <w:p w14:paraId="3693FA77" w14:textId="77777777" w:rsidR="003734EC" w:rsidRDefault="003734EC">
            <w:pPr>
              <w:rPr>
                <w:rFonts w:ascii="宋体"/>
              </w:rPr>
            </w:pPr>
          </w:p>
        </w:tc>
        <w:tc>
          <w:tcPr>
            <w:tcW w:w="5" w:type="pct"/>
            <w:shd w:val="clear" w:color="auto" w:fill="auto"/>
            <w:vAlign w:val="center"/>
          </w:tcPr>
          <w:p w14:paraId="3693FA78" w14:textId="77777777" w:rsidR="003734EC" w:rsidRDefault="003734EC">
            <w:pPr>
              <w:rPr>
                <w:rFonts w:ascii="宋体"/>
              </w:rPr>
            </w:pPr>
          </w:p>
        </w:tc>
        <w:tc>
          <w:tcPr>
            <w:tcW w:w="26" w:type="pct"/>
            <w:shd w:val="clear" w:color="auto" w:fill="auto"/>
            <w:vAlign w:val="center"/>
          </w:tcPr>
          <w:p w14:paraId="3693FA79" w14:textId="77777777" w:rsidR="003734EC" w:rsidRDefault="003734EC">
            <w:pPr>
              <w:rPr>
                <w:rFonts w:ascii="宋体"/>
              </w:rPr>
            </w:pPr>
          </w:p>
        </w:tc>
        <w:tc>
          <w:tcPr>
            <w:tcW w:w="5" w:type="pct"/>
            <w:shd w:val="clear" w:color="auto" w:fill="auto"/>
            <w:vAlign w:val="center"/>
          </w:tcPr>
          <w:p w14:paraId="3693FA7A" w14:textId="77777777" w:rsidR="003734EC" w:rsidRDefault="003734EC">
            <w:pPr>
              <w:rPr>
                <w:rFonts w:ascii="宋体"/>
              </w:rPr>
            </w:pPr>
          </w:p>
        </w:tc>
        <w:tc>
          <w:tcPr>
            <w:tcW w:w="50" w:type="pct"/>
            <w:shd w:val="clear" w:color="auto" w:fill="auto"/>
            <w:vAlign w:val="center"/>
          </w:tcPr>
          <w:p w14:paraId="3693FA7B" w14:textId="77777777" w:rsidR="003734EC" w:rsidRDefault="003734EC">
            <w:pPr>
              <w:rPr>
                <w:rFonts w:ascii="宋体"/>
              </w:rPr>
            </w:pPr>
          </w:p>
        </w:tc>
        <w:tc>
          <w:tcPr>
            <w:tcW w:w="448" w:type="pct"/>
            <w:shd w:val="clear" w:color="auto" w:fill="auto"/>
            <w:vAlign w:val="center"/>
          </w:tcPr>
          <w:p w14:paraId="3693FA7C" w14:textId="77777777" w:rsidR="003734EC" w:rsidRDefault="003734EC">
            <w:pPr>
              <w:rPr>
                <w:rFonts w:ascii="宋体"/>
              </w:rPr>
            </w:pPr>
          </w:p>
        </w:tc>
        <w:tc>
          <w:tcPr>
            <w:tcW w:w="50" w:type="pct"/>
            <w:shd w:val="clear" w:color="auto" w:fill="auto"/>
            <w:vAlign w:val="center"/>
          </w:tcPr>
          <w:p w14:paraId="3693FA7D" w14:textId="77777777" w:rsidR="003734EC" w:rsidRDefault="003734EC">
            <w:pPr>
              <w:rPr>
                <w:rFonts w:ascii="宋体"/>
              </w:rPr>
            </w:pPr>
          </w:p>
        </w:tc>
        <w:tc>
          <w:tcPr>
            <w:tcW w:w="5" w:type="pct"/>
            <w:shd w:val="clear" w:color="auto" w:fill="auto"/>
            <w:vAlign w:val="center"/>
          </w:tcPr>
          <w:p w14:paraId="3693FA7E" w14:textId="77777777" w:rsidR="003734EC" w:rsidRDefault="003734EC">
            <w:pPr>
              <w:rPr>
                <w:rFonts w:ascii="宋体"/>
              </w:rPr>
            </w:pPr>
          </w:p>
        </w:tc>
        <w:tc>
          <w:tcPr>
            <w:tcW w:w="26" w:type="pct"/>
            <w:shd w:val="clear" w:color="auto" w:fill="auto"/>
            <w:vAlign w:val="center"/>
          </w:tcPr>
          <w:p w14:paraId="3693FA7F" w14:textId="77777777" w:rsidR="003734EC" w:rsidRDefault="003734EC">
            <w:pPr>
              <w:rPr>
                <w:rFonts w:ascii="宋体"/>
              </w:rPr>
            </w:pPr>
          </w:p>
        </w:tc>
        <w:tc>
          <w:tcPr>
            <w:tcW w:w="5" w:type="pct"/>
            <w:shd w:val="clear" w:color="auto" w:fill="auto"/>
            <w:vAlign w:val="center"/>
          </w:tcPr>
          <w:p w14:paraId="3693FA80" w14:textId="77777777" w:rsidR="003734EC" w:rsidRDefault="003734EC">
            <w:pPr>
              <w:rPr>
                <w:rFonts w:ascii="宋体"/>
              </w:rPr>
            </w:pPr>
          </w:p>
        </w:tc>
        <w:tc>
          <w:tcPr>
            <w:tcW w:w="50" w:type="pct"/>
            <w:shd w:val="clear" w:color="auto" w:fill="auto"/>
            <w:vAlign w:val="center"/>
          </w:tcPr>
          <w:p w14:paraId="3693FA81" w14:textId="77777777" w:rsidR="003734EC" w:rsidRDefault="003734EC">
            <w:pPr>
              <w:rPr>
                <w:rFonts w:ascii="宋体"/>
              </w:rPr>
            </w:pPr>
          </w:p>
        </w:tc>
        <w:tc>
          <w:tcPr>
            <w:tcW w:w="338" w:type="pct"/>
            <w:shd w:val="clear" w:color="auto" w:fill="auto"/>
            <w:vAlign w:val="center"/>
          </w:tcPr>
          <w:p w14:paraId="3693FA82" w14:textId="77777777" w:rsidR="003734EC" w:rsidRDefault="003734EC">
            <w:pPr>
              <w:rPr>
                <w:rFonts w:ascii="宋体"/>
              </w:rPr>
            </w:pPr>
          </w:p>
        </w:tc>
        <w:tc>
          <w:tcPr>
            <w:tcW w:w="50" w:type="pct"/>
            <w:shd w:val="clear" w:color="auto" w:fill="auto"/>
            <w:vAlign w:val="center"/>
          </w:tcPr>
          <w:p w14:paraId="3693FA83" w14:textId="77777777" w:rsidR="003734EC" w:rsidRDefault="003734EC">
            <w:pPr>
              <w:rPr>
                <w:rFonts w:ascii="宋体"/>
              </w:rPr>
            </w:pPr>
          </w:p>
        </w:tc>
        <w:tc>
          <w:tcPr>
            <w:tcW w:w="5" w:type="pct"/>
            <w:shd w:val="clear" w:color="auto" w:fill="auto"/>
            <w:vAlign w:val="center"/>
          </w:tcPr>
          <w:p w14:paraId="3693FA84" w14:textId="77777777" w:rsidR="003734EC" w:rsidRDefault="003734EC">
            <w:pPr>
              <w:rPr>
                <w:rFonts w:ascii="宋体"/>
              </w:rPr>
            </w:pPr>
          </w:p>
        </w:tc>
        <w:tc>
          <w:tcPr>
            <w:tcW w:w="26" w:type="pct"/>
            <w:shd w:val="clear" w:color="auto" w:fill="auto"/>
            <w:vAlign w:val="center"/>
          </w:tcPr>
          <w:p w14:paraId="3693FA85" w14:textId="77777777" w:rsidR="003734EC" w:rsidRDefault="003734EC">
            <w:pPr>
              <w:rPr>
                <w:rFonts w:ascii="宋体"/>
              </w:rPr>
            </w:pPr>
          </w:p>
        </w:tc>
        <w:tc>
          <w:tcPr>
            <w:tcW w:w="5" w:type="pct"/>
            <w:shd w:val="clear" w:color="auto" w:fill="auto"/>
            <w:vAlign w:val="center"/>
          </w:tcPr>
          <w:p w14:paraId="3693FA86" w14:textId="77777777" w:rsidR="003734EC" w:rsidRDefault="003734EC">
            <w:pPr>
              <w:rPr>
                <w:rFonts w:ascii="宋体"/>
              </w:rPr>
            </w:pPr>
          </w:p>
        </w:tc>
        <w:tc>
          <w:tcPr>
            <w:tcW w:w="50" w:type="pct"/>
            <w:shd w:val="clear" w:color="auto" w:fill="auto"/>
            <w:vAlign w:val="center"/>
          </w:tcPr>
          <w:p w14:paraId="3693FA87" w14:textId="77777777" w:rsidR="003734EC" w:rsidRDefault="003734EC">
            <w:pPr>
              <w:rPr>
                <w:rFonts w:ascii="宋体"/>
              </w:rPr>
            </w:pPr>
          </w:p>
        </w:tc>
        <w:tc>
          <w:tcPr>
            <w:tcW w:w="338" w:type="pct"/>
            <w:shd w:val="clear" w:color="auto" w:fill="auto"/>
            <w:vAlign w:val="center"/>
          </w:tcPr>
          <w:p w14:paraId="3693FA88" w14:textId="77777777" w:rsidR="003734EC" w:rsidRDefault="003734EC">
            <w:pPr>
              <w:rPr>
                <w:rFonts w:ascii="宋体"/>
              </w:rPr>
            </w:pPr>
          </w:p>
        </w:tc>
        <w:tc>
          <w:tcPr>
            <w:tcW w:w="50" w:type="pct"/>
            <w:shd w:val="clear" w:color="auto" w:fill="auto"/>
            <w:vAlign w:val="center"/>
          </w:tcPr>
          <w:p w14:paraId="3693FA89" w14:textId="77777777" w:rsidR="003734EC" w:rsidRDefault="003734EC">
            <w:pPr>
              <w:rPr>
                <w:rFonts w:ascii="宋体"/>
              </w:rPr>
            </w:pPr>
          </w:p>
        </w:tc>
        <w:tc>
          <w:tcPr>
            <w:tcW w:w="0" w:type="auto"/>
            <w:shd w:val="clear" w:color="auto" w:fill="auto"/>
            <w:vAlign w:val="center"/>
          </w:tcPr>
          <w:p w14:paraId="3693FA8A" w14:textId="77777777" w:rsidR="003734EC" w:rsidRDefault="003734EC">
            <w:pPr>
              <w:rPr>
                <w:rFonts w:ascii="宋体"/>
                <w:vanish/>
              </w:rPr>
            </w:pPr>
          </w:p>
        </w:tc>
        <w:tc>
          <w:tcPr>
            <w:tcW w:w="0" w:type="auto"/>
            <w:shd w:val="clear" w:color="auto" w:fill="auto"/>
            <w:vAlign w:val="center"/>
          </w:tcPr>
          <w:p w14:paraId="3693FA8B" w14:textId="77777777" w:rsidR="003734EC" w:rsidRDefault="003734EC">
            <w:pPr>
              <w:rPr>
                <w:rFonts w:ascii="宋体"/>
                <w:vanish/>
              </w:rPr>
            </w:pPr>
          </w:p>
        </w:tc>
        <w:tc>
          <w:tcPr>
            <w:tcW w:w="0" w:type="auto"/>
            <w:shd w:val="clear" w:color="auto" w:fill="auto"/>
            <w:vAlign w:val="center"/>
          </w:tcPr>
          <w:p w14:paraId="3693FA8C" w14:textId="77777777" w:rsidR="003734EC" w:rsidRDefault="003734EC">
            <w:pPr>
              <w:rPr>
                <w:rFonts w:ascii="宋体"/>
                <w:vanish/>
              </w:rPr>
            </w:pPr>
          </w:p>
        </w:tc>
        <w:tc>
          <w:tcPr>
            <w:tcW w:w="0" w:type="auto"/>
            <w:shd w:val="clear" w:color="auto" w:fill="auto"/>
            <w:vAlign w:val="center"/>
          </w:tcPr>
          <w:p w14:paraId="3693FA8D" w14:textId="77777777" w:rsidR="003734EC" w:rsidRDefault="003734EC">
            <w:pPr>
              <w:rPr>
                <w:rFonts w:ascii="宋体"/>
                <w:vanish/>
              </w:rPr>
            </w:pPr>
          </w:p>
        </w:tc>
        <w:tc>
          <w:tcPr>
            <w:tcW w:w="0" w:type="auto"/>
            <w:shd w:val="clear" w:color="auto" w:fill="auto"/>
            <w:vAlign w:val="center"/>
          </w:tcPr>
          <w:p w14:paraId="3693FA8E" w14:textId="77777777" w:rsidR="003734EC" w:rsidRDefault="003734EC">
            <w:pPr>
              <w:rPr>
                <w:rFonts w:ascii="宋体"/>
                <w:vanish/>
              </w:rPr>
            </w:pPr>
          </w:p>
        </w:tc>
        <w:tc>
          <w:tcPr>
            <w:tcW w:w="0" w:type="auto"/>
            <w:shd w:val="clear" w:color="auto" w:fill="auto"/>
            <w:vAlign w:val="center"/>
          </w:tcPr>
          <w:p w14:paraId="3693FA8F" w14:textId="77777777" w:rsidR="003734EC" w:rsidRDefault="003734EC">
            <w:pPr>
              <w:rPr>
                <w:rFonts w:ascii="宋体"/>
                <w:vanish/>
              </w:rPr>
            </w:pPr>
          </w:p>
        </w:tc>
        <w:tc>
          <w:tcPr>
            <w:tcW w:w="0" w:type="auto"/>
            <w:shd w:val="clear" w:color="auto" w:fill="auto"/>
            <w:vAlign w:val="center"/>
          </w:tcPr>
          <w:p w14:paraId="3693FA90" w14:textId="77777777" w:rsidR="003734EC" w:rsidRDefault="003734EC">
            <w:pPr>
              <w:rPr>
                <w:rFonts w:ascii="宋体"/>
                <w:vanish/>
              </w:rPr>
            </w:pPr>
          </w:p>
        </w:tc>
        <w:tc>
          <w:tcPr>
            <w:tcW w:w="0" w:type="auto"/>
            <w:shd w:val="clear" w:color="auto" w:fill="auto"/>
            <w:vAlign w:val="center"/>
          </w:tcPr>
          <w:p w14:paraId="3693FA91" w14:textId="77777777" w:rsidR="003734EC" w:rsidRDefault="003734EC">
            <w:pPr>
              <w:rPr>
                <w:rFonts w:ascii="宋体"/>
                <w:vanish/>
              </w:rPr>
            </w:pPr>
          </w:p>
        </w:tc>
      </w:tr>
      <w:tr w:rsidR="003734EC" w14:paraId="3693FAA3" w14:textId="77777777">
        <w:tc>
          <w:tcPr>
            <w:tcW w:w="0" w:type="auto"/>
            <w:gridSpan w:val="3"/>
            <w:shd w:val="clear" w:color="auto" w:fill="auto"/>
            <w:tcMar>
              <w:left w:w="20" w:type="dxa"/>
              <w:right w:w="20" w:type="dxa"/>
            </w:tcMar>
            <w:vAlign w:val="bottom"/>
          </w:tcPr>
          <w:p w14:paraId="3693FA93" w14:textId="77777777" w:rsidR="003734EC" w:rsidRDefault="003734EC">
            <w:pPr>
              <w:rPr>
                <w:rFonts w:ascii="宋体"/>
              </w:rPr>
            </w:pPr>
          </w:p>
        </w:tc>
        <w:tc>
          <w:tcPr>
            <w:tcW w:w="0" w:type="auto"/>
            <w:gridSpan w:val="21"/>
            <w:shd w:val="clear" w:color="auto" w:fill="auto"/>
            <w:tcMar>
              <w:top w:w="40" w:type="dxa"/>
              <w:left w:w="20" w:type="dxa"/>
              <w:bottom w:w="40" w:type="dxa"/>
              <w:right w:w="20" w:type="dxa"/>
            </w:tcMar>
            <w:vAlign w:val="bottom"/>
          </w:tcPr>
          <w:p w14:paraId="3693FA94"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A95" w14:textId="77777777" w:rsidR="003734EC" w:rsidRDefault="003734EC">
            <w:pPr>
              <w:rPr>
                <w:rFonts w:ascii="宋体"/>
                <w:vanish/>
              </w:rPr>
            </w:pPr>
          </w:p>
        </w:tc>
        <w:tc>
          <w:tcPr>
            <w:tcW w:w="0" w:type="auto"/>
            <w:shd w:val="clear" w:color="auto" w:fill="auto"/>
            <w:vAlign w:val="center"/>
          </w:tcPr>
          <w:p w14:paraId="3693FA96" w14:textId="77777777" w:rsidR="003734EC" w:rsidRDefault="003734EC">
            <w:pPr>
              <w:rPr>
                <w:rFonts w:ascii="宋体"/>
                <w:vanish/>
              </w:rPr>
            </w:pPr>
          </w:p>
        </w:tc>
        <w:tc>
          <w:tcPr>
            <w:tcW w:w="0" w:type="auto"/>
            <w:shd w:val="clear" w:color="auto" w:fill="auto"/>
            <w:vAlign w:val="center"/>
          </w:tcPr>
          <w:p w14:paraId="3693FA97" w14:textId="77777777" w:rsidR="003734EC" w:rsidRDefault="003734EC">
            <w:pPr>
              <w:rPr>
                <w:rFonts w:ascii="宋体"/>
                <w:vanish/>
              </w:rPr>
            </w:pPr>
          </w:p>
        </w:tc>
        <w:tc>
          <w:tcPr>
            <w:tcW w:w="0" w:type="auto"/>
            <w:shd w:val="clear" w:color="auto" w:fill="auto"/>
            <w:vAlign w:val="center"/>
          </w:tcPr>
          <w:p w14:paraId="3693FA98" w14:textId="77777777" w:rsidR="003734EC" w:rsidRDefault="003734EC">
            <w:pPr>
              <w:rPr>
                <w:rFonts w:ascii="宋体"/>
                <w:vanish/>
              </w:rPr>
            </w:pPr>
          </w:p>
        </w:tc>
        <w:tc>
          <w:tcPr>
            <w:tcW w:w="0" w:type="auto"/>
            <w:shd w:val="clear" w:color="auto" w:fill="auto"/>
            <w:vAlign w:val="center"/>
          </w:tcPr>
          <w:p w14:paraId="3693FA99" w14:textId="77777777" w:rsidR="003734EC" w:rsidRDefault="003734EC">
            <w:pPr>
              <w:rPr>
                <w:rFonts w:ascii="宋体"/>
                <w:vanish/>
              </w:rPr>
            </w:pPr>
          </w:p>
        </w:tc>
        <w:tc>
          <w:tcPr>
            <w:tcW w:w="0" w:type="auto"/>
            <w:shd w:val="clear" w:color="auto" w:fill="auto"/>
            <w:vAlign w:val="center"/>
          </w:tcPr>
          <w:p w14:paraId="3693FA9A" w14:textId="77777777" w:rsidR="003734EC" w:rsidRDefault="003734EC">
            <w:pPr>
              <w:rPr>
                <w:rFonts w:ascii="宋体"/>
                <w:vanish/>
              </w:rPr>
            </w:pPr>
          </w:p>
        </w:tc>
        <w:tc>
          <w:tcPr>
            <w:tcW w:w="0" w:type="auto"/>
            <w:shd w:val="clear" w:color="auto" w:fill="auto"/>
            <w:vAlign w:val="center"/>
          </w:tcPr>
          <w:p w14:paraId="3693FA9B" w14:textId="77777777" w:rsidR="003734EC" w:rsidRDefault="003734EC">
            <w:pPr>
              <w:rPr>
                <w:rFonts w:ascii="宋体"/>
                <w:vanish/>
              </w:rPr>
            </w:pPr>
          </w:p>
        </w:tc>
        <w:tc>
          <w:tcPr>
            <w:tcW w:w="0" w:type="auto"/>
            <w:shd w:val="clear" w:color="auto" w:fill="auto"/>
            <w:vAlign w:val="center"/>
          </w:tcPr>
          <w:p w14:paraId="3693FA9C" w14:textId="77777777" w:rsidR="003734EC" w:rsidRDefault="003734EC">
            <w:pPr>
              <w:rPr>
                <w:rFonts w:ascii="宋体"/>
                <w:vanish/>
              </w:rPr>
            </w:pPr>
          </w:p>
        </w:tc>
        <w:tc>
          <w:tcPr>
            <w:tcW w:w="0" w:type="auto"/>
            <w:gridSpan w:val="3"/>
            <w:shd w:val="clear" w:color="auto" w:fill="auto"/>
            <w:vAlign w:val="center"/>
          </w:tcPr>
          <w:p w14:paraId="3693FA9D" w14:textId="77777777" w:rsidR="003734EC" w:rsidRDefault="003734EC">
            <w:pPr>
              <w:rPr>
                <w:rFonts w:ascii="宋体"/>
                <w:vanish/>
              </w:rPr>
            </w:pPr>
          </w:p>
        </w:tc>
        <w:tc>
          <w:tcPr>
            <w:tcW w:w="0" w:type="auto"/>
            <w:gridSpan w:val="3"/>
            <w:shd w:val="clear" w:color="auto" w:fill="auto"/>
            <w:vAlign w:val="center"/>
          </w:tcPr>
          <w:p w14:paraId="3693FA9E" w14:textId="77777777" w:rsidR="003734EC" w:rsidRDefault="003734EC">
            <w:pPr>
              <w:rPr>
                <w:rFonts w:ascii="宋体"/>
                <w:vanish/>
              </w:rPr>
            </w:pPr>
          </w:p>
        </w:tc>
        <w:tc>
          <w:tcPr>
            <w:tcW w:w="0" w:type="auto"/>
            <w:gridSpan w:val="3"/>
            <w:shd w:val="clear" w:color="auto" w:fill="auto"/>
            <w:vAlign w:val="center"/>
          </w:tcPr>
          <w:p w14:paraId="3693FA9F" w14:textId="77777777" w:rsidR="003734EC" w:rsidRDefault="003734EC">
            <w:pPr>
              <w:rPr>
                <w:rFonts w:ascii="宋体"/>
                <w:vanish/>
              </w:rPr>
            </w:pPr>
          </w:p>
        </w:tc>
        <w:tc>
          <w:tcPr>
            <w:tcW w:w="0" w:type="auto"/>
            <w:gridSpan w:val="3"/>
            <w:shd w:val="clear" w:color="auto" w:fill="auto"/>
            <w:vAlign w:val="center"/>
          </w:tcPr>
          <w:p w14:paraId="3693FAA0" w14:textId="77777777" w:rsidR="003734EC" w:rsidRDefault="003734EC">
            <w:pPr>
              <w:rPr>
                <w:rFonts w:ascii="宋体"/>
                <w:vanish/>
              </w:rPr>
            </w:pPr>
          </w:p>
        </w:tc>
        <w:tc>
          <w:tcPr>
            <w:tcW w:w="0" w:type="auto"/>
            <w:gridSpan w:val="2"/>
            <w:shd w:val="clear" w:color="auto" w:fill="auto"/>
            <w:vAlign w:val="center"/>
          </w:tcPr>
          <w:p w14:paraId="3693FAA1" w14:textId="77777777" w:rsidR="003734EC" w:rsidRDefault="003734EC">
            <w:pPr>
              <w:rPr>
                <w:rFonts w:ascii="宋体"/>
                <w:vanish/>
              </w:rPr>
            </w:pPr>
          </w:p>
        </w:tc>
        <w:tc>
          <w:tcPr>
            <w:tcW w:w="0" w:type="auto"/>
            <w:shd w:val="clear" w:color="auto" w:fill="auto"/>
            <w:vAlign w:val="center"/>
          </w:tcPr>
          <w:p w14:paraId="3693FAA2" w14:textId="77777777" w:rsidR="003734EC" w:rsidRDefault="003734EC">
            <w:pPr>
              <w:rPr>
                <w:rFonts w:ascii="宋体"/>
                <w:vanish/>
              </w:rPr>
            </w:pPr>
          </w:p>
        </w:tc>
      </w:tr>
      <w:tr w:rsidR="003734EC" w14:paraId="3693FAC3" w14:textId="77777777">
        <w:tc>
          <w:tcPr>
            <w:tcW w:w="0" w:type="auto"/>
            <w:gridSpan w:val="3"/>
            <w:shd w:val="clear" w:color="auto" w:fill="auto"/>
            <w:tcMar>
              <w:top w:w="40" w:type="dxa"/>
              <w:left w:w="20" w:type="dxa"/>
              <w:bottom w:w="40" w:type="dxa"/>
              <w:right w:w="20" w:type="dxa"/>
            </w:tcMar>
            <w:vAlign w:val="center"/>
          </w:tcPr>
          <w:p w14:paraId="3693FAA4" w14:textId="77777777" w:rsidR="003734EC" w:rsidRDefault="000E364E">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93FAA5" w14:textId="77777777" w:rsidR="003734EC" w:rsidRDefault="000E364E">
            <w:pPr>
              <w:jc w:val="center"/>
              <w:textAlignment w:val="center"/>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3693FAA6"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AA7" w14:textId="77777777" w:rsidR="003734EC" w:rsidRDefault="000E364E">
            <w:pPr>
              <w:jc w:val="center"/>
              <w:textAlignment w:val="center"/>
            </w:pPr>
            <w:r>
              <w:rPr>
                <w:rFonts w:ascii="sans-serif" w:eastAsia="sans-serif" w:hAnsi="sans-serif" w:cs="sans-serif"/>
                <w:b/>
                <w:bCs/>
                <w:color w:val="000000"/>
                <w:sz w:val="20"/>
                <w:szCs w:val="20"/>
              </w:rPr>
              <w:t>April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3693FAA8"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AA9" w14:textId="77777777" w:rsidR="003734EC" w:rsidRDefault="000E364E">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3693FAAA"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AAB" w14:textId="77777777" w:rsidR="003734EC" w:rsidRDefault="000E364E">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shd w:val="clear" w:color="auto" w:fill="auto"/>
            <w:vAlign w:val="center"/>
          </w:tcPr>
          <w:p w14:paraId="3693FAAC" w14:textId="77777777" w:rsidR="003734EC" w:rsidRDefault="003734EC">
            <w:pPr>
              <w:rPr>
                <w:rFonts w:ascii="宋体"/>
                <w:vanish/>
              </w:rPr>
            </w:pPr>
          </w:p>
        </w:tc>
        <w:tc>
          <w:tcPr>
            <w:tcW w:w="0" w:type="auto"/>
            <w:shd w:val="clear" w:color="auto" w:fill="auto"/>
            <w:vAlign w:val="center"/>
          </w:tcPr>
          <w:p w14:paraId="3693FAAD" w14:textId="77777777" w:rsidR="003734EC" w:rsidRDefault="003734EC">
            <w:pPr>
              <w:rPr>
                <w:rFonts w:ascii="宋体"/>
                <w:vanish/>
              </w:rPr>
            </w:pPr>
          </w:p>
        </w:tc>
        <w:tc>
          <w:tcPr>
            <w:tcW w:w="0" w:type="auto"/>
            <w:shd w:val="clear" w:color="auto" w:fill="auto"/>
            <w:vAlign w:val="center"/>
          </w:tcPr>
          <w:p w14:paraId="3693FAAE" w14:textId="77777777" w:rsidR="003734EC" w:rsidRDefault="003734EC">
            <w:pPr>
              <w:rPr>
                <w:rFonts w:ascii="宋体"/>
                <w:vanish/>
              </w:rPr>
            </w:pPr>
          </w:p>
        </w:tc>
        <w:tc>
          <w:tcPr>
            <w:tcW w:w="0" w:type="auto"/>
            <w:shd w:val="clear" w:color="auto" w:fill="auto"/>
            <w:vAlign w:val="center"/>
          </w:tcPr>
          <w:p w14:paraId="3693FAAF" w14:textId="77777777" w:rsidR="003734EC" w:rsidRDefault="003734EC">
            <w:pPr>
              <w:rPr>
                <w:rFonts w:ascii="宋体"/>
                <w:vanish/>
              </w:rPr>
            </w:pPr>
          </w:p>
        </w:tc>
        <w:tc>
          <w:tcPr>
            <w:tcW w:w="0" w:type="auto"/>
            <w:shd w:val="clear" w:color="auto" w:fill="auto"/>
            <w:vAlign w:val="center"/>
          </w:tcPr>
          <w:p w14:paraId="3693FAB0" w14:textId="77777777" w:rsidR="003734EC" w:rsidRDefault="003734EC">
            <w:pPr>
              <w:rPr>
                <w:rFonts w:ascii="宋体"/>
                <w:vanish/>
              </w:rPr>
            </w:pPr>
          </w:p>
        </w:tc>
        <w:tc>
          <w:tcPr>
            <w:tcW w:w="0" w:type="auto"/>
            <w:shd w:val="clear" w:color="auto" w:fill="auto"/>
            <w:vAlign w:val="center"/>
          </w:tcPr>
          <w:p w14:paraId="3693FAB1" w14:textId="77777777" w:rsidR="003734EC" w:rsidRDefault="003734EC">
            <w:pPr>
              <w:rPr>
                <w:rFonts w:ascii="宋体"/>
                <w:vanish/>
              </w:rPr>
            </w:pPr>
          </w:p>
        </w:tc>
        <w:tc>
          <w:tcPr>
            <w:tcW w:w="0" w:type="auto"/>
            <w:shd w:val="clear" w:color="auto" w:fill="auto"/>
            <w:vAlign w:val="center"/>
          </w:tcPr>
          <w:p w14:paraId="3693FAB2" w14:textId="77777777" w:rsidR="003734EC" w:rsidRDefault="003734EC">
            <w:pPr>
              <w:rPr>
                <w:rFonts w:ascii="宋体"/>
                <w:vanish/>
              </w:rPr>
            </w:pPr>
          </w:p>
        </w:tc>
        <w:tc>
          <w:tcPr>
            <w:tcW w:w="0" w:type="auto"/>
            <w:shd w:val="clear" w:color="auto" w:fill="auto"/>
            <w:vAlign w:val="center"/>
          </w:tcPr>
          <w:p w14:paraId="3693FAB3" w14:textId="77777777" w:rsidR="003734EC" w:rsidRDefault="003734EC">
            <w:pPr>
              <w:rPr>
                <w:rFonts w:ascii="宋体"/>
                <w:vanish/>
              </w:rPr>
            </w:pPr>
          </w:p>
        </w:tc>
        <w:tc>
          <w:tcPr>
            <w:tcW w:w="0" w:type="auto"/>
            <w:shd w:val="clear" w:color="auto" w:fill="auto"/>
            <w:vAlign w:val="center"/>
          </w:tcPr>
          <w:p w14:paraId="3693FAB4" w14:textId="77777777" w:rsidR="003734EC" w:rsidRDefault="003734EC">
            <w:pPr>
              <w:rPr>
                <w:rFonts w:ascii="宋体"/>
              </w:rPr>
            </w:pPr>
          </w:p>
        </w:tc>
        <w:tc>
          <w:tcPr>
            <w:tcW w:w="0" w:type="auto"/>
            <w:shd w:val="clear" w:color="auto" w:fill="auto"/>
            <w:vAlign w:val="center"/>
          </w:tcPr>
          <w:p w14:paraId="3693FAB5" w14:textId="77777777" w:rsidR="003734EC" w:rsidRDefault="003734EC">
            <w:pPr>
              <w:rPr>
                <w:rFonts w:ascii="宋体"/>
              </w:rPr>
            </w:pPr>
          </w:p>
        </w:tc>
        <w:tc>
          <w:tcPr>
            <w:tcW w:w="0" w:type="auto"/>
            <w:shd w:val="clear" w:color="auto" w:fill="auto"/>
            <w:vAlign w:val="center"/>
          </w:tcPr>
          <w:p w14:paraId="3693FAB6" w14:textId="77777777" w:rsidR="003734EC" w:rsidRDefault="003734EC">
            <w:pPr>
              <w:rPr>
                <w:rFonts w:ascii="宋体"/>
              </w:rPr>
            </w:pPr>
          </w:p>
        </w:tc>
        <w:tc>
          <w:tcPr>
            <w:tcW w:w="0" w:type="auto"/>
            <w:shd w:val="clear" w:color="auto" w:fill="auto"/>
            <w:vAlign w:val="center"/>
          </w:tcPr>
          <w:p w14:paraId="3693FAB7" w14:textId="77777777" w:rsidR="003734EC" w:rsidRDefault="003734EC">
            <w:pPr>
              <w:rPr>
                <w:rFonts w:ascii="宋体"/>
              </w:rPr>
            </w:pPr>
          </w:p>
        </w:tc>
        <w:tc>
          <w:tcPr>
            <w:tcW w:w="0" w:type="auto"/>
            <w:shd w:val="clear" w:color="auto" w:fill="auto"/>
            <w:vAlign w:val="center"/>
          </w:tcPr>
          <w:p w14:paraId="3693FAB8" w14:textId="77777777" w:rsidR="003734EC" w:rsidRDefault="003734EC">
            <w:pPr>
              <w:rPr>
                <w:rFonts w:ascii="宋体"/>
              </w:rPr>
            </w:pPr>
          </w:p>
        </w:tc>
        <w:tc>
          <w:tcPr>
            <w:tcW w:w="0" w:type="auto"/>
            <w:shd w:val="clear" w:color="auto" w:fill="auto"/>
            <w:vAlign w:val="center"/>
          </w:tcPr>
          <w:p w14:paraId="3693FAB9" w14:textId="77777777" w:rsidR="003734EC" w:rsidRDefault="003734EC">
            <w:pPr>
              <w:rPr>
                <w:rFonts w:ascii="宋体"/>
              </w:rPr>
            </w:pPr>
          </w:p>
        </w:tc>
        <w:tc>
          <w:tcPr>
            <w:tcW w:w="0" w:type="auto"/>
            <w:shd w:val="clear" w:color="auto" w:fill="auto"/>
            <w:vAlign w:val="center"/>
          </w:tcPr>
          <w:p w14:paraId="3693FABA" w14:textId="77777777" w:rsidR="003734EC" w:rsidRDefault="003734EC">
            <w:pPr>
              <w:rPr>
                <w:rFonts w:ascii="宋体"/>
              </w:rPr>
            </w:pPr>
          </w:p>
        </w:tc>
        <w:tc>
          <w:tcPr>
            <w:tcW w:w="0" w:type="auto"/>
            <w:shd w:val="clear" w:color="auto" w:fill="auto"/>
            <w:vAlign w:val="center"/>
          </w:tcPr>
          <w:p w14:paraId="3693FABB" w14:textId="77777777" w:rsidR="003734EC" w:rsidRDefault="003734EC">
            <w:pPr>
              <w:rPr>
                <w:rFonts w:ascii="宋体"/>
              </w:rPr>
            </w:pPr>
          </w:p>
        </w:tc>
        <w:tc>
          <w:tcPr>
            <w:tcW w:w="0" w:type="auto"/>
            <w:shd w:val="clear" w:color="auto" w:fill="auto"/>
            <w:vAlign w:val="center"/>
          </w:tcPr>
          <w:p w14:paraId="3693FABC" w14:textId="77777777" w:rsidR="003734EC" w:rsidRDefault="003734EC">
            <w:pPr>
              <w:rPr>
                <w:rFonts w:ascii="宋体"/>
              </w:rPr>
            </w:pPr>
          </w:p>
        </w:tc>
        <w:tc>
          <w:tcPr>
            <w:tcW w:w="0" w:type="auto"/>
            <w:shd w:val="clear" w:color="auto" w:fill="auto"/>
            <w:vAlign w:val="center"/>
          </w:tcPr>
          <w:p w14:paraId="3693FABD" w14:textId="77777777" w:rsidR="003734EC" w:rsidRDefault="003734EC">
            <w:pPr>
              <w:rPr>
                <w:rFonts w:ascii="宋体"/>
              </w:rPr>
            </w:pPr>
          </w:p>
        </w:tc>
        <w:tc>
          <w:tcPr>
            <w:tcW w:w="0" w:type="auto"/>
            <w:shd w:val="clear" w:color="auto" w:fill="auto"/>
            <w:vAlign w:val="center"/>
          </w:tcPr>
          <w:p w14:paraId="3693FABE" w14:textId="77777777" w:rsidR="003734EC" w:rsidRDefault="003734EC">
            <w:pPr>
              <w:rPr>
                <w:rFonts w:ascii="宋体"/>
              </w:rPr>
            </w:pPr>
          </w:p>
        </w:tc>
        <w:tc>
          <w:tcPr>
            <w:tcW w:w="0" w:type="auto"/>
            <w:shd w:val="clear" w:color="auto" w:fill="auto"/>
            <w:vAlign w:val="center"/>
          </w:tcPr>
          <w:p w14:paraId="3693FABF" w14:textId="77777777" w:rsidR="003734EC" w:rsidRDefault="003734EC">
            <w:pPr>
              <w:rPr>
                <w:rFonts w:ascii="宋体"/>
              </w:rPr>
            </w:pPr>
          </w:p>
        </w:tc>
        <w:tc>
          <w:tcPr>
            <w:tcW w:w="0" w:type="auto"/>
            <w:shd w:val="clear" w:color="auto" w:fill="auto"/>
            <w:vAlign w:val="center"/>
          </w:tcPr>
          <w:p w14:paraId="3693FAC0" w14:textId="77777777" w:rsidR="003734EC" w:rsidRDefault="003734EC">
            <w:pPr>
              <w:rPr>
                <w:rFonts w:ascii="宋体"/>
              </w:rPr>
            </w:pPr>
          </w:p>
        </w:tc>
        <w:tc>
          <w:tcPr>
            <w:tcW w:w="0" w:type="auto"/>
            <w:shd w:val="clear" w:color="auto" w:fill="auto"/>
            <w:vAlign w:val="center"/>
          </w:tcPr>
          <w:p w14:paraId="3693FAC1" w14:textId="77777777" w:rsidR="003734EC" w:rsidRDefault="003734EC">
            <w:pPr>
              <w:rPr>
                <w:rFonts w:ascii="宋体"/>
              </w:rPr>
            </w:pPr>
          </w:p>
        </w:tc>
        <w:tc>
          <w:tcPr>
            <w:tcW w:w="0" w:type="auto"/>
            <w:shd w:val="clear" w:color="auto" w:fill="auto"/>
            <w:vAlign w:val="center"/>
          </w:tcPr>
          <w:p w14:paraId="3693FAC2" w14:textId="77777777" w:rsidR="003734EC" w:rsidRDefault="003734EC">
            <w:pPr>
              <w:rPr>
                <w:rFonts w:ascii="宋体"/>
              </w:rPr>
            </w:pPr>
          </w:p>
        </w:tc>
      </w:tr>
      <w:tr w:rsidR="003734EC" w14:paraId="3693FAD4" w14:textId="77777777">
        <w:tc>
          <w:tcPr>
            <w:tcW w:w="0" w:type="auto"/>
            <w:gridSpan w:val="3"/>
            <w:shd w:val="clear" w:color="auto" w:fill="auto"/>
            <w:tcMar>
              <w:top w:w="40" w:type="dxa"/>
              <w:left w:w="20" w:type="dxa"/>
              <w:bottom w:w="40" w:type="dxa"/>
              <w:right w:w="20" w:type="dxa"/>
            </w:tcMar>
            <w:vAlign w:val="bottom"/>
          </w:tcPr>
          <w:p w14:paraId="3693FAC4" w14:textId="77777777" w:rsidR="003734EC" w:rsidRDefault="000E364E">
            <w:pPr>
              <w:textAlignment w:val="bottom"/>
            </w:pPr>
            <w:r>
              <w:rPr>
                <w:rFonts w:ascii="sans-serif" w:eastAsia="sans-serif" w:hAnsi="sans-serif" w:cs="sans-serif"/>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693FAC5" w14:textId="77777777" w:rsidR="003734EC" w:rsidRDefault="000E364E">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center"/>
          </w:tcPr>
          <w:p w14:paraId="3693FAC6" w14:textId="77777777" w:rsidR="003734EC" w:rsidRDefault="003734EC">
            <w:pPr>
              <w:rPr>
                <w:rFonts w:ascii="宋体"/>
                <w:vanish/>
              </w:rPr>
            </w:pPr>
          </w:p>
        </w:tc>
        <w:tc>
          <w:tcPr>
            <w:tcW w:w="0" w:type="auto"/>
            <w:shd w:val="clear" w:color="auto" w:fill="auto"/>
            <w:vAlign w:val="center"/>
          </w:tcPr>
          <w:p w14:paraId="3693FAC7" w14:textId="77777777" w:rsidR="003734EC" w:rsidRDefault="003734EC">
            <w:pPr>
              <w:rPr>
                <w:rFonts w:ascii="宋体"/>
                <w:vanish/>
              </w:rPr>
            </w:pPr>
          </w:p>
        </w:tc>
        <w:tc>
          <w:tcPr>
            <w:tcW w:w="0" w:type="auto"/>
            <w:shd w:val="clear" w:color="auto" w:fill="auto"/>
            <w:vAlign w:val="center"/>
          </w:tcPr>
          <w:p w14:paraId="3693FAC8" w14:textId="77777777" w:rsidR="003734EC" w:rsidRDefault="003734EC">
            <w:pPr>
              <w:rPr>
                <w:rFonts w:ascii="宋体"/>
                <w:vanish/>
              </w:rPr>
            </w:pPr>
          </w:p>
        </w:tc>
        <w:tc>
          <w:tcPr>
            <w:tcW w:w="0" w:type="auto"/>
            <w:shd w:val="clear" w:color="auto" w:fill="auto"/>
            <w:vAlign w:val="center"/>
          </w:tcPr>
          <w:p w14:paraId="3693FAC9" w14:textId="77777777" w:rsidR="003734EC" w:rsidRDefault="003734EC">
            <w:pPr>
              <w:rPr>
                <w:rFonts w:ascii="宋体"/>
                <w:vanish/>
              </w:rPr>
            </w:pPr>
          </w:p>
        </w:tc>
        <w:tc>
          <w:tcPr>
            <w:tcW w:w="0" w:type="auto"/>
            <w:shd w:val="clear" w:color="auto" w:fill="auto"/>
            <w:vAlign w:val="center"/>
          </w:tcPr>
          <w:p w14:paraId="3693FACA" w14:textId="77777777" w:rsidR="003734EC" w:rsidRDefault="003734EC">
            <w:pPr>
              <w:rPr>
                <w:rFonts w:ascii="宋体"/>
                <w:vanish/>
              </w:rPr>
            </w:pPr>
          </w:p>
        </w:tc>
        <w:tc>
          <w:tcPr>
            <w:tcW w:w="0" w:type="auto"/>
            <w:shd w:val="clear" w:color="auto" w:fill="auto"/>
            <w:vAlign w:val="center"/>
          </w:tcPr>
          <w:p w14:paraId="3693FACB" w14:textId="77777777" w:rsidR="003734EC" w:rsidRDefault="003734EC">
            <w:pPr>
              <w:rPr>
                <w:rFonts w:ascii="宋体"/>
                <w:vanish/>
              </w:rPr>
            </w:pPr>
          </w:p>
        </w:tc>
        <w:tc>
          <w:tcPr>
            <w:tcW w:w="0" w:type="auto"/>
            <w:shd w:val="clear" w:color="auto" w:fill="auto"/>
            <w:vAlign w:val="center"/>
          </w:tcPr>
          <w:p w14:paraId="3693FACC" w14:textId="77777777" w:rsidR="003734EC" w:rsidRDefault="003734EC">
            <w:pPr>
              <w:rPr>
                <w:rFonts w:ascii="宋体"/>
                <w:vanish/>
              </w:rPr>
            </w:pPr>
          </w:p>
        </w:tc>
        <w:tc>
          <w:tcPr>
            <w:tcW w:w="0" w:type="auto"/>
            <w:shd w:val="clear" w:color="auto" w:fill="auto"/>
            <w:vAlign w:val="center"/>
          </w:tcPr>
          <w:p w14:paraId="3693FACD" w14:textId="77777777" w:rsidR="003734EC" w:rsidRDefault="003734EC">
            <w:pPr>
              <w:rPr>
                <w:rFonts w:ascii="宋体"/>
                <w:vanish/>
              </w:rPr>
            </w:pPr>
          </w:p>
        </w:tc>
        <w:tc>
          <w:tcPr>
            <w:tcW w:w="0" w:type="auto"/>
            <w:gridSpan w:val="3"/>
            <w:shd w:val="clear" w:color="auto" w:fill="auto"/>
            <w:vAlign w:val="center"/>
          </w:tcPr>
          <w:p w14:paraId="3693FACE" w14:textId="77777777" w:rsidR="003734EC" w:rsidRDefault="003734EC">
            <w:pPr>
              <w:rPr>
                <w:rFonts w:ascii="宋体"/>
                <w:vanish/>
              </w:rPr>
            </w:pPr>
          </w:p>
        </w:tc>
        <w:tc>
          <w:tcPr>
            <w:tcW w:w="0" w:type="auto"/>
            <w:gridSpan w:val="3"/>
            <w:shd w:val="clear" w:color="auto" w:fill="auto"/>
            <w:vAlign w:val="center"/>
          </w:tcPr>
          <w:p w14:paraId="3693FACF" w14:textId="77777777" w:rsidR="003734EC" w:rsidRDefault="003734EC">
            <w:pPr>
              <w:rPr>
                <w:rFonts w:ascii="宋体"/>
                <w:vanish/>
              </w:rPr>
            </w:pPr>
          </w:p>
        </w:tc>
        <w:tc>
          <w:tcPr>
            <w:tcW w:w="0" w:type="auto"/>
            <w:gridSpan w:val="3"/>
            <w:shd w:val="clear" w:color="auto" w:fill="auto"/>
            <w:vAlign w:val="center"/>
          </w:tcPr>
          <w:p w14:paraId="3693FAD0" w14:textId="77777777" w:rsidR="003734EC" w:rsidRDefault="003734EC">
            <w:pPr>
              <w:rPr>
                <w:rFonts w:ascii="宋体"/>
                <w:vanish/>
              </w:rPr>
            </w:pPr>
          </w:p>
        </w:tc>
        <w:tc>
          <w:tcPr>
            <w:tcW w:w="0" w:type="auto"/>
            <w:gridSpan w:val="3"/>
            <w:shd w:val="clear" w:color="auto" w:fill="auto"/>
            <w:vAlign w:val="center"/>
          </w:tcPr>
          <w:p w14:paraId="3693FAD1" w14:textId="77777777" w:rsidR="003734EC" w:rsidRDefault="003734EC">
            <w:pPr>
              <w:rPr>
                <w:rFonts w:ascii="宋体"/>
                <w:vanish/>
              </w:rPr>
            </w:pPr>
          </w:p>
        </w:tc>
        <w:tc>
          <w:tcPr>
            <w:tcW w:w="0" w:type="auto"/>
            <w:gridSpan w:val="2"/>
            <w:shd w:val="clear" w:color="auto" w:fill="auto"/>
            <w:vAlign w:val="center"/>
          </w:tcPr>
          <w:p w14:paraId="3693FAD2" w14:textId="77777777" w:rsidR="003734EC" w:rsidRDefault="003734EC">
            <w:pPr>
              <w:rPr>
                <w:rFonts w:ascii="宋体"/>
                <w:vanish/>
              </w:rPr>
            </w:pPr>
          </w:p>
        </w:tc>
        <w:tc>
          <w:tcPr>
            <w:tcW w:w="0" w:type="auto"/>
            <w:shd w:val="clear" w:color="auto" w:fill="auto"/>
            <w:vAlign w:val="center"/>
          </w:tcPr>
          <w:p w14:paraId="3693FAD3" w14:textId="77777777" w:rsidR="003734EC" w:rsidRDefault="003734EC">
            <w:pPr>
              <w:rPr>
                <w:rFonts w:ascii="宋体"/>
                <w:vanish/>
              </w:rPr>
            </w:pPr>
          </w:p>
        </w:tc>
      </w:tr>
      <w:tr w:rsidR="003734EC" w14:paraId="3693FAFB" w14:textId="77777777">
        <w:tc>
          <w:tcPr>
            <w:tcW w:w="0" w:type="auto"/>
            <w:gridSpan w:val="3"/>
            <w:shd w:val="clear" w:color="auto" w:fill="E2EFD9"/>
            <w:tcMar>
              <w:top w:w="40" w:type="dxa"/>
              <w:left w:w="20" w:type="dxa"/>
              <w:bottom w:w="40" w:type="dxa"/>
              <w:right w:w="20" w:type="dxa"/>
            </w:tcMar>
            <w:vAlign w:val="bottom"/>
          </w:tcPr>
          <w:p w14:paraId="3693FAD5" w14:textId="77777777" w:rsidR="003734EC" w:rsidRDefault="000E364E">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tcMar>
            <w:vAlign w:val="bottom"/>
          </w:tcPr>
          <w:p w14:paraId="3693FAD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AD7" w14:textId="77777777" w:rsidR="003734EC" w:rsidRDefault="000E364E">
            <w:pPr>
              <w:jc w:val="right"/>
              <w:textAlignment w:val="bottom"/>
            </w:pPr>
            <w:r>
              <w:rPr>
                <w:rFonts w:ascii="sans-serif" w:eastAsia="sans-serif" w:hAnsi="sans-serif" w:cs="sans-serif"/>
                <w:color w:val="000000"/>
                <w:sz w:val="20"/>
                <w:szCs w:val="20"/>
              </w:rPr>
              <w:t>1,906 </w:t>
            </w:r>
          </w:p>
        </w:tc>
        <w:tc>
          <w:tcPr>
            <w:tcW w:w="0" w:type="auto"/>
            <w:shd w:val="clear" w:color="auto" w:fill="E2EFD9"/>
            <w:tcMar>
              <w:top w:w="40" w:type="dxa"/>
              <w:bottom w:w="40" w:type="dxa"/>
              <w:right w:w="20" w:type="dxa"/>
            </w:tcMar>
            <w:vAlign w:val="bottom"/>
          </w:tcPr>
          <w:p w14:paraId="3693FAD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AD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AD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ADB" w14:textId="77777777" w:rsidR="003734EC" w:rsidRDefault="000E364E">
            <w:pPr>
              <w:jc w:val="right"/>
              <w:textAlignment w:val="bottom"/>
            </w:pPr>
            <w:r>
              <w:rPr>
                <w:rFonts w:ascii="sans-serif" w:eastAsia="sans-serif" w:hAnsi="sans-serif" w:cs="sans-serif"/>
                <w:color w:val="000000"/>
                <w:sz w:val="20"/>
                <w:szCs w:val="20"/>
              </w:rPr>
              <w:t>1,526 </w:t>
            </w:r>
          </w:p>
        </w:tc>
        <w:tc>
          <w:tcPr>
            <w:tcW w:w="0" w:type="auto"/>
            <w:shd w:val="clear" w:color="auto" w:fill="E2EFD9"/>
            <w:tcMar>
              <w:top w:w="40" w:type="dxa"/>
              <w:bottom w:w="40" w:type="dxa"/>
              <w:right w:w="20" w:type="dxa"/>
            </w:tcMar>
            <w:vAlign w:val="bottom"/>
          </w:tcPr>
          <w:p w14:paraId="3693FAD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AD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AD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ADF" w14:textId="77777777" w:rsidR="003734EC" w:rsidRDefault="000E364E">
            <w:pPr>
              <w:jc w:val="right"/>
              <w:textAlignment w:val="bottom"/>
            </w:pPr>
            <w:r>
              <w:rPr>
                <w:rFonts w:ascii="sans-serif" w:eastAsia="sans-serif" w:hAnsi="sans-serif" w:cs="sans-serif"/>
                <w:color w:val="000000"/>
                <w:sz w:val="20"/>
                <w:szCs w:val="20"/>
              </w:rPr>
              <w:t>380 </w:t>
            </w:r>
          </w:p>
        </w:tc>
        <w:tc>
          <w:tcPr>
            <w:tcW w:w="0" w:type="auto"/>
            <w:shd w:val="clear" w:color="auto" w:fill="E2EFD9"/>
            <w:tcMar>
              <w:top w:w="40" w:type="dxa"/>
              <w:bottom w:w="40" w:type="dxa"/>
              <w:right w:w="20" w:type="dxa"/>
            </w:tcMar>
            <w:vAlign w:val="bottom"/>
          </w:tcPr>
          <w:p w14:paraId="3693FAE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AE1"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AE2" w14:textId="77777777" w:rsidR="003734EC" w:rsidRDefault="000E364E">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bottom w:w="40" w:type="dxa"/>
              <w:right w:w="20" w:type="dxa"/>
            </w:tcMar>
            <w:vAlign w:val="bottom"/>
          </w:tcPr>
          <w:p w14:paraId="3693FAE3"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AE4" w14:textId="77777777" w:rsidR="003734EC" w:rsidRDefault="003734EC">
            <w:pPr>
              <w:rPr>
                <w:rFonts w:ascii="宋体"/>
                <w:vanish/>
              </w:rPr>
            </w:pPr>
          </w:p>
        </w:tc>
        <w:tc>
          <w:tcPr>
            <w:tcW w:w="0" w:type="auto"/>
            <w:shd w:val="clear" w:color="auto" w:fill="auto"/>
            <w:vAlign w:val="center"/>
          </w:tcPr>
          <w:p w14:paraId="3693FAE5" w14:textId="77777777" w:rsidR="003734EC" w:rsidRDefault="003734EC">
            <w:pPr>
              <w:rPr>
                <w:rFonts w:ascii="宋体"/>
                <w:vanish/>
              </w:rPr>
            </w:pPr>
          </w:p>
        </w:tc>
        <w:tc>
          <w:tcPr>
            <w:tcW w:w="0" w:type="auto"/>
            <w:shd w:val="clear" w:color="auto" w:fill="auto"/>
            <w:vAlign w:val="center"/>
          </w:tcPr>
          <w:p w14:paraId="3693FAE6" w14:textId="77777777" w:rsidR="003734EC" w:rsidRDefault="003734EC">
            <w:pPr>
              <w:rPr>
                <w:rFonts w:ascii="宋体"/>
                <w:vanish/>
              </w:rPr>
            </w:pPr>
          </w:p>
        </w:tc>
        <w:tc>
          <w:tcPr>
            <w:tcW w:w="0" w:type="auto"/>
            <w:shd w:val="clear" w:color="auto" w:fill="auto"/>
            <w:vAlign w:val="center"/>
          </w:tcPr>
          <w:p w14:paraId="3693FAE7" w14:textId="77777777" w:rsidR="003734EC" w:rsidRDefault="003734EC">
            <w:pPr>
              <w:rPr>
                <w:rFonts w:ascii="宋体"/>
                <w:vanish/>
              </w:rPr>
            </w:pPr>
          </w:p>
        </w:tc>
        <w:tc>
          <w:tcPr>
            <w:tcW w:w="0" w:type="auto"/>
            <w:shd w:val="clear" w:color="auto" w:fill="auto"/>
            <w:vAlign w:val="center"/>
          </w:tcPr>
          <w:p w14:paraId="3693FAE8" w14:textId="77777777" w:rsidR="003734EC" w:rsidRDefault="003734EC">
            <w:pPr>
              <w:rPr>
                <w:rFonts w:ascii="宋体"/>
                <w:vanish/>
              </w:rPr>
            </w:pPr>
          </w:p>
        </w:tc>
        <w:tc>
          <w:tcPr>
            <w:tcW w:w="0" w:type="auto"/>
            <w:shd w:val="clear" w:color="auto" w:fill="auto"/>
            <w:vAlign w:val="center"/>
          </w:tcPr>
          <w:p w14:paraId="3693FAE9" w14:textId="77777777" w:rsidR="003734EC" w:rsidRDefault="003734EC">
            <w:pPr>
              <w:rPr>
                <w:rFonts w:ascii="宋体"/>
                <w:vanish/>
              </w:rPr>
            </w:pPr>
          </w:p>
        </w:tc>
        <w:tc>
          <w:tcPr>
            <w:tcW w:w="0" w:type="auto"/>
            <w:shd w:val="clear" w:color="auto" w:fill="auto"/>
            <w:vAlign w:val="center"/>
          </w:tcPr>
          <w:p w14:paraId="3693FAEA" w14:textId="77777777" w:rsidR="003734EC" w:rsidRDefault="003734EC">
            <w:pPr>
              <w:rPr>
                <w:rFonts w:ascii="宋体"/>
                <w:vanish/>
              </w:rPr>
            </w:pPr>
          </w:p>
        </w:tc>
        <w:tc>
          <w:tcPr>
            <w:tcW w:w="0" w:type="auto"/>
            <w:shd w:val="clear" w:color="auto" w:fill="auto"/>
            <w:vAlign w:val="center"/>
          </w:tcPr>
          <w:p w14:paraId="3693FAEB" w14:textId="77777777" w:rsidR="003734EC" w:rsidRDefault="003734EC">
            <w:pPr>
              <w:rPr>
                <w:rFonts w:ascii="宋体"/>
                <w:vanish/>
              </w:rPr>
            </w:pPr>
          </w:p>
        </w:tc>
        <w:tc>
          <w:tcPr>
            <w:tcW w:w="0" w:type="auto"/>
            <w:shd w:val="clear" w:color="auto" w:fill="auto"/>
            <w:vAlign w:val="center"/>
          </w:tcPr>
          <w:p w14:paraId="3693FAEC" w14:textId="77777777" w:rsidR="003734EC" w:rsidRDefault="003734EC">
            <w:pPr>
              <w:rPr>
                <w:rFonts w:ascii="宋体"/>
              </w:rPr>
            </w:pPr>
          </w:p>
        </w:tc>
        <w:tc>
          <w:tcPr>
            <w:tcW w:w="0" w:type="auto"/>
            <w:shd w:val="clear" w:color="auto" w:fill="auto"/>
            <w:vAlign w:val="center"/>
          </w:tcPr>
          <w:p w14:paraId="3693FAED" w14:textId="77777777" w:rsidR="003734EC" w:rsidRDefault="003734EC">
            <w:pPr>
              <w:rPr>
                <w:rFonts w:ascii="宋体"/>
              </w:rPr>
            </w:pPr>
          </w:p>
        </w:tc>
        <w:tc>
          <w:tcPr>
            <w:tcW w:w="0" w:type="auto"/>
            <w:shd w:val="clear" w:color="auto" w:fill="auto"/>
            <w:vAlign w:val="center"/>
          </w:tcPr>
          <w:p w14:paraId="3693FAEE" w14:textId="77777777" w:rsidR="003734EC" w:rsidRDefault="003734EC">
            <w:pPr>
              <w:rPr>
                <w:rFonts w:ascii="宋体"/>
              </w:rPr>
            </w:pPr>
          </w:p>
        </w:tc>
        <w:tc>
          <w:tcPr>
            <w:tcW w:w="0" w:type="auto"/>
            <w:shd w:val="clear" w:color="auto" w:fill="auto"/>
            <w:vAlign w:val="center"/>
          </w:tcPr>
          <w:p w14:paraId="3693FAEF" w14:textId="77777777" w:rsidR="003734EC" w:rsidRDefault="003734EC">
            <w:pPr>
              <w:rPr>
                <w:rFonts w:ascii="宋体"/>
              </w:rPr>
            </w:pPr>
          </w:p>
        </w:tc>
        <w:tc>
          <w:tcPr>
            <w:tcW w:w="0" w:type="auto"/>
            <w:shd w:val="clear" w:color="auto" w:fill="auto"/>
            <w:vAlign w:val="center"/>
          </w:tcPr>
          <w:p w14:paraId="3693FAF0" w14:textId="77777777" w:rsidR="003734EC" w:rsidRDefault="003734EC">
            <w:pPr>
              <w:rPr>
                <w:rFonts w:ascii="宋体"/>
              </w:rPr>
            </w:pPr>
          </w:p>
        </w:tc>
        <w:tc>
          <w:tcPr>
            <w:tcW w:w="0" w:type="auto"/>
            <w:shd w:val="clear" w:color="auto" w:fill="auto"/>
            <w:vAlign w:val="center"/>
          </w:tcPr>
          <w:p w14:paraId="3693FAF1" w14:textId="77777777" w:rsidR="003734EC" w:rsidRDefault="003734EC">
            <w:pPr>
              <w:rPr>
                <w:rFonts w:ascii="宋体"/>
              </w:rPr>
            </w:pPr>
          </w:p>
        </w:tc>
        <w:tc>
          <w:tcPr>
            <w:tcW w:w="0" w:type="auto"/>
            <w:shd w:val="clear" w:color="auto" w:fill="auto"/>
            <w:vAlign w:val="center"/>
          </w:tcPr>
          <w:p w14:paraId="3693FAF2" w14:textId="77777777" w:rsidR="003734EC" w:rsidRDefault="003734EC">
            <w:pPr>
              <w:rPr>
                <w:rFonts w:ascii="宋体"/>
              </w:rPr>
            </w:pPr>
          </w:p>
        </w:tc>
        <w:tc>
          <w:tcPr>
            <w:tcW w:w="0" w:type="auto"/>
            <w:shd w:val="clear" w:color="auto" w:fill="auto"/>
            <w:vAlign w:val="center"/>
          </w:tcPr>
          <w:p w14:paraId="3693FAF3" w14:textId="77777777" w:rsidR="003734EC" w:rsidRDefault="003734EC">
            <w:pPr>
              <w:rPr>
                <w:rFonts w:ascii="宋体"/>
              </w:rPr>
            </w:pPr>
          </w:p>
        </w:tc>
        <w:tc>
          <w:tcPr>
            <w:tcW w:w="0" w:type="auto"/>
            <w:shd w:val="clear" w:color="auto" w:fill="auto"/>
            <w:vAlign w:val="center"/>
          </w:tcPr>
          <w:p w14:paraId="3693FAF4" w14:textId="77777777" w:rsidR="003734EC" w:rsidRDefault="003734EC">
            <w:pPr>
              <w:rPr>
                <w:rFonts w:ascii="宋体"/>
              </w:rPr>
            </w:pPr>
          </w:p>
        </w:tc>
        <w:tc>
          <w:tcPr>
            <w:tcW w:w="0" w:type="auto"/>
            <w:shd w:val="clear" w:color="auto" w:fill="auto"/>
            <w:vAlign w:val="center"/>
          </w:tcPr>
          <w:p w14:paraId="3693FAF5" w14:textId="77777777" w:rsidR="003734EC" w:rsidRDefault="003734EC">
            <w:pPr>
              <w:rPr>
                <w:rFonts w:ascii="宋体"/>
              </w:rPr>
            </w:pPr>
          </w:p>
        </w:tc>
        <w:tc>
          <w:tcPr>
            <w:tcW w:w="0" w:type="auto"/>
            <w:shd w:val="clear" w:color="auto" w:fill="auto"/>
            <w:vAlign w:val="center"/>
          </w:tcPr>
          <w:p w14:paraId="3693FAF6" w14:textId="77777777" w:rsidR="003734EC" w:rsidRDefault="003734EC">
            <w:pPr>
              <w:rPr>
                <w:rFonts w:ascii="宋体"/>
              </w:rPr>
            </w:pPr>
          </w:p>
        </w:tc>
        <w:tc>
          <w:tcPr>
            <w:tcW w:w="0" w:type="auto"/>
            <w:shd w:val="clear" w:color="auto" w:fill="auto"/>
            <w:vAlign w:val="center"/>
          </w:tcPr>
          <w:p w14:paraId="3693FAF7" w14:textId="77777777" w:rsidR="003734EC" w:rsidRDefault="003734EC">
            <w:pPr>
              <w:rPr>
                <w:rFonts w:ascii="宋体"/>
              </w:rPr>
            </w:pPr>
          </w:p>
        </w:tc>
        <w:tc>
          <w:tcPr>
            <w:tcW w:w="0" w:type="auto"/>
            <w:shd w:val="clear" w:color="auto" w:fill="auto"/>
            <w:vAlign w:val="center"/>
          </w:tcPr>
          <w:p w14:paraId="3693FAF8" w14:textId="77777777" w:rsidR="003734EC" w:rsidRDefault="003734EC">
            <w:pPr>
              <w:rPr>
                <w:rFonts w:ascii="宋体"/>
              </w:rPr>
            </w:pPr>
          </w:p>
        </w:tc>
        <w:tc>
          <w:tcPr>
            <w:tcW w:w="0" w:type="auto"/>
            <w:shd w:val="clear" w:color="auto" w:fill="auto"/>
            <w:vAlign w:val="center"/>
          </w:tcPr>
          <w:p w14:paraId="3693FAF9" w14:textId="77777777" w:rsidR="003734EC" w:rsidRDefault="003734EC">
            <w:pPr>
              <w:rPr>
                <w:rFonts w:ascii="宋体"/>
              </w:rPr>
            </w:pPr>
          </w:p>
        </w:tc>
        <w:tc>
          <w:tcPr>
            <w:tcW w:w="0" w:type="auto"/>
            <w:shd w:val="clear" w:color="auto" w:fill="auto"/>
            <w:vAlign w:val="center"/>
          </w:tcPr>
          <w:p w14:paraId="3693FAFA" w14:textId="77777777" w:rsidR="003734EC" w:rsidRDefault="003734EC">
            <w:pPr>
              <w:rPr>
                <w:rFonts w:ascii="宋体"/>
              </w:rPr>
            </w:pPr>
          </w:p>
        </w:tc>
      </w:tr>
      <w:tr w:rsidR="003734EC" w14:paraId="3693FB1F" w14:textId="77777777">
        <w:tc>
          <w:tcPr>
            <w:tcW w:w="0" w:type="auto"/>
            <w:gridSpan w:val="3"/>
            <w:shd w:val="clear" w:color="auto" w:fill="FFFFFF"/>
            <w:tcMar>
              <w:top w:w="40" w:type="dxa"/>
              <w:left w:w="20" w:type="dxa"/>
              <w:bottom w:w="40" w:type="dxa"/>
              <w:right w:w="20" w:type="dxa"/>
            </w:tcMar>
            <w:vAlign w:val="bottom"/>
          </w:tcPr>
          <w:p w14:paraId="3693FAFC" w14:textId="77777777" w:rsidR="003734EC" w:rsidRDefault="000E364E">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3693FAFD" w14:textId="77777777" w:rsidR="003734EC" w:rsidRDefault="000E364E">
            <w:pPr>
              <w:jc w:val="right"/>
              <w:textAlignment w:val="bottom"/>
            </w:pPr>
            <w:r>
              <w:rPr>
                <w:rFonts w:ascii="sans-serif" w:eastAsia="sans-serif" w:hAnsi="sans-serif" w:cs="sans-serif"/>
                <w:color w:val="000000"/>
                <w:sz w:val="20"/>
                <w:szCs w:val="20"/>
              </w:rPr>
              <w:t>1,174 </w:t>
            </w:r>
          </w:p>
        </w:tc>
        <w:tc>
          <w:tcPr>
            <w:tcW w:w="0" w:type="auto"/>
            <w:shd w:val="clear" w:color="auto" w:fill="FFFFFF"/>
            <w:tcMar>
              <w:top w:w="40" w:type="dxa"/>
              <w:bottom w:w="40" w:type="dxa"/>
              <w:right w:w="20" w:type="dxa"/>
            </w:tcMar>
            <w:vAlign w:val="bottom"/>
          </w:tcPr>
          <w:p w14:paraId="3693FAF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AFF"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B00" w14:textId="77777777" w:rsidR="003734EC" w:rsidRDefault="000E364E">
            <w:pPr>
              <w:jc w:val="right"/>
              <w:textAlignment w:val="bottom"/>
            </w:pPr>
            <w:r>
              <w:rPr>
                <w:rFonts w:ascii="sans-serif" w:eastAsia="sans-serif" w:hAnsi="sans-serif" w:cs="sans-serif"/>
                <w:color w:val="000000"/>
                <w:sz w:val="20"/>
                <w:szCs w:val="20"/>
              </w:rPr>
              <w:t>694 </w:t>
            </w:r>
          </w:p>
        </w:tc>
        <w:tc>
          <w:tcPr>
            <w:tcW w:w="0" w:type="auto"/>
            <w:shd w:val="clear" w:color="auto" w:fill="FFFFFF"/>
            <w:tcMar>
              <w:top w:w="40" w:type="dxa"/>
              <w:bottom w:w="40" w:type="dxa"/>
              <w:right w:w="20" w:type="dxa"/>
            </w:tcMar>
            <w:vAlign w:val="bottom"/>
          </w:tcPr>
          <w:p w14:paraId="3693FB01"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B02"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B03" w14:textId="77777777" w:rsidR="003734EC" w:rsidRDefault="000E364E">
            <w:pPr>
              <w:jc w:val="right"/>
              <w:textAlignment w:val="bottom"/>
            </w:pPr>
            <w:r>
              <w:rPr>
                <w:rFonts w:ascii="sans-serif" w:eastAsia="sans-serif" w:hAnsi="sans-serif" w:cs="sans-serif"/>
                <w:color w:val="000000"/>
                <w:sz w:val="20"/>
                <w:szCs w:val="20"/>
              </w:rPr>
              <w:t>480 </w:t>
            </w:r>
          </w:p>
        </w:tc>
        <w:tc>
          <w:tcPr>
            <w:tcW w:w="0" w:type="auto"/>
            <w:shd w:val="clear" w:color="auto" w:fill="FFFFFF"/>
            <w:tcMar>
              <w:top w:w="40" w:type="dxa"/>
              <w:bottom w:w="40" w:type="dxa"/>
              <w:right w:w="20" w:type="dxa"/>
            </w:tcMar>
            <w:vAlign w:val="bottom"/>
          </w:tcPr>
          <w:p w14:paraId="3693FB0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B05"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B06" w14:textId="77777777" w:rsidR="003734EC" w:rsidRDefault="000E364E">
            <w:pPr>
              <w:jc w:val="right"/>
              <w:textAlignment w:val="bottom"/>
            </w:pPr>
            <w:r>
              <w:rPr>
                <w:rFonts w:ascii="sans-serif" w:eastAsia="sans-serif" w:hAnsi="sans-serif" w:cs="sans-serif"/>
                <w:color w:val="000000"/>
                <w:sz w:val="20"/>
                <w:szCs w:val="20"/>
              </w:rPr>
              <w:t>69 </w:t>
            </w:r>
          </w:p>
        </w:tc>
        <w:tc>
          <w:tcPr>
            <w:tcW w:w="0" w:type="auto"/>
            <w:shd w:val="clear" w:color="auto" w:fill="FFFFFF"/>
            <w:tcMar>
              <w:top w:w="40" w:type="dxa"/>
              <w:bottom w:w="40" w:type="dxa"/>
              <w:right w:w="20" w:type="dxa"/>
            </w:tcMar>
            <w:vAlign w:val="bottom"/>
          </w:tcPr>
          <w:p w14:paraId="3693FB07"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B08" w14:textId="77777777" w:rsidR="003734EC" w:rsidRDefault="003734EC">
            <w:pPr>
              <w:rPr>
                <w:rFonts w:ascii="宋体"/>
                <w:vanish/>
              </w:rPr>
            </w:pPr>
          </w:p>
        </w:tc>
        <w:tc>
          <w:tcPr>
            <w:tcW w:w="0" w:type="auto"/>
            <w:shd w:val="clear" w:color="auto" w:fill="auto"/>
            <w:vAlign w:val="center"/>
          </w:tcPr>
          <w:p w14:paraId="3693FB09" w14:textId="77777777" w:rsidR="003734EC" w:rsidRDefault="003734EC">
            <w:pPr>
              <w:rPr>
                <w:rFonts w:ascii="宋体"/>
                <w:vanish/>
              </w:rPr>
            </w:pPr>
          </w:p>
        </w:tc>
        <w:tc>
          <w:tcPr>
            <w:tcW w:w="0" w:type="auto"/>
            <w:shd w:val="clear" w:color="auto" w:fill="auto"/>
            <w:vAlign w:val="center"/>
          </w:tcPr>
          <w:p w14:paraId="3693FB0A" w14:textId="77777777" w:rsidR="003734EC" w:rsidRDefault="003734EC">
            <w:pPr>
              <w:rPr>
                <w:rFonts w:ascii="宋体"/>
                <w:vanish/>
              </w:rPr>
            </w:pPr>
          </w:p>
        </w:tc>
        <w:tc>
          <w:tcPr>
            <w:tcW w:w="0" w:type="auto"/>
            <w:shd w:val="clear" w:color="auto" w:fill="auto"/>
            <w:vAlign w:val="center"/>
          </w:tcPr>
          <w:p w14:paraId="3693FB0B" w14:textId="77777777" w:rsidR="003734EC" w:rsidRDefault="003734EC">
            <w:pPr>
              <w:rPr>
                <w:rFonts w:ascii="宋体"/>
                <w:vanish/>
              </w:rPr>
            </w:pPr>
          </w:p>
        </w:tc>
        <w:tc>
          <w:tcPr>
            <w:tcW w:w="0" w:type="auto"/>
            <w:shd w:val="clear" w:color="auto" w:fill="auto"/>
            <w:vAlign w:val="center"/>
          </w:tcPr>
          <w:p w14:paraId="3693FB0C" w14:textId="77777777" w:rsidR="003734EC" w:rsidRDefault="003734EC">
            <w:pPr>
              <w:rPr>
                <w:rFonts w:ascii="宋体"/>
                <w:vanish/>
              </w:rPr>
            </w:pPr>
          </w:p>
        </w:tc>
        <w:tc>
          <w:tcPr>
            <w:tcW w:w="0" w:type="auto"/>
            <w:shd w:val="clear" w:color="auto" w:fill="auto"/>
            <w:vAlign w:val="center"/>
          </w:tcPr>
          <w:p w14:paraId="3693FB0D" w14:textId="77777777" w:rsidR="003734EC" w:rsidRDefault="003734EC">
            <w:pPr>
              <w:rPr>
                <w:rFonts w:ascii="宋体"/>
                <w:vanish/>
              </w:rPr>
            </w:pPr>
          </w:p>
        </w:tc>
        <w:tc>
          <w:tcPr>
            <w:tcW w:w="0" w:type="auto"/>
            <w:shd w:val="clear" w:color="auto" w:fill="auto"/>
            <w:vAlign w:val="center"/>
          </w:tcPr>
          <w:p w14:paraId="3693FB0E" w14:textId="77777777" w:rsidR="003734EC" w:rsidRDefault="003734EC">
            <w:pPr>
              <w:rPr>
                <w:rFonts w:ascii="宋体"/>
                <w:vanish/>
              </w:rPr>
            </w:pPr>
          </w:p>
        </w:tc>
        <w:tc>
          <w:tcPr>
            <w:tcW w:w="0" w:type="auto"/>
            <w:shd w:val="clear" w:color="auto" w:fill="auto"/>
            <w:vAlign w:val="center"/>
          </w:tcPr>
          <w:p w14:paraId="3693FB0F" w14:textId="77777777" w:rsidR="003734EC" w:rsidRDefault="003734EC">
            <w:pPr>
              <w:rPr>
                <w:rFonts w:ascii="宋体"/>
                <w:vanish/>
              </w:rPr>
            </w:pPr>
          </w:p>
        </w:tc>
        <w:tc>
          <w:tcPr>
            <w:tcW w:w="0" w:type="auto"/>
            <w:shd w:val="clear" w:color="auto" w:fill="auto"/>
            <w:vAlign w:val="center"/>
          </w:tcPr>
          <w:p w14:paraId="3693FB10" w14:textId="77777777" w:rsidR="003734EC" w:rsidRDefault="003734EC">
            <w:pPr>
              <w:rPr>
                <w:rFonts w:ascii="宋体"/>
              </w:rPr>
            </w:pPr>
          </w:p>
        </w:tc>
        <w:tc>
          <w:tcPr>
            <w:tcW w:w="0" w:type="auto"/>
            <w:shd w:val="clear" w:color="auto" w:fill="auto"/>
            <w:vAlign w:val="center"/>
          </w:tcPr>
          <w:p w14:paraId="3693FB11" w14:textId="77777777" w:rsidR="003734EC" w:rsidRDefault="003734EC">
            <w:pPr>
              <w:rPr>
                <w:rFonts w:ascii="宋体"/>
              </w:rPr>
            </w:pPr>
          </w:p>
        </w:tc>
        <w:tc>
          <w:tcPr>
            <w:tcW w:w="0" w:type="auto"/>
            <w:shd w:val="clear" w:color="auto" w:fill="auto"/>
            <w:vAlign w:val="center"/>
          </w:tcPr>
          <w:p w14:paraId="3693FB12" w14:textId="77777777" w:rsidR="003734EC" w:rsidRDefault="003734EC">
            <w:pPr>
              <w:rPr>
                <w:rFonts w:ascii="宋体"/>
              </w:rPr>
            </w:pPr>
          </w:p>
        </w:tc>
        <w:tc>
          <w:tcPr>
            <w:tcW w:w="0" w:type="auto"/>
            <w:shd w:val="clear" w:color="auto" w:fill="auto"/>
            <w:vAlign w:val="center"/>
          </w:tcPr>
          <w:p w14:paraId="3693FB13" w14:textId="77777777" w:rsidR="003734EC" w:rsidRDefault="003734EC">
            <w:pPr>
              <w:rPr>
                <w:rFonts w:ascii="宋体"/>
              </w:rPr>
            </w:pPr>
          </w:p>
        </w:tc>
        <w:tc>
          <w:tcPr>
            <w:tcW w:w="0" w:type="auto"/>
            <w:shd w:val="clear" w:color="auto" w:fill="auto"/>
            <w:vAlign w:val="center"/>
          </w:tcPr>
          <w:p w14:paraId="3693FB14" w14:textId="77777777" w:rsidR="003734EC" w:rsidRDefault="003734EC">
            <w:pPr>
              <w:rPr>
                <w:rFonts w:ascii="宋体"/>
              </w:rPr>
            </w:pPr>
          </w:p>
        </w:tc>
        <w:tc>
          <w:tcPr>
            <w:tcW w:w="0" w:type="auto"/>
            <w:shd w:val="clear" w:color="auto" w:fill="auto"/>
            <w:vAlign w:val="center"/>
          </w:tcPr>
          <w:p w14:paraId="3693FB15" w14:textId="77777777" w:rsidR="003734EC" w:rsidRDefault="003734EC">
            <w:pPr>
              <w:rPr>
                <w:rFonts w:ascii="宋体"/>
              </w:rPr>
            </w:pPr>
          </w:p>
        </w:tc>
        <w:tc>
          <w:tcPr>
            <w:tcW w:w="0" w:type="auto"/>
            <w:shd w:val="clear" w:color="auto" w:fill="auto"/>
            <w:vAlign w:val="center"/>
          </w:tcPr>
          <w:p w14:paraId="3693FB16" w14:textId="77777777" w:rsidR="003734EC" w:rsidRDefault="003734EC">
            <w:pPr>
              <w:rPr>
                <w:rFonts w:ascii="宋体"/>
              </w:rPr>
            </w:pPr>
          </w:p>
        </w:tc>
        <w:tc>
          <w:tcPr>
            <w:tcW w:w="0" w:type="auto"/>
            <w:shd w:val="clear" w:color="auto" w:fill="auto"/>
            <w:vAlign w:val="center"/>
          </w:tcPr>
          <w:p w14:paraId="3693FB17" w14:textId="77777777" w:rsidR="003734EC" w:rsidRDefault="003734EC">
            <w:pPr>
              <w:rPr>
                <w:rFonts w:ascii="宋体"/>
              </w:rPr>
            </w:pPr>
          </w:p>
        </w:tc>
        <w:tc>
          <w:tcPr>
            <w:tcW w:w="0" w:type="auto"/>
            <w:shd w:val="clear" w:color="auto" w:fill="auto"/>
            <w:vAlign w:val="center"/>
          </w:tcPr>
          <w:p w14:paraId="3693FB18" w14:textId="77777777" w:rsidR="003734EC" w:rsidRDefault="003734EC">
            <w:pPr>
              <w:rPr>
                <w:rFonts w:ascii="宋体"/>
              </w:rPr>
            </w:pPr>
          </w:p>
        </w:tc>
        <w:tc>
          <w:tcPr>
            <w:tcW w:w="0" w:type="auto"/>
            <w:shd w:val="clear" w:color="auto" w:fill="auto"/>
            <w:vAlign w:val="center"/>
          </w:tcPr>
          <w:p w14:paraId="3693FB19" w14:textId="77777777" w:rsidR="003734EC" w:rsidRDefault="003734EC">
            <w:pPr>
              <w:rPr>
                <w:rFonts w:ascii="宋体"/>
              </w:rPr>
            </w:pPr>
          </w:p>
        </w:tc>
        <w:tc>
          <w:tcPr>
            <w:tcW w:w="0" w:type="auto"/>
            <w:shd w:val="clear" w:color="auto" w:fill="auto"/>
            <w:vAlign w:val="center"/>
          </w:tcPr>
          <w:p w14:paraId="3693FB1A" w14:textId="77777777" w:rsidR="003734EC" w:rsidRDefault="003734EC">
            <w:pPr>
              <w:rPr>
                <w:rFonts w:ascii="宋体"/>
              </w:rPr>
            </w:pPr>
          </w:p>
        </w:tc>
        <w:tc>
          <w:tcPr>
            <w:tcW w:w="0" w:type="auto"/>
            <w:shd w:val="clear" w:color="auto" w:fill="auto"/>
            <w:vAlign w:val="center"/>
          </w:tcPr>
          <w:p w14:paraId="3693FB1B" w14:textId="77777777" w:rsidR="003734EC" w:rsidRDefault="003734EC">
            <w:pPr>
              <w:rPr>
                <w:rFonts w:ascii="宋体"/>
              </w:rPr>
            </w:pPr>
          </w:p>
        </w:tc>
        <w:tc>
          <w:tcPr>
            <w:tcW w:w="0" w:type="auto"/>
            <w:shd w:val="clear" w:color="auto" w:fill="auto"/>
            <w:vAlign w:val="center"/>
          </w:tcPr>
          <w:p w14:paraId="3693FB1C" w14:textId="77777777" w:rsidR="003734EC" w:rsidRDefault="003734EC">
            <w:pPr>
              <w:rPr>
                <w:rFonts w:ascii="宋体"/>
              </w:rPr>
            </w:pPr>
          </w:p>
        </w:tc>
        <w:tc>
          <w:tcPr>
            <w:tcW w:w="0" w:type="auto"/>
            <w:shd w:val="clear" w:color="auto" w:fill="auto"/>
            <w:vAlign w:val="center"/>
          </w:tcPr>
          <w:p w14:paraId="3693FB1D" w14:textId="77777777" w:rsidR="003734EC" w:rsidRDefault="003734EC">
            <w:pPr>
              <w:rPr>
                <w:rFonts w:ascii="宋体"/>
              </w:rPr>
            </w:pPr>
          </w:p>
        </w:tc>
        <w:tc>
          <w:tcPr>
            <w:tcW w:w="0" w:type="auto"/>
            <w:shd w:val="clear" w:color="auto" w:fill="auto"/>
            <w:vAlign w:val="center"/>
          </w:tcPr>
          <w:p w14:paraId="3693FB1E" w14:textId="77777777" w:rsidR="003734EC" w:rsidRDefault="003734EC">
            <w:pPr>
              <w:rPr>
                <w:rFonts w:ascii="宋体"/>
              </w:rPr>
            </w:pPr>
          </w:p>
        </w:tc>
      </w:tr>
      <w:tr w:rsidR="003734EC" w14:paraId="3693FB46" w14:textId="77777777">
        <w:tc>
          <w:tcPr>
            <w:tcW w:w="0" w:type="auto"/>
            <w:gridSpan w:val="3"/>
            <w:shd w:val="clear" w:color="auto" w:fill="E2EFD9"/>
            <w:tcMar>
              <w:top w:w="40" w:type="dxa"/>
              <w:left w:w="20" w:type="dxa"/>
              <w:bottom w:w="40" w:type="dxa"/>
              <w:right w:w="20" w:type="dxa"/>
            </w:tcMar>
            <w:vAlign w:val="bottom"/>
          </w:tcPr>
          <w:p w14:paraId="3693FB20" w14:textId="77777777" w:rsidR="003734EC" w:rsidRDefault="000E364E">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B2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B22" w14:textId="77777777" w:rsidR="003734EC" w:rsidRDefault="000E364E">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B2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24"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B25"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B26" w14:textId="77777777" w:rsidR="003734EC" w:rsidRDefault="000E364E">
            <w:pPr>
              <w:jc w:val="right"/>
              <w:textAlignment w:val="bottom"/>
            </w:pPr>
            <w:r>
              <w:rPr>
                <w:rFonts w:ascii="sans-serif" w:eastAsia="sans-serif" w:hAnsi="sans-serif" w:cs="sans-serif"/>
                <w:color w:val="000000"/>
                <w:sz w:val="20"/>
                <w:szCs w:val="20"/>
              </w:rPr>
              <w:t>2,220 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B2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28"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B2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B2A" w14:textId="77777777" w:rsidR="003734EC" w:rsidRDefault="000E364E">
            <w:pPr>
              <w:jc w:val="right"/>
              <w:textAlignment w:val="bottom"/>
            </w:pPr>
            <w:r>
              <w:rPr>
                <w:rFonts w:ascii="sans-serif" w:eastAsia="sans-serif" w:hAnsi="sans-serif" w:cs="sans-serif"/>
                <w:color w:val="000000"/>
                <w:sz w:val="20"/>
                <w:szCs w:val="20"/>
              </w:rPr>
              <w:t>860 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B2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2C" w14:textId="77777777" w:rsidR="003734EC" w:rsidRDefault="003734EC">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3693FB2D" w14:textId="77777777" w:rsidR="003734EC" w:rsidRDefault="000E364E">
            <w:pPr>
              <w:jc w:val="right"/>
              <w:textAlignment w:val="bottom"/>
            </w:pPr>
            <w:r>
              <w:rPr>
                <w:rFonts w:ascii="sans-serif" w:eastAsia="sans-serif" w:hAnsi="sans-serif" w:cs="sans-serif"/>
                <w:color w:val="000000"/>
                <w:sz w:val="20"/>
                <w:szCs w:val="20"/>
              </w:rPr>
              <w:t>39 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B2E"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B2F" w14:textId="77777777" w:rsidR="003734EC" w:rsidRDefault="003734EC">
            <w:pPr>
              <w:rPr>
                <w:rFonts w:ascii="宋体"/>
                <w:vanish/>
              </w:rPr>
            </w:pPr>
          </w:p>
        </w:tc>
        <w:tc>
          <w:tcPr>
            <w:tcW w:w="0" w:type="auto"/>
            <w:shd w:val="clear" w:color="auto" w:fill="auto"/>
            <w:vAlign w:val="center"/>
          </w:tcPr>
          <w:p w14:paraId="3693FB30" w14:textId="77777777" w:rsidR="003734EC" w:rsidRDefault="003734EC">
            <w:pPr>
              <w:rPr>
                <w:rFonts w:ascii="宋体"/>
                <w:vanish/>
              </w:rPr>
            </w:pPr>
          </w:p>
        </w:tc>
        <w:tc>
          <w:tcPr>
            <w:tcW w:w="0" w:type="auto"/>
            <w:shd w:val="clear" w:color="auto" w:fill="auto"/>
            <w:vAlign w:val="center"/>
          </w:tcPr>
          <w:p w14:paraId="3693FB31" w14:textId="77777777" w:rsidR="003734EC" w:rsidRDefault="003734EC">
            <w:pPr>
              <w:rPr>
                <w:rFonts w:ascii="宋体"/>
                <w:vanish/>
              </w:rPr>
            </w:pPr>
          </w:p>
        </w:tc>
        <w:tc>
          <w:tcPr>
            <w:tcW w:w="0" w:type="auto"/>
            <w:shd w:val="clear" w:color="auto" w:fill="auto"/>
            <w:vAlign w:val="center"/>
          </w:tcPr>
          <w:p w14:paraId="3693FB32" w14:textId="77777777" w:rsidR="003734EC" w:rsidRDefault="003734EC">
            <w:pPr>
              <w:rPr>
                <w:rFonts w:ascii="宋体"/>
                <w:vanish/>
              </w:rPr>
            </w:pPr>
          </w:p>
        </w:tc>
        <w:tc>
          <w:tcPr>
            <w:tcW w:w="0" w:type="auto"/>
            <w:shd w:val="clear" w:color="auto" w:fill="auto"/>
            <w:vAlign w:val="center"/>
          </w:tcPr>
          <w:p w14:paraId="3693FB33" w14:textId="77777777" w:rsidR="003734EC" w:rsidRDefault="003734EC">
            <w:pPr>
              <w:rPr>
                <w:rFonts w:ascii="宋体"/>
                <w:vanish/>
              </w:rPr>
            </w:pPr>
          </w:p>
        </w:tc>
        <w:tc>
          <w:tcPr>
            <w:tcW w:w="0" w:type="auto"/>
            <w:shd w:val="clear" w:color="auto" w:fill="auto"/>
            <w:vAlign w:val="center"/>
          </w:tcPr>
          <w:p w14:paraId="3693FB34" w14:textId="77777777" w:rsidR="003734EC" w:rsidRDefault="003734EC">
            <w:pPr>
              <w:rPr>
                <w:rFonts w:ascii="宋体"/>
                <w:vanish/>
              </w:rPr>
            </w:pPr>
          </w:p>
        </w:tc>
        <w:tc>
          <w:tcPr>
            <w:tcW w:w="0" w:type="auto"/>
            <w:shd w:val="clear" w:color="auto" w:fill="auto"/>
            <w:vAlign w:val="center"/>
          </w:tcPr>
          <w:p w14:paraId="3693FB35" w14:textId="77777777" w:rsidR="003734EC" w:rsidRDefault="003734EC">
            <w:pPr>
              <w:rPr>
                <w:rFonts w:ascii="宋体"/>
                <w:vanish/>
              </w:rPr>
            </w:pPr>
          </w:p>
        </w:tc>
        <w:tc>
          <w:tcPr>
            <w:tcW w:w="0" w:type="auto"/>
            <w:shd w:val="clear" w:color="auto" w:fill="auto"/>
            <w:vAlign w:val="center"/>
          </w:tcPr>
          <w:p w14:paraId="3693FB36" w14:textId="77777777" w:rsidR="003734EC" w:rsidRDefault="003734EC">
            <w:pPr>
              <w:rPr>
                <w:rFonts w:ascii="宋体"/>
                <w:vanish/>
              </w:rPr>
            </w:pPr>
          </w:p>
        </w:tc>
        <w:tc>
          <w:tcPr>
            <w:tcW w:w="0" w:type="auto"/>
            <w:shd w:val="clear" w:color="auto" w:fill="auto"/>
            <w:vAlign w:val="center"/>
          </w:tcPr>
          <w:p w14:paraId="3693FB37" w14:textId="77777777" w:rsidR="003734EC" w:rsidRDefault="003734EC">
            <w:pPr>
              <w:rPr>
                <w:rFonts w:ascii="宋体"/>
              </w:rPr>
            </w:pPr>
          </w:p>
        </w:tc>
        <w:tc>
          <w:tcPr>
            <w:tcW w:w="0" w:type="auto"/>
            <w:shd w:val="clear" w:color="auto" w:fill="auto"/>
            <w:vAlign w:val="center"/>
          </w:tcPr>
          <w:p w14:paraId="3693FB38" w14:textId="77777777" w:rsidR="003734EC" w:rsidRDefault="003734EC">
            <w:pPr>
              <w:rPr>
                <w:rFonts w:ascii="宋体"/>
              </w:rPr>
            </w:pPr>
          </w:p>
        </w:tc>
        <w:tc>
          <w:tcPr>
            <w:tcW w:w="0" w:type="auto"/>
            <w:shd w:val="clear" w:color="auto" w:fill="auto"/>
            <w:vAlign w:val="center"/>
          </w:tcPr>
          <w:p w14:paraId="3693FB39" w14:textId="77777777" w:rsidR="003734EC" w:rsidRDefault="003734EC">
            <w:pPr>
              <w:rPr>
                <w:rFonts w:ascii="宋体"/>
              </w:rPr>
            </w:pPr>
          </w:p>
        </w:tc>
        <w:tc>
          <w:tcPr>
            <w:tcW w:w="0" w:type="auto"/>
            <w:shd w:val="clear" w:color="auto" w:fill="auto"/>
            <w:vAlign w:val="center"/>
          </w:tcPr>
          <w:p w14:paraId="3693FB3A" w14:textId="77777777" w:rsidR="003734EC" w:rsidRDefault="003734EC">
            <w:pPr>
              <w:rPr>
                <w:rFonts w:ascii="宋体"/>
              </w:rPr>
            </w:pPr>
          </w:p>
        </w:tc>
        <w:tc>
          <w:tcPr>
            <w:tcW w:w="0" w:type="auto"/>
            <w:shd w:val="clear" w:color="auto" w:fill="auto"/>
            <w:vAlign w:val="center"/>
          </w:tcPr>
          <w:p w14:paraId="3693FB3B" w14:textId="77777777" w:rsidR="003734EC" w:rsidRDefault="003734EC">
            <w:pPr>
              <w:rPr>
                <w:rFonts w:ascii="宋体"/>
              </w:rPr>
            </w:pPr>
          </w:p>
        </w:tc>
        <w:tc>
          <w:tcPr>
            <w:tcW w:w="0" w:type="auto"/>
            <w:shd w:val="clear" w:color="auto" w:fill="auto"/>
            <w:vAlign w:val="center"/>
          </w:tcPr>
          <w:p w14:paraId="3693FB3C" w14:textId="77777777" w:rsidR="003734EC" w:rsidRDefault="003734EC">
            <w:pPr>
              <w:rPr>
                <w:rFonts w:ascii="宋体"/>
              </w:rPr>
            </w:pPr>
          </w:p>
        </w:tc>
        <w:tc>
          <w:tcPr>
            <w:tcW w:w="0" w:type="auto"/>
            <w:shd w:val="clear" w:color="auto" w:fill="auto"/>
            <w:vAlign w:val="center"/>
          </w:tcPr>
          <w:p w14:paraId="3693FB3D" w14:textId="77777777" w:rsidR="003734EC" w:rsidRDefault="003734EC">
            <w:pPr>
              <w:rPr>
                <w:rFonts w:ascii="宋体"/>
              </w:rPr>
            </w:pPr>
          </w:p>
        </w:tc>
        <w:tc>
          <w:tcPr>
            <w:tcW w:w="0" w:type="auto"/>
            <w:shd w:val="clear" w:color="auto" w:fill="auto"/>
            <w:vAlign w:val="center"/>
          </w:tcPr>
          <w:p w14:paraId="3693FB3E" w14:textId="77777777" w:rsidR="003734EC" w:rsidRDefault="003734EC">
            <w:pPr>
              <w:rPr>
                <w:rFonts w:ascii="宋体"/>
              </w:rPr>
            </w:pPr>
          </w:p>
        </w:tc>
        <w:tc>
          <w:tcPr>
            <w:tcW w:w="0" w:type="auto"/>
            <w:shd w:val="clear" w:color="auto" w:fill="auto"/>
            <w:vAlign w:val="center"/>
          </w:tcPr>
          <w:p w14:paraId="3693FB3F" w14:textId="77777777" w:rsidR="003734EC" w:rsidRDefault="003734EC">
            <w:pPr>
              <w:rPr>
                <w:rFonts w:ascii="宋体"/>
              </w:rPr>
            </w:pPr>
          </w:p>
        </w:tc>
        <w:tc>
          <w:tcPr>
            <w:tcW w:w="0" w:type="auto"/>
            <w:shd w:val="clear" w:color="auto" w:fill="auto"/>
            <w:vAlign w:val="center"/>
          </w:tcPr>
          <w:p w14:paraId="3693FB40" w14:textId="77777777" w:rsidR="003734EC" w:rsidRDefault="003734EC">
            <w:pPr>
              <w:rPr>
                <w:rFonts w:ascii="宋体"/>
              </w:rPr>
            </w:pPr>
          </w:p>
        </w:tc>
        <w:tc>
          <w:tcPr>
            <w:tcW w:w="0" w:type="auto"/>
            <w:shd w:val="clear" w:color="auto" w:fill="auto"/>
            <w:vAlign w:val="center"/>
          </w:tcPr>
          <w:p w14:paraId="3693FB41" w14:textId="77777777" w:rsidR="003734EC" w:rsidRDefault="003734EC">
            <w:pPr>
              <w:rPr>
                <w:rFonts w:ascii="宋体"/>
              </w:rPr>
            </w:pPr>
          </w:p>
        </w:tc>
        <w:tc>
          <w:tcPr>
            <w:tcW w:w="0" w:type="auto"/>
            <w:shd w:val="clear" w:color="auto" w:fill="auto"/>
            <w:vAlign w:val="center"/>
          </w:tcPr>
          <w:p w14:paraId="3693FB42" w14:textId="77777777" w:rsidR="003734EC" w:rsidRDefault="003734EC">
            <w:pPr>
              <w:rPr>
                <w:rFonts w:ascii="宋体"/>
              </w:rPr>
            </w:pPr>
          </w:p>
        </w:tc>
        <w:tc>
          <w:tcPr>
            <w:tcW w:w="0" w:type="auto"/>
            <w:shd w:val="clear" w:color="auto" w:fill="auto"/>
            <w:vAlign w:val="center"/>
          </w:tcPr>
          <w:p w14:paraId="3693FB43" w14:textId="77777777" w:rsidR="003734EC" w:rsidRDefault="003734EC">
            <w:pPr>
              <w:rPr>
                <w:rFonts w:ascii="宋体"/>
              </w:rPr>
            </w:pPr>
          </w:p>
        </w:tc>
        <w:tc>
          <w:tcPr>
            <w:tcW w:w="0" w:type="auto"/>
            <w:shd w:val="clear" w:color="auto" w:fill="auto"/>
            <w:vAlign w:val="center"/>
          </w:tcPr>
          <w:p w14:paraId="3693FB44" w14:textId="77777777" w:rsidR="003734EC" w:rsidRDefault="003734EC">
            <w:pPr>
              <w:rPr>
                <w:rFonts w:ascii="宋体"/>
              </w:rPr>
            </w:pPr>
          </w:p>
        </w:tc>
        <w:tc>
          <w:tcPr>
            <w:tcW w:w="0" w:type="auto"/>
            <w:shd w:val="clear" w:color="auto" w:fill="auto"/>
            <w:vAlign w:val="center"/>
          </w:tcPr>
          <w:p w14:paraId="3693FB45" w14:textId="77777777" w:rsidR="003734EC" w:rsidRDefault="003734EC">
            <w:pPr>
              <w:rPr>
                <w:rFonts w:ascii="宋体"/>
              </w:rPr>
            </w:pPr>
          </w:p>
        </w:tc>
      </w:tr>
    </w:tbl>
    <w:p w14:paraId="3693FB47" w14:textId="77777777" w:rsidR="003734EC" w:rsidRDefault="000E364E">
      <w:pPr>
        <w:spacing w:before="360"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 increased 2</w:t>
      </w:r>
      <w:r>
        <w:rPr>
          <w:rFonts w:ascii="sans-serif" w:eastAsia="sans-serif" w:hAnsi="sans-serif" w:cs="sans-serif"/>
          <w:color w:val="000000"/>
          <w:sz w:val="20"/>
          <w:szCs w:val="20"/>
        </w:rPr>
        <w:t>5% in the first quarter of fiscal year 2021 compared to the first quarter of fiscal year 2020, which reflects growth in GeForce gaming and Quadro GPU revenue. Gaming increased 28%, reflecting revenue growth across all platforms. Revenue from Quadro GPUs in</w:t>
      </w:r>
      <w:r>
        <w:rPr>
          <w:rFonts w:ascii="sans-serif" w:eastAsia="sans-serif" w:hAnsi="sans-serif" w:cs="sans-serif"/>
          <w:color w:val="000000"/>
          <w:sz w:val="20"/>
          <w:szCs w:val="20"/>
        </w:rPr>
        <w:t>creased by 24%, reflecting strength in desktop and laptop workstations.</w:t>
      </w:r>
    </w:p>
    <w:p w14:paraId="3693FB48" w14:textId="77777777" w:rsidR="003734EC" w:rsidRDefault="000E364E">
      <w:pPr>
        <w:spacing w:after="180"/>
        <w:jc w:val="both"/>
      </w:pPr>
      <w:r>
        <w:rPr>
          <w:rFonts w:ascii="sans-serif" w:eastAsia="sans-serif" w:hAnsi="sans-serif" w:cs="sans-serif"/>
          <w:b/>
          <w:bCs/>
          <w:color w:val="000000"/>
          <w:sz w:val="20"/>
          <w:szCs w:val="20"/>
        </w:rPr>
        <w:t xml:space="preserve">Compute &amp; Networking - </w:t>
      </w:r>
      <w:r>
        <w:rPr>
          <w:rFonts w:ascii="sans-serif" w:eastAsia="sans-serif" w:hAnsi="sans-serif" w:cs="sans-serif"/>
          <w:color w:val="000000"/>
          <w:sz w:val="20"/>
          <w:szCs w:val="20"/>
        </w:rPr>
        <w:t>Compute &amp; Networking segment revenue increased 69% for the first quarter of fiscal year 2021 compared to the first quarter of fiscal year 2020, driven by an incr</w:t>
      </w:r>
      <w:r>
        <w:rPr>
          <w:rFonts w:ascii="sans-serif" w:eastAsia="sans-serif" w:hAnsi="sans-serif" w:cs="sans-serif"/>
          <w:color w:val="000000"/>
          <w:sz w:val="20"/>
          <w:szCs w:val="20"/>
        </w:rPr>
        <w:t>ease in data center-related sales for vertical industries and hyperscales.</w:t>
      </w:r>
    </w:p>
    <w:p w14:paraId="3693FB49" w14:textId="77777777" w:rsidR="003734EC" w:rsidRDefault="000E364E">
      <w:pPr>
        <w:spacing w:after="180"/>
        <w:jc w:val="both"/>
      </w:pPr>
      <w:r>
        <w:rPr>
          <w:rFonts w:ascii="sans-serif" w:eastAsia="sans-serif" w:hAnsi="sans-serif" w:cs="sans-serif"/>
          <w:b/>
          <w:bCs/>
          <w:color w:val="000000"/>
          <w:sz w:val="20"/>
          <w:szCs w:val="20"/>
        </w:rPr>
        <w:t>Concentration of Revenue </w:t>
      </w:r>
    </w:p>
    <w:p w14:paraId="3693FB4A" w14:textId="77777777" w:rsidR="003734EC" w:rsidRDefault="000E364E">
      <w:pPr>
        <w:spacing w:after="180"/>
        <w:jc w:val="both"/>
      </w:pPr>
      <w:r>
        <w:rPr>
          <w:rFonts w:ascii="sans-serif" w:eastAsia="sans-serif" w:hAnsi="sans-serif" w:cs="sans-serif"/>
          <w:color w:val="000000"/>
          <w:sz w:val="20"/>
          <w:szCs w:val="20"/>
        </w:rPr>
        <w:t>Revenue from sales to customers outside of the United States accounted for 84% and 93% of total revenue for the first quarter of fiscal years 2021 and 2020</w:t>
      </w:r>
      <w:r>
        <w:rPr>
          <w:rFonts w:ascii="sans-serif" w:eastAsia="sans-serif" w:hAnsi="sans-serif" w:cs="sans-serif"/>
          <w:color w:val="000000"/>
          <w:sz w:val="20"/>
          <w:szCs w:val="20"/>
        </w:rPr>
        <w:t>, respectively. Revenue by geographic region is allocated to individual countries based on the location to which the products are initially billed even if the revenue is attributable to end customers in a different location.</w:t>
      </w:r>
    </w:p>
    <w:p w14:paraId="3693FB4B" w14:textId="77777777" w:rsidR="003734EC" w:rsidRDefault="000E364E">
      <w:pPr>
        <w:spacing w:after="180"/>
        <w:jc w:val="both"/>
      </w:pPr>
      <w:r>
        <w:rPr>
          <w:rFonts w:ascii="sans-serif" w:eastAsia="sans-serif" w:hAnsi="sans-serif" w:cs="sans-serif"/>
          <w:color w:val="000000"/>
          <w:sz w:val="20"/>
          <w:szCs w:val="20"/>
        </w:rPr>
        <w:t xml:space="preserve">No customer represented 10% or </w:t>
      </w:r>
      <w:r>
        <w:rPr>
          <w:rFonts w:ascii="sans-serif" w:eastAsia="sans-serif" w:hAnsi="sans-serif" w:cs="sans-serif"/>
          <w:color w:val="000000"/>
          <w:sz w:val="20"/>
          <w:szCs w:val="20"/>
        </w:rPr>
        <w:t>more of total revenue or the first quarter of fiscal year 2021. One customer represented 11% of our total revenue for the first quarter of fiscal year 2020 and was attributable primarily to the Graphics segment.</w:t>
      </w:r>
    </w:p>
    <w:p w14:paraId="3693FB4C" w14:textId="77777777" w:rsidR="003734EC" w:rsidRDefault="000E364E">
      <w:pPr>
        <w:spacing w:after="180"/>
        <w:jc w:val="center"/>
      </w:pPr>
      <w:r>
        <w:rPr>
          <w:rFonts w:ascii="sans-serif" w:eastAsia="sans-serif" w:hAnsi="sans-serif" w:cs="sans-serif"/>
          <w:color w:val="000000"/>
          <w:sz w:val="20"/>
          <w:szCs w:val="20"/>
        </w:rPr>
        <w:t>25</w:t>
      </w:r>
    </w:p>
    <w:p w14:paraId="3693FB4D" w14:textId="77777777" w:rsidR="003734EC" w:rsidRDefault="000E364E">
      <w:r>
        <w:pict w14:anchorId="3693FF62">
          <v:rect id="_x0000_i1048" style="width:415.3pt;height:1.5pt" o:hralign="center" o:hrstd="t" o:hr="t" fillcolor="#a0a0a0" stroked="f"/>
        </w:pict>
      </w:r>
    </w:p>
    <w:p w14:paraId="3693FB4E" w14:textId="77777777" w:rsidR="003734EC" w:rsidRDefault="003734EC">
      <w:pPr>
        <w:spacing w:after="180"/>
        <w:jc w:val="both"/>
      </w:pPr>
    </w:p>
    <w:p w14:paraId="3693FB4F" w14:textId="77777777" w:rsidR="003734EC" w:rsidRDefault="000E364E">
      <w:pPr>
        <w:spacing w:before="240" w:after="60"/>
        <w:jc w:val="both"/>
      </w:pPr>
      <w:r>
        <w:rPr>
          <w:rFonts w:ascii="sans-serif" w:eastAsia="sans-serif" w:hAnsi="sans-serif" w:cs="sans-serif"/>
          <w:b/>
          <w:bCs/>
          <w:color w:val="76B900"/>
          <w:sz w:val="20"/>
          <w:szCs w:val="20"/>
        </w:rPr>
        <w:t>Gross Margin</w:t>
      </w:r>
    </w:p>
    <w:p w14:paraId="3693FB50" w14:textId="77777777" w:rsidR="003734EC" w:rsidRDefault="000E364E">
      <w:pPr>
        <w:spacing w:after="180"/>
        <w:jc w:val="both"/>
      </w:pPr>
      <w:r>
        <w:rPr>
          <w:rFonts w:ascii="sans-serif" w:eastAsia="sans-serif" w:hAnsi="sans-serif" w:cs="sans-serif"/>
          <w:color w:val="000000"/>
          <w:sz w:val="20"/>
          <w:szCs w:val="20"/>
        </w:rPr>
        <w:t xml:space="preserve">Our overall gross </w:t>
      </w:r>
      <w:r>
        <w:rPr>
          <w:rFonts w:ascii="sans-serif" w:eastAsia="sans-serif" w:hAnsi="sans-serif" w:cs="sans-serif"/>
          <w:color w:val="000000"/>
          <w:sz w:val="20"/>
          <w:szCs w:val="20"/>
        </w:rPr>
        <w:t>margin increased to 65.1% for the first quarter of fiscal year 2021 from 58.4% for the first quarter of fiscal year 2020. The increase in fiscal year 2021 is primarily driven by GeForce GPU product mix and higher data center sales.</w:t>
      </w:r>
    </w:p>
    <w:p w14:paraId="3693FB51" w14:textId="77777777" w:rsidR="003734EC" w:rsidRDefault="000E364E">
      <w:pPr>
        <w:spacing w:after="180"/>
        <w:jc w:val="both"/>
      </w:pPr>
      <w:r>
        <w:rPr>
          <w:rFonts w:ascii="sans-serif" w:eastAsia="sans-serif" w:hAnsi="sans-serif" w:cs="sans-serif"/>
          <w:color w:val="000000"/>
          <w:sz w:val="20"/>
          <w:szCs w:val="20"/>
        </w:rPr>
        <w:t>Inventory provisions tot</w:t>
      </w:r>
      <w:r>
        <w:rPr>
          <w:rFonts w:ascii="sans-serif" w:eastAsia="sans-serif" w:hAnsi="sans-serif" w:cs="sans-serif"/>
          <w:color w:val="000000"/>
          <w:sz w:val="20"/>
          <w:szCs w:val="20"/>
        </w:rPr>
        <w:t>aled $36 million and $43 million for the first quarter of fiscal years 2021 and 2020, respectively. Sales of inventory that was previously written-off or -down totaled $39 million and $12 million for the first quarter of fiscal years 2021 and 2020, respect</w:t>
      </w:r>
      <w:r>
        <w:rPr>
          <w:rFonts w:ascii="sans-serif" w:eastAsia="sans-serif" w:hAnsi="sans-serif" w:cs="sans-serif"/>
          <w:color w:val="000000"/>
          <w:sz w:val="20"/>
          <w:szCs w:val="20"/>
        </w:rPr>
        <w:t>ively. As a result, the overall net effect on our gross margin was a favorable impact of 0.1% and unfavorable impact of 1.4% for the first quarter of fiscal years 2021 and 2020, respectively.</w:t>
      </w:r>
    </w:p>
    <w:p w14:paraId="3693FB52" w14:textId="77777777" w:rsidR="003734EC" w:rsidRDefault="000E364E">
      <w:pPr>
        <w:spacing w:after="180"/>
        <w:jc w:val="both"/>
      </w:pPr>
      <w:r>
        <w:rPr>
          <w:rFonts w:ascii="sans-serif" w:eastAsia="sans-serif" w:hAnsi="sans-serif" w:cs="sans-serif"/>
          <w:color w:val="000000"/>
          <w:sz w:val="20"/>
          <w:szCs w:val="20"/>
        </w:rPr>
        <w:t>A discussion of our gross margin results for each of our reporta</w:t>
      </w:r>
      <w:r>
        <w:rPr>
          <w:rFonts w:ascii="sans-serif" w:eastAsia="sans-serif" w:hAnsi="sans-serif" w:cs="sans-serif"/>
          <w:color w:val="000000"/>
          <w:sz w:val="20"/>
          <w:szCs w:val="20"/>
        </w:rPr>
        <w:t>ble segments is as follows:</w:t>
      </w:r>
    </w:p>
    <w:p w14:paraId="3693FB53" w14:textId="77777777" w:rsidR="003734EC" w:rsidRDefault="000E364E">
      <w:pPr>
        <w:spacing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during the first quarter of fiscal year 2021 compared to the first quarter of fiscal year 2020, primarily driven by GeForce GPU product mix.</w:t>
      </w:r>
    </w:p>
    <w:p w14:paraId="3693FB54" w14:textId="77777777" w:rsidR="003734EC" w:rsidRDefault="000E364E">
      <w:pPr>
        <w:spacing w:after="18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w:t>
      </w:r>
      <w:r>
        <w:rPr>
          <w:rFonts w:ascii="sans-serif" w:eastAsia="sans-serif" w:hAnsi="sans-serif" w:cs="sans-serif"/>
          <w:color w:val="000000"/>
          <w:sz w:val="20"/>
          <w:szCs w:val="20"/>
        </w:rPr>
        <w:t>king segment increased during the first quarter of fiscal year 2021 compared to the first quarter of fiscal year 2020, primarily driven by higher data center sales.</w:t>
      </w:r>
    </w:p>
    <w:p w14:paraId="3693FB55" w14:textId="77777777" w:rsidR="003734EC" w:rsidRDefault="000E364E">
      <w:pPr>
        <w:spacing w:before="240" w:after="60"/>
        <w:jc w:val="both"/>
      </w:pPr>
      <w:r>
        <w:rPr>
          <w:rFonts w:ascii="sans-serif" w:eastAsia="sans-serif" w:hAnsi="sans-serif" w:cs="sans-serif"/>
          <w:b/>
          <w:bCs/>
          <w:color w:val="76B900"/>
          <w:sz w:val="20"/>
          <w:szCs w:val="20"/>
        </w:rPr>
        <w:t>Operating Expenses </w:t>
      </w:r>
    </w:p>
    <w:tbl>
      <w:tblPr>
        <w:tblW w:w="5000" w:type="pct"/>
        <w:tblCellMar>
          <w:top w:w="15" w:type="dxa"/>
          <w:left w:w="15" w:type="dxa"/>
          <w:bottom w:w="15" w:type="dxa"/>
          <w:right w:w="15" w:type="dxa"/>
        </w:tblCellMar>
        <w:tblLook w:val="04A0" w:firstRow="1" w:lastRow="0" w:firstColumn="1" w:lastColumn="0" w:noHBand="0" w:noVBand="1"/>
      </w:tblPr>
      <w:tblGrid>
        <w:gridCol w:w="38"/>
        <w:gridCol w:w="4126"/>
        <w:gridCol w:w="37"/>
        <w:gridCol w:w="137"/>
        <w:gridCol w:w="516"/>
        <w:gridCol w:w="178"/>
        <w:gridCol w:w="36"/>
        <w:gridCol w:w="36"/>
        <w:gridCol w:w="36"/>
        <w:gridCol w:w="137"/>
        <w:gridCol w:w="374"/>
        <w:gridCol w:w="178"/>
        <w:gridCol w:w="36"/>
        <w:gridCol w:w="36"/>
        <w:gridCol w:w="36"/>
        <w:gridCol w:w="138"/>
        <w:gridCol w:w="492"/>
        <w:gridCol w:w="81"/>
        <w:gridCol w:w="36"/>
        <w:gridCol w:w="36"/>
        <w:gridCol w:w="36"/>
        <w:gridCol w:w="82"/>
        <w:gridCol w:w="492"/>
        <w:gridCol w:w="17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734EC" w14:paraId="3693FB76" w14:textId="77777777">
        <w:trPr>
          <w:gridAfter w:val="15"/>
        </w:trPr>
        <w:tc>
          <w:tcPr>
            <w:tcW w:w="50" w:type="pct"/>
            <w:shd w:val="clear" w:color="auto" w:fill="auto"/>
            <w:vAlign w:val="center"/>
          </w:tcPr>
          <w:p w14:paraId="3693FB56" w14:textId="77777777" w:rsidR="003734EC" w:rsidRDefault="003734EC">
            <w:pPr>
              <w:rPr>
                <w:rFonts w:ascii="宋体"/>
              </w:rPr>
            </w:pPr>
          </w:p>
        </w:tc>
        <w:tc>
          <w:tcPr>
            <w:tcW w:w="2889" w:type="pct"/>
            <w:shd w:val="clear" w:color="auto" w:fill="auto"/>
            <w:vAlign w:val="center"/>
          </w:tcPr>
          <w:p w14:paraId="3693FB57" w14:textId="77777777" w:rsidR="003734EC" w:rsidRDefault="003734EC">
            <w:pPr>
              <w:rPr>
                <w:rFonts w:ascii="宋体"/>
              </w:rPr>
            </w:pPr>
          </w:p>
        </w:tc>
        <w:tc>
          <w:tcPr>
            <w:tcW w:w="50" w:type="pct"/>
            <w:shd w:val="clear" w:color="auto" w:fill="auto"/>
            <w:vAlign w:val="center"/>
          </w:tcPr>
          <w:p w14:paraId="3693FB58" w14:textId="77777777" w:rsidR="003734EC" w:rsidRDefault="003734EC">
            <w:pPr>
              <w:rPr>
                <w:rFonts w:ascii="宋体"/>
              </w:rPr>
            </w:pPr>
          </w:p>
        </w:tc>
        <w:tc>
          <w:tcPr>
            <w:tcW w:w="50" w:type="pct"/>
            <w:shd w:val="clear" w:color="auto" w:fill="auto"/>
            <w:vAlign w:val="center"/>
          </w:tcPr>
          <w:p w14:paraId="3693FB59" w14:textId="77777777" w:rsidR="003734EC" w:rsidRDefault="003734EC">
            <w:pPr>
              <w:rPr>
                <w:rFonts w:ascii="宋体"/>
              </w:rPr>
            </w:pPr>
          </w:p>
        </w:tc>
        <w:tc>
          <w:tcPr>
            <w:tcW w:w="448" w:type="pct"/>
            <w:shd w:val="clear" w:color="auto" w:fill="auto"/>
            <w:vAlign w:val="center"/>
          </w:tcPr>
          <w:p w14:paraId="3693FB5A" w14:textId="77777777" w:rsidR="003734EC" w:rsidRDefault="003734EC">
            <w:pPr>
              <w:rPr>
                <w:rFonts w:ascii="宋体"/>
              </w:rPr>
            </w:pPr>
          </w:p>
        </w:tc>
        <w:tc>
          <w:tcPr>
            <w:tcW w:w="50" w:type="pct"/>
            <w:shd w:val="clear" w:color="auto" w:fill="auto"/>
            <w:vAlign w:val="center"/>
          </w:tcPr>
          <w:p w14:paraId="3693FB5B" w14:textId="77777777" w:rsidR="003734EC" w:rsidRDefault="003734EC">
            <w:pPr>
              <w:rPr>
                <w:rFonts w:ascii="宋体"/>
              </w:rPr>
            </w:pPr>
          </w:p>
        </w:tc>
        <w:tc>
          <w:tcPr>
            <w:tcW w:w="5" w:type="pct"/>
            <w:shd w:val="clear" w:color="auto" w:fill="auto"/>
            <w:vAlign w:val="center"/>
          </w:tcPr>
          <w:p w14:paraId="3693FB5C" w14:textId="77777777" w:rsidR="003734EC" w:rsidRDefault="003734EC">
            <w:pPr>
              <w:rPr>
                <w:rFonts w:ascii="宋体"/>
              </w:rPr>
            </w:pPr>
          </w:p>
        </w:tc>
        <w:tc>
          <w:tcPr>
            <w:tcW w:w="26" w:type="pct"/>
            <w:shd w:val="clear" w:color="auto" w:fill="auto"/>
            <w:vAlign w:val="center"/>
          </w:tcPr>
          <w:p w14:paraId="3693FB5D" w14:textId="77777777" w:rsidR="003734EC" w:rsidRDefault="003734EC">
            <w:pPr>
              <w:rPr>
                <w:rFonts w:ascii="宋体"/>
              </w:rPr>
            </w:pPr>
          </w:p>
        </w:tc>
        <w:tc>
          <w:tcPr>
            <w:tcW w:w="5" w:type="pct"/>
            <w:shd w:val="clear" w:color="auto" w:fill="auto"/>
            <w:vAlign w:val="center"/>
          </w:tcPr>
          <w:p w14:paraId="3693FB5E" w14:textId="77777777" w:rsidR="003734EC" w:rsidRDefault="003734EC">
            <w:pPr>
              <w:rPr>
                <w:rFonts w:ascii="宋体"/>
              </w:rPr>
            </w:pPr>
          </w:p>
        </w:tc>
        <w:tc>
          <w:tcPr>
            <w:tcW w:w="50" w:type="pct"/>
            <w:shd w:val="clear" w:color="auto" w:fill="auto"/>
            <w:vAlign w:val="center"/>
          </w:tcPr>
          <w:p w14:paraId="3693FB5F" w14:textId="77777777" w:rsidR="003734EC" w:rsidRDefault="003734EC">
            <w:pPr>
              <w:rPr>
                <w:rFonts w:ascii="宋体"/>
              </w:rPr>
            </w:pPr>
          </w:p>
        </w:tc>
        <w:tc>
          <w:tcPr>
            <w:tcW w:w="448" w:type="pct"/>
            <w:shd w:val="clear" w:color="auto" w:fill="auto"/>
            <w:vAlign w:val="center"/>
          </w:tcPr>
          <w:p w14:paraId="3693FB60" w14:textId="77777777" w:rsidR="003734EC" w:rsidRDefault="003734EC">
            <w:pPr>
              <w:rPr>
                <w:rFonts w:ascii="宋体"/>
              </w:rPr>
            </w:pPr>
          </w:p>
        </w:tc>
        <w:tc>
          <w:tcPr>
            <w:tcW w:w="50" w:type="pct"/>
            <w:shd w:val="clear" w:color="auto" w:fill="auto"/>
            <w:vAlign w:val="center"/>
          </w:tcPr>
          <w:p w14:paraId="3693FB61" w14:textId="77777777" w:rsidR="003734EC" w:rsidRDefault="003734EC">
            <w:pPr>
              <w:rPr>
                <w:rFonts w:ascii="宋体"/>
              </w:rPr>
            </w:pPr>
          </w:p>
        </w:tc>
        <w:tc>
          <w:tcPr>
            <w:tcW w:w="5" w:type="pct"/>
            <w:shd w:val="clear" w:color="auto" w:fill="auto"/>
            <w:vAlign w:val="center"/>
          </w:tcPr>
          <w:p w14:paraId="3693FB62" w14:textId="77777777" w:rsidR="003734EC" w:rsidRDefault="003734EC">
            <w:pPr>
              <w:rPr>
                <w:rFonts w:ascii="宋体"/>
              </w:rPr>
            </w:pPr>
          </w:p>
        </w:tc>
        <w:tc>
          <w:tcPr>
            <w:tcW w:w="26" w:type="pct"/>
            <w:shd w:val="clear" w:color="auto" w:fill="auto"/>
            <w:vAlign w:val="center"/>
          </w:tcPr>
          <w:p w14:paraId="3693FB63" w14:textId="77777777" w:rsidR="003734EC" w:rsidRDefault="003734EC">
            <w:pPr>
              <w:rPr>
                <w:rFonts w:ascii="宋体"/>
              </w:rPr>
            </w:pPr>
          </w:p>
        </w:tc>
        <w:tc>
          <w:tcPr>
            <w:tcW w:w="5" w:type="pct"/>
            <w:shd w:val="clear" w:color="auto" w:fill="auto"/>
            <w:vAlign w:val="center"/>
          </w:tcPr>
          <w:p w14:paraId="3693FB64" w14:textId="77777777" w:rsidR="003734EC" w:rsidRDefault="003734EC">
            <w:pPr>
              <w:rPr>
                <w:rFonts w:ascii="宋体"/>
              </w:rPr>
            </w:pPr>
          </w:p>
        </w:tc>
        <w:tc>
          <w:tcPr>
            <w:tcW w:w="50" w:type="pct"/>
            <w:shd w:val="clear" w:color="auto" w:fill="auto"/>
            <w:vAlign w:val="center"/>
          </w:tcPr>
          <w:p w14:paraId="3693FB65" w14:textId="77777777" w:rsidR="003734EC" w:rsidRDefault="003734EC">
            <w:pPr>
              <w:rPr>
                <w:rFonts w:ascii="宋体"/>
              </w:rPr>
            </w:pPr>
          </w:p>
        </w:tc>
        <w:tc>
          <w:tcPr>
            <w:tcW w:w="302" w:type="pct"/>
            <w:shd w:val="clear" w:color="auto" w:fill="auto"/>
            <w:vAlign w:val="center"/>
          </w:tcPr>
          <w:p w14:paraId="3693FB66" w14:textId="77777777" w:rsidR="003734EC" w:rsidRDefault="003734EC">
            <w:pPr>
              <w:rPr>
                <w:rFonts w:ascii="宋体"/>
              </w:rPr>
            </w:pPr>
          </w:p>
        </w:tc>
        <w:tc>
          <w:tcPr>
            <w:tcW w:w="50" w:type="pct"/>
            <w:shd w:val="clear" w:color="auto" w:fill="auto"/>
            <w:vAlign w:val="center"/>
          </w:tcPr>
          <w:p w14:paraId="3693FB67" w14:textId="77777777" w:rsidR="003734EC" w:rsidRDefault="003734EC">
            <w:pPr>
              <w:rPr>
                <w:rFonts w:ascii="宋体"/>
              </w:rPr>
            </w:pPr>
          </w:p>
        </w:tc>
        <w:tc>
          <w:tcPr>
            <w:tcW w:w="5" w:type="pct"/>
            <w:shd w:val="clear" w:color="auto" w:fill="auto"/>
            <w:vAlign w:val="center"/>
          </w:tcPr>
          <w:p w14:paraId="3693FB68" w14:textId="77777777" w:rsidR="003734EC" w:rsidRDefault="003734EC">
            <w:pPr>
              <w:rPr>
                <w:rFonts w:ascii="宋体"/>
              </w:rPr>
            </w:pPr>
          </w:p>
        </w:tc>
        <w:tc>
          <w:tcPr>
            <w:tcW w:w="26" w:type="pct"/>
            <w:shd w:val="clear" w:color="auto" w:fill="auto"/>
            <w:vAlign w:val="center"/>
          </w:tcPr>
          <w:p w14:paraId="3693FB69" w14:textId="77777777" w:rsidR="003734EC" w:rsidRDefault="003734EC">
            <w:pPr>
              <w:rPr>
                <w:rFonts w:ascii="宋体"/>
              </w:rPr>
            </w:pPr>
          </w:p>
        </w:tc>
        <w:tc>
          <w:tcPr>
            <w:tcW w:w="5" w:type="pct"/>
            <w:shd w:val="clear" w:color="auto" w:fill="auto"/>
            <w:vAlign w:val="center"/>
          </w:tcPr>
          <w:p w14:paraId="3693FB6A" w14:textId="77777777" w:rsidR="003734EC" w:rsidRDefault="003734EC">
            <w:pPr>
              <w:rPr>
                <w:rFonts w:ascii="宋体"/>
              </w:rPr>
            </w:pPr>
          </w:p>
        </w:tc>
        <w:tc>
          <w:tcPr>
            <w:tcW w:w="50" w:type="pct"/>
            <w:shd w:val="clear" w:color="auto" w:fill="auto"/>
            <w:vAlign w:val="center"/>
          </w:tcPr>
          <w:p w14:paraId="3693FB6B" w14:textId="77777777" w:rsidR="003734EC" w:rsidRDefault="003734EC">
            <w:pPr>
              <w:rPr>
                <w:rFonts w:ascii="宋体"/>
              </w:rPr>
            </w:pPr>
          </w:p>
        </w:tc>
        <w:tc>
          <w:tcPr>
            <w:tcW w:w="302" w:type="pct"/>
            <w:shd w:val="clear" w:color="auto" w:fill="auto"/>
            <w:vAlign w:val="center"/>
          </w:tcPr>
          <w:p w14:paraId="3693FB6C" w14:textId="77777777" w:rsidR="003734EC" w:rsidRDefault="003734EC">
            <w:pPr>
              <w:rPr>
                <w:rFonts w:ascii="宋体"/>
              </w:rPr>
            </w:pPr>
          </w:p>
        </w:tc>
        <w:tc>
          <w:tcPr>
            <w:tcW w:w="50" w:type="pct"/>
            <w:shd w:val="clear" w:color="auto" w:fill="auto"/>
            <w:vAlign w:val="center"/>
          </w:tcPr>
          <w:p w14:paraId="3693FB6D" w14:textId="77777777" w:rsidR="003734EC" w:rsidRDefault="003734EC">
            <w:pPr>
              <w:rPr>
                <w:rFonts w:ascii="宋体"/>
              </w:rPr>
            </w:pPr>
          </w:p>
        </w:tc>
        <w:tc>
          <w:tcPr>
            <w:tcW w:w="0" w:type="auto"/>
            <w:shd w:val="clear" w:color="auto" w:fill="auto"/>
            <w:vAlign w:val="center"/>
          </w:tcPr>
          <w:p w14:paraId="3693FB6E" w14:textId="77777777" w:rsidR="003734EC" w:rsidRDefault="003734EC">
            <w:pPr>
              <w:rPr>
                <w:rFonts w:ascii="宋体"/>
                <w:vanish/>
              </w:rPr>
            </w:pPr>
          </w:p>
        </w:tc>
        <w:tc>
          <w:tcPr>
            <w:tcW w:w="0" w:type="auto"/>
            <w:shd w:val="clear" w:color="auto" w:fill="auto"/>
            <w:vAlign w:val="center"/>
          </w:tcPr>
          <w:p w14:paraId="3693FB6F" w14:textId="77777777" w:rsidR="003734EC" w:rsidRDefault="003734EC">
            <w:pPr>
              <w:rPr>
                <w:rFonts w:ascii="宋体"/>
                <w:vanish/>
              </w:rPr>
            </w:pPr>
          </w:p>
        </w:tc>
        <w:tc>
          <w:tcPr>
            <w:tcW w:w="0" w:type="auto"/>
            <w:shd w:val="clear" w:color="auto" w:fill="auto"/>
            <w:vAlign w:val="center"/>
          </w:tcPr>
          <w:p w14:paraId="3693FB70" w14:textId="77777777" w:rsidR="003734EC" w:rsidRDefault="003734EC">
            <w:pPr>
              <w:rPr>
                <w:rFonts w:ascii="宋体"/>
                <w:vanish/>
              </w:rPr>
            </w:pPr>
          </w:p>
        </w:tc>
        <w:tc>
          <w:tcPr>
            <w:tcW w:w="0" w:type="auto"/>
            <w:shd w:val="clear" w:color="auto" w:fill="auto"/>
            <w:vAlign w:val="center"/>
          </w:tcPr>
          <w:p w14:paraId="3693FB71" w14:textId="77777777" w:rsidR="003734EC" w:rsidRDefault="003734EC">
            <w:pPr>
              <w:rPr>
                <w:rFonts w:ascii="宋体"/>
                <w:vanish/>
              </w:rPr>
            </w:pPr>
          </w:p>
        </w:tc>
        <w:tc>
          <w:tcPr>
            <w:tcW w:w="0" w:type="auto"/>
            <w:shd w:val="clear" w:color="auto" w:fill="auto"/>
            <w:vAlign w:val="center"/>
          </w:tcPr>
          <w:p w14:paraId="3693FB72" w14:textId="77777777" w:rsidR="003734EC" w:rsidRDefault="003734EC">
            <w:pPr>
              <w:rPr>
                <w:rFonts w:ascii="宋体"/>
                <w:vanish/>
              </w:rPr>
            </w:pPr>
          </w:p>
        </w:tc>
        <w:tc>
          <w:tcPr>
            <w:tcW w:w="0" w:type="auto"/>
            <w:shd w:val="clear" w:color="auto" w:fill="auto"/>
            <w:vAlign w:val="center"/>
          </w:tcPr>
          <w:p w14:paraId="3693FB73" w14:textId="77777777" w:rsidR="003734EC" w:rsidRDefault="003734EC">
            <w:pPr>
              <w:rPr>
                <w:rFonts w:ascii="宋体"/>
                <w:vanish/>
              </w:rPr>
            </w:pPr>
          </w:p>
        </w:tc>
        <w:tc>
          <w:tcPr>
            <w:tcW w:w="0" w:type="auto"/>
            <w:shd w:val="clear" w:color="auto" w:fill="auto"/>
            <w:vAlign w:val="center"/>
          </w:tcPr>
          <w:p w14:paraId="3693FB74" w14:textId="77777777" w:rsidR="003734EC" w:rsidRDefault="003734EC">
            <w:pPr>
              <w:rPr>
                <w:rFonts w:ascii="宋体"/>
                <w:vanish/>
              </w:rPr>
            </w:pPr>
          </w:p>
        </w:tc>
        <w:tc>
          <w:tcPr>
            <w:tcW w:w="0" w:type="auto"/>
            <w:shd w:val="clear" w:color="auto" w:fill="auto"/>
            <w:vAlign w:val="center"/>
          </w:tcPr>
          <w:p w14:paraId="3693FB75" w14:textId="77777777" w:rsidR="003734EC" w:rsidRDefault="003734EC">
            <w:pPr>
              <w:rPr>
                <w:rFonts w:ascii="宋体"/>
                <w:vanish/>
              </w:rPr>
            </w:pPr>
          </w:p>
        </w:tc>
      </w:tr>
      <w:tr w:rsidR="003734EC" w14:paraId="3693FB87" w14:textId="77777777">
        <w:tc>
          <w:tcPr>
            <w:tcW w:w="0" w:type="auto"/>
            <w:gridSpan w:val="3"/>
            <w:shd w:val="clear" w:color="auto" w:fill="auto"/>
            <w:tcMar>
              <w:top w:w="40" w:type="dxa"/>
              <w:left w:w="20" w:type="dxa"/>
              <w:bottom w:w="40" w:type="dxa"/>
              <w:right w:w="20" w:type="dxa"/>
            </w:tcMar>
            <w:vAlign w:val="center"/>
          </w:tcPr>
          <w:p w14:paraId="3693FB77" w14:textId="77777777" w:rsidR="003734EC" w:rsidRDefault="000E364E">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3693FB78" w14:textId="77777777" w:rsidR="003734EC" w:rsidRDefault="000E364E">
            <w:pPr>
              <w:jc w:val="center"/>
              <w:textAlignment w:val="center"/>
            </w:pPr>
            <w:r>
              <w:rPr>
                <w:rFonts w:ascii="sans-serif" w:eastAsia="sans-serif" w:hAnsi="sans-serif" w:cs="sans-serif"/>
                <w:b/>
                <w:bCs/>
                <w:color w:val="000000"/>
                <w:sz w:val="20"/>
                <w:szCs w:val="20"/>
              </w:rPr>
              <w:t>Three Months Ended</w:t>
            </w:r>
          </w:p>
        </w:tc>
        <w:tc>
          <w:tcPr>
            <w:tcW w:w="0" w:type="auto"/>
            <w:shd w:val="clear" w:color="auto" w:fill="auto"/>
            <w:vAlign w:val="center"/>
          </w:tcPr>
          <w:p w14:paraId="3693FB79" w14:textId="77777777" w:rsidR="003734EC" w:rsidRDefault="003734EC">
            <w:pPr>
              <w:rPr>
                <w:rFonts w:ascii="宋体"/>
                <w:vanish/>
              </w:rPr>
            </w:pPr>
          </w:p>
        </w:tc>
        <w:tc>
          <w:tcPr>
            <w:tcW w:w="0" w:type="auto"/>
            <w:shd w:val="clear" w:color="auto" w:fill="auto"/>
            <w:vAlign w:val="center"/>
          </w:tcPr>
          <w:p w14:paraId="3693FB7A" w14:textId="77777777" w:rsidR="003734EC" w:rsidRDefault="003734EC">
            <w:pPr>
              <w:rPr>
                <w:rFonts w:ascii="宋体"/>
                <w:vanish/>
              </w:rPr>
            </w:pPr>
          </w:p>
        </w:tc>
        <w:tc>
          <w:tcPr>
            <w:tcW w:w="0" w:type="auto"/>
            <w:shd w:val="clear" w:color="auto" w:fill="auto"/>
            <w:vAlign w:val="center"/>
          </w:tcPr>
          <w:p w14:paraId="3693FB7B" w14:textId="77777777" w:rsidR="003734EC" w:rsidRDefault="003734EC">
            <w:pPr>
              <w:rPr>
                <w:rFonts w:ascii="宋体"/>
                <w:vanish/>
              </w:rPr>
            </w:pPr>
          </w:p>
        </w:tc>
        <w:tc>
          <w:tcPr>
            <w:tcW w:w="0" w:type="auto"/>
            <w:shd w:val="clear" w:color="auto" w:fill="auto"/>
            <w:vAlign w:val="center"/>
          </w:tcPr>
          <w:p w14:paraId="3693FB7C" w14:textId="77777777" w:rsidR="003734EC" w:rsidRDefault="003734EC">
            <w:pPr>
              <w:rPr>
                <w:rFonts w:ascii="宋体"/>
                <w:vanish/>
              </w:rPr>
            </w:pPr>
          </w:p>
        </w:tc>
        <w:tc>
          <w:tcPr>
            <w:tcW w:w="0" w:type="auto"/>
            <w:shd w:val="clear" w:color="auto" w:fill="auto"/>
            <w:vAlign w:val="center"/>
          </w:tcPr>
          <w:p w14:paraId="3693FB7D" w14:textId="77777777" w:rsidR="003734EC" w:rsidRDefault="003734EC">
            <w:pPr>
              <w:rPr>
                <w:rFonts w:ascii="宋体"/>
                <w:vanish/>
              </w:rPr>
            </w:pPr>
          </w:p>
        </w:tc>
        <w:tc>
          <w:tcPr>
            <w:tcW w:w="0" w:type="auto"/>
            <w:shd w:val="clear" w:color="auto" w:fill="auto"/>
            <w:vAlign w:val="center"/>
          </w:tcPr>
          <w:p w14:paraId="3693FB7E" w14:textId="77777777" w:rsidR="003734EC" w:rsidRDefault="003734EC">
            <w:pPr>
              <w:rPr>
                <w:rFonts w:ascii="宋体"/>
                <w:vanish/>
              </w:rPr>
            </w:pPr>
          </w:p>
        </w:tc>
        <w:tc>
          <w:tcPr>
            <w:tcW w:w="0" w:type="auto"/>
            <w:shd w:val="clear" w:color="auto" w:fill="auto"/>
            <w:vAlign w:val="center"/>
          </w:tcPr>
          <w:p w14:paraId="3693FB7F" w14:textId="77777777" w:rsidR="003734EC" w:rsidRDefault="003734EC">
            <w:pPr>
              <w:rPr>
                <w:rFonts w:ascii="宋体"/>
                <w:vanish/>
              </w:rPr>
            </w:pPr>
          </w:p>
        </w:tc>
        <w:tc>
          <w:tcPr>
            <w:tcW w:w="0" w:type="auto"/>
            <w:shd w:val="clear" w:color="auto" w:fill="auto"/>
            <w:vAlign w:val="center"/>
          </w:tcPr>
          <w:p w14:paraId="3693FB80" w14:textId="77777777" w:rsidR="003734EC" w:rsidRDefault="003734EC">
            <w:pPr>
              <w:rPr>
                <w:rFonts w:ascii="宋体"/>
                <w:vanish/>
              </w:rPr>
            </w:pPr>
          </w:p>
        </w:tc>
        <w:tc>
          <w:tcPr>
            <w:tcW w:w="0" w:type="auto"/>
            <w:gridSpan w:val="3"/>
            <w:shd w:val="clear" w:color="auto" w:fill="auto"/>
            <w:vAlign w:val="center"/>
          </w:tcPr>
          <w:p w14:paraId="3693FB81" w14:textId="77777777" w:rsidR="003734EC" w:rsidRDefault="003734EC">
            <w:pPr>
              <w:rPr>
                <w:rFonts w:ascii="宋体"/>
                <w:vanish/>
              </w:rPr>
            </w:pPr>
          </w:p>
        </w:tc>
        <w:tc>
          <w:tcPr>
            <w:tcW w:w="0" w:type="auto"/>
            <w:gridSpan w:val="3"/>
            <w:shd w:val="clear" w:color="auto" w:fill="auto"/>
            <w:vAlign w:val="center"/>
          </w:tcPr>
          <w:p w14:paraId="3693FB82" w14:textId="77777777" w:rsidR="003734EC" w:rsidRDefault="003734EC">
            <w:pPr>
              <w:rPr>
                <w:rFonts w:ascii="宋体"/>
                <w:vanish/>
              </w:rPr>
            </w:pPr>
          </w:p>
        </w:tc>
        <w:tc>
          <w:tcPr>
            <w:tcW w:w="0" w:type="auto"/>
            <w:gridSpan w:val="3"/>
            <w:shd w:val="clear" w:color="auto" w:fill="auto"/>
            <w:vAlign w:val="center"/>
          </w:tcPr>
          <w:p w14:paraId="3693FB83" w14:textId="77777777" w:rsidR="003734EC" w:rsidRDefault="003734EC">
            <w:pPr>
              <w:rPr>
                <w:rFonts w:ascii="宋体"/>
                <w:vanish/>
              </w:rPr>
            </w:pPr>
          </w:p>
        </w:tc>
        <w:tc>
          <w:tcPr>
            <w:tcW w:w="0" w:type="auto"/>
            <w:gridSpan w:val="3"/>
            <w:shd w:val="clear" w:color="auto" w:fill="auto"/>
            <w:vAlign w:val="center"/>
          </w:tcPr>
          <w:p w14:paraId="3693FB84" w14:textId="77777777" w:rsidR="003734EC" w:rsidRDefault="003734EC">
            <w:pPr>
              <w:rPr>
                <w:rFonts w:ascii="宋体"/>
                <w:vanish/>
              </w:rPr>
            </w:pPr>
          </w:p>
        </w:tc>
        <w:tc>
          <w:tcPr>
            <w:tcW w:w="0" w:type="auto"/>
            <w:gridSpan w:val="2"/>
            <w:shd w:val="clear" w:color="auto" w:fill="auto"/>
            <w:vAlign w:val="center"/>
          </w:tcPr>
          <w:p w14:paraId="3693FB85" w14:textId="77777777" w:rsidR="003734EC" w:rsidRDefault="003734EC">
            <w:pPr>
              <w:rPr>
                <w:rFonts w:ascii="宋体"/>
                <w:vanish/>
              </w:rPr>
            </w:pPr>
          </w:p>
        </w:tc>
        <w:tc>
          <w:tcPr>
            <w:tcW w:w="0" w:type="auto"/>
            <w:shd w:val="clear" w:color="auto" w:fill="auto"/>
            <w:vAlign w:val="center"/>
          </w:tcPr>
          <w:p w14:paraId="3693FB86" w14:textId="77777777" w:rsidR="003734EC" w:rsidRDefault="003734EC">
            <w:pPr>
              <w:rPr>
                <w:rFonts w:ascii="宋体"/>
                <w:vanish/>
              </w:rPr>
            </w:pPr>
          </w:p>
        </w:tc>
      </w:tr>
      <w:tr w:rsidR="003734EC" w14:paraId="3693FBA7" w14:textId="77777777">
        <w:tc>
          <w:tcPr>
            <w:tcW w:w="0" w:type="auto"/>
            <w:gridSpan w:val="3"/>
            <w:shd w:val="clear" w:color="auto" w:fill="auto"/>
            <w:tcMar>
              <w:top w:w="40" w:type="dxa"/>
              <w:left w:w="20" w:type="dxa"/>
              <w:bottom w:w="40" w:type="dxa"/>
              <w:right w:w="20" w:type="dxa"/>
            </w:tcMar>
            <w:vAlign w:val="center"/>
          </w:tcPr>
          <w:p w14:paraId="3693FB88" w14:textId="77777777" w:rsidR="003734EC" w:rsidRDefault="000E364E">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93FB89" w14:textId="77777777" w:rsidR="003734EC" w:rsidRDefault="000E364E">
            <w:pPr>
              <w:jc w:val="center"/>
              <w:textAlignment w:val="center"/>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3693FB8A"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B8B" w14:textId="77777777" w:rsidR="003734EC" w:rsidRDefault="000E364E">
            <w:pPr>
              <w:jc w:val="center"/>
              <w:textAlignment w:val="center"/>
            </w:pPr>
            <w:r>
              <w:rPr>
                <w:rFonts w:ascii="sans-serif" w:eastAsia="sans-serif" w:hAnsi="sans-serif" w:cs="sans-serif"/>
                <w:b/>
                <w:bCs/>
                <w:color w:val="000000"/>
                <w:sz w:val="20"/>
                <w:szCs w:val="20"/>
              </w:rPr>
              <w:t>April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3693FB8C"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B8D" w14:textId="77777777" w:rsidR="003734EC" w:rsidRDefault="000E364E">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3693FB8E"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93FB8F" w14:textId="77777777" w:rsidR="003734EC" w:rsidRDefault="000E364E">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shd w:val="clear" w:color="auto" w:fill="auto"/>
            <w:vAlign w:val="center"/>
          </w:tcPr>
          <w:p w14:paraId="3693FB90" w14:textId="77777777" w:rsidR="003734EC" w:rsidRDefault="003734EC">
            <w:pPr>
              <w:rPr>
                <w:rFonts w:ascii="宋体"/>
                <w:vanish/>
              </w:rPr>
            </w:pPr>
          </w:p>
        </w:tc>
        <w:tc>
          <w:tcPr>
            <w:tcW w:w="0" w:type="auto"/>
            <w:shd w:val="clear" w:color="auto" w:fill="auto"/>
            <w:vAlign w:val="center"/>
          </w:tcPr>
          <w:p w14:paraId="3693FB91" w14:textId="77777777" w:rsidR="003734EC" w:rsidRDefault="003734EC">
            <w:pPr>
              <w:rPr>
                <w:rFonts w:ascii="宋体"/>
                <w:vanish/>
              </w:rPr>
            </w:pPr>
          </w:p>
        </w:tc>
        <w:tc>
          <w:tcPr>
            <w:tcW w:w="0" w:type="auto"/>
            <w:shd w:val="clear" w:color="auto" w:fill="auto"/>
            <w:vAlign w:val="center"/>
          </w:tcPr>
          <w:p w14:paraId="3693FB92" w14:textId="77777777" w:rsidR="003734EC" w:rsidRDefault="003734EC">
            <w:pPr>
              <w:rPr>
                <w:rFonts w:ascii="宋体"/>
                <w:vanish/>
              </w:rPr>
            </w:pPr>
          </w:p>
        </w:tc>
        <w:tc>
          <w:tcPr>
            <w:tcW w:w="0" w:type="auto"/>
            <w:shd w:val="clear" w:color="auto" w:fill="auto"/>
            <w:vAlign w:val="center"/>
          </w:tcPr>
          <w:p w14:paraId="3693FB93" w14:textId="77777777" w:rsidR="003734EC" w:rsidRDefault="003734EC">
            <w:pPr>
              <w:rPr>
                <w:rFonts w:ascii="宋体"/>
                <w:vanish/>
              </w:rPr>
            </w:pPr>
          </w:p>
        </w:tc>
        <w:tc>
          <w:tcPr>
            <w:tcW w:w="0" w:type="auto"/>
            <w:shd w:val="clear" w:color="auto" w:fill="auto"/>
            <w:vAlign w:val="center"/>
          </w:tcPr>
          <w:p w14:paraId="3693FB94" w14:textId="77777777" w:rsidR="003734EC" w:rsidRDefault="003734EC">
            <w:pPr>
              <w:rPr>
                <w:rFonts w:ascii="宋体"/>
                <w:vanish/>
              </w:rPr>
            </w:pPr>
          </w:p>
        </w:tc>
        <w:tc>
          <w:tcPr>
            <w:tcW w:w="0" w:type="auto"/>
            <w:shd w:val="clear" w:color="auto" w:fill="auto"/>
            <w:vAlign w:val="center"/>
          </w:tcPr>
          <w:p w14:paraId="3693FB95" w14:textId="77777777" w:rsidR="003734EC" w:rsidRDefault="003734EC">
            <w:pPr>
              <w:rPr>
                <w:rFonts w:ascii="宋体"/>
                <w:vanish/>
              </w:rPr>
            </w:pPr>
          </w:p>
        </w:tc>
        <w:tc>
          <w:tcPr>
            <w:tcW w:w="0" w:type="auto"/>
            <w:shd w:val="clear" w:color="auto" w:fill="auto"/>
            <w:vAlign w:val="center"/>
          </w:tcPr>
          <w:p w14:paraId="3693FB96" w14:textId="77777777" w:rsidR="003734EC" w:rsidRDefault="003734EC">
            <w:pPr>
              <w:rPr>
                <w:rFonts w:ascii="宋体"/>
                <w:vanish/>
              </w:rPr>
            </w:pPr>
          </w:p>
        </w:tc>
        <w:tc>
          <w:tcPr>
            <w:tcW w:w="0" w:type="auto"/>
            <w:shd w:val="clear" w:color="auto" w:fill="auto"/>
            <w:vAlign w:val="center"/>
          </w:tcPr>
          <w:p w14:paraId="3693FB97" w14:textId="77777777" w:rsidR="003734EC" w:rsidRDefault="003734EC">
            <w:pPr>
              <w:rPr>
                <w:rFonts w:ascii="宋体"/>
                <w:vanish/>
              </w:rPr>
            </w:pPr>
          </w:p>
        </w:tc>
        <w:tc>
          <w:tcPr>
            <w:tcW w:w="0" w:type="auto"/>
            <w:shd w:val="clear" w:color="auto" w:fill="auto"/>
            <w:vAlign w:val="center"/>
          </w:tcPr>
          <w:p w14:paraId="3693FB98" w14:textId="77777777" w:rsidR="003734EC" w:rsidRDefault="003734EC">
            <w:pPr>
              <w:rPr>
                <w:rFonts w:ascii="宋体"/>
              </w:rPr>
            </w:pPr>
          </w:p>
        </w:tc>
        <w:tc>
          <w:tcPr>
            <w:tcW w:w="0" w:type="auto"/>
            <w:shd w:val="clear" w:color="auto" w:fill="auto"/>
            <w:vAlign w:val="center"/>
          </w:tcPr>
          <w:p w14:paraId="3693FB99" w14:textId="77777777" w:rsidR="003734EC" w:rsidRDefault="003734EC">
            <w:pPr>
              <w:rPr>
                <w:rFonts w:ascii="宋体"/>
              </w:rPr>
            </w:pPr>
          </w:p>
        </w:tc>
        <w:tc>
          <w:tcPr>
            <w:tcW w:w="0" w:type="auto"/>
            <w:shd w:val="clear" w:color="auto" w:fill="auto"/>
            <w:vAlign w:val="center"/>
          </w:tcPr>
          <w:p w14:paraId="3693FB9A" w14:textId="77777777" w:rsidR="003734EC" w:rsidRDefault="003734EC">
            <w:pPr>
              <w:rPr>
                <w:rFonts w:ascii="宋体"/>
              </w:rPr>
            </w:pPr>
          </w:p>
        </w:tc>
        <w:tc>
          <w:tcPr>
            <w:tcW w:w="0" w:type="auto"/>
            <w:shd w:val="clear" w:color="auto" w:fill="auto"/>
            <w:vAlign w:val="center"/>
          </w:tcPr>
          <w:p w14:paraId="3693FB9B" w14:textId="77777777" w:rsidR="003734EC" w:rsidRDefault="003734EC">
            <w:pPr>
              <w:rPr>
                <w:rFonts w:ascii="宋体"/>
              </w:rPr>
            </w:pPr>
          </w:p>
        </w:tc>
        <w:tc>
          <w:tcPr>
            <w:tcW w:w="0" w:type="auto"/>
            <w:shd w:val="clear" w:color="auto" w:fill="auto"/>
            <w:vAlign w:val="center"/>
          </w:tcPr>
          <w:p w14:paraId="3693FB9C" w14:textId="77777777" w:rsidR="003734EC" w:rsidRDefault="003734EC">
            <w:pPr>
              <w:rPr>
                <w:rFonts w:ascii="宋体"/>
              </w:rPr>
            </w:pPr>
          </w:p>
        </w:tc>
        <w:tc>
          <w:tcPr>
            <w:tcW w:w="0" w:type="auto"/>
            <w:shd w:val="clear" w:color="auto" w:fill="auto"/>
            <w:vAlign w:val="center"/>
          </w:tcPr>
          <w:p w14:paraId="3693FB9D" w14:textId="77777777" w:rsidR="003734EC" w:rsidRDefault="003734EC">
            <w:pPr>
              <w:rPr>
                <w:rFonts w:ascii="宋体"/>
              </w:rPr>
            </w:pPr>
          </w:p>
        </w:tc>
        <w:tc>
          <w:tcPr>
            <w:tcW w:w="0" w:type="auto"/>
            <w:shd w:val="clear" w:color="auto" w:fill="auto"/>
            <w:vAlign w:val="center"/>
          </w:tcPr>
          <w:p w14:paraId="3693FB9E" w14:textId="77777777" w:rsidR="003734EC" w:rsidRDefault="003734EC">
            <w:pPr>
              <w:rPr>
                <w:rFonts w:ascii="宋体"/>
              </w:rPr>
            </w:pPr>
          </w:p>
        </w:tc>
        <w:tc>
          <w:tcPr>
            <w:tcW w:w="0" w:type="auto"/>
            <w:shd w:val="clear" w:color="auto" w:fill="auto"/>
            <w:vAlign w:val="center"/>
          </w:tcPr>
          <w:p w14:paraId="3693FB9F" w14:textId="77777777" w:rsidR="003734EC" w:rsidRDefault="003734EC">
            <w:pPr>
              <w:rPr>
                <w:rFonts w:ascii="宋体"/>
              </w:rPr>
            </w:pPr>
          </w:p>
        </w:tc>
        <w:tc>
          <w:tcPr>
            <w:tcW w:w="0" w:type="auto"/>
            <w:shd w:val="clear" w:color="auto" w:fill="auto"/>
            <w:vAlign w:val="center"/>
          </w:tcPr>
          <w:p w14:paraId="3693FBA0" w14:textId="77777777" w:rsidR="003734EC" w:rsidRDefault="003734EC">
            <w:pPr>
              <w:rPr>
                <w:rFonts w:ascii="宋体"/>
              </w:rPr>
            </w:pPr>
          </w:p>
        </w:tc>
        <w:tc>
          <w:tcPr>
            <w:tcW w:w="0" w:type="auto"/>
            <w:shd w:val="clear" w:color="auto" w:fill="auto"/>
            <w:vAlign w:val="center"/>
          </w:tcPr>
          <w:p w14:paraId="3693FBA1" w14:textId="77777777" w:rsidR="003734EC" w:rsidRDefault="003734EC">
            <w:pPr>
              <w:rPr>
                <w:rFonts w:ascii="宋体"/>
              </w:rPr>
            </w:pPr>
          </w:p>
        </w:tc>
        <w:tc>
          <w:tcPr>
            <w:tcW w:w="0" w:type="auto"/>
            <w:shd w:val="clear" w:color="auto" w:fill="auto"/>
            <w:vAlign w:val="center"/>
          </w:tcPr>
          <w:p w14:paraId="3693FBA2" w14:textId="77777777" w:rsidR="003734EC" w:rsidRDefault="003734EC">
            <w:pPr>
              <w:rPr>
                <w:rFonts w:ascii="宋体"/>
              </w:rPr>
            </w:pPr>
          </w:p>
        </w:tc>
        <w:tc>
          <w:tcPr>
            <w:tcW w:w="0" w:type="auto"/>
            <w:shd w:val="clear" w:color="auto" w:fill="auto"/>
            <w:vAlign w:val="center"/>
          </w:tcPr>
          <w:p w14:paraId="3693FBA3" w14:textId="77777777" w:rsidR="003734EC" w:rsidRDefault="003734EC">
            <w:pPr>
              <w:rPr>
                <w:rFonts w:ascii="宋体"/>
              </w:rPr>
            </w:pPr>
          </w:p>
        </w:tc>
        <w:tc>
          <w:tcPr>
            <w:tcW w:w="0" w:type="auto"/>
            <w:shd w:val="clear" w:color="auto" w:fill="auto"/>
            <w:vAlign w:val="center"/>
          </w:tcPr>
          <w:p w14:paraId="3693FBA4" w14:textId="77777777" w:rsidR="003734EC" w:rsidRDefault="003734EC">
            <w:pPr>
              <w:rPr>
                <w:rFonts w:ascii="宋体"/>
              </w:rPr>
            </w:pPr>
          </w:p>
        </w:tc>
        <w:tc>
          <w:tcPr>
            <w:tcW w:w="0" w:type="auto"/>
            <w:shd w:val="clear" w:color="auto" w:fill="auto"/>
            <w:vAlign w:val="center"/>
          </w:tcPr>
          <w:p w14:paraId="3693FBA5" w14:textId="77777777" w:rsidR="003734EC" w:rsidRDefault="003734EC">
            <w:pPr>
              <w:rPr>
                <w:rFonts w:ascii="宋体"/>
              </w:rPr>
            </w:pPr>
          </w:p>
        </w:tc>
        <w:tc>
          <w:tcPr>
            <w:tcW w:w="0" w:type="auto"/>
            <w:shd w:val="clear" w:color="auto" w:fill="auto"/>
            <w:vAlign w:val="center"/>
          </w:tcPr>
          <w:p w14:paraId="3693FBA6" w14:textId="77777777" w:rsidR="003734EC" w:rsidRDefault="003734EC">
            <w:pPr>
              <w:rPr>
                <w:rFonts w:ascii="宋体"/>
              </w:rPr>
            </w:pPr>
          </w:p>
        </w:tc>
      </w:tr>
      <w:tr w:rsidR="003734EC" w14:paraId="3693FBB8" w14:textId="77777777">
        <w:tc>
          <w:tcPr>
            <w:tcW w:w="0" w:type="auto"/>
            <w:gridSpan w:val="3"/>
            <w:shd w:val="clear" w:color="auto" w:fill="auto"/>
            <w:tcMar>
              <w:top w:w="40" w:type="dxa"/>
              <w:left w:w="20" w:type="dxa"/>
              <w:bottom w:w="40" w:type="dxa"/>
              <w:right w:w="20" w:type="dxa"/>
            </w:tcMar>
            <w:vAlign w:val="bottom"/>
          </w:tcPr>
          <w:p w14:paraId="3693FBA8" w14:textId="77777777" w:rsidR="003734EC" w:rsidRDefault="000E364E">
            <w:pPr>
              <w:textAlignment w:val="bottom"/>
            </w:pPr>
            <w:r>
              <w:rPr>
                <w:rFonts w:ascii="sans-serif" w:eastAsia="sans-serif" w:hAnsi="sans-serif" w:cs="sans-serif"/>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693FBA9" w14:textId="77777777" w:rsidR="003734EC" w:rsidRDefault="000E364E">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center"/>
          </w:tcPr>
          <w:p w14:paraId="3693FBAA" w14:textId="77777777" w:rsidR="003734EC" w:rsidRDefault="003734EC">
            <w:pPr>
              <w:rPr>
                <w:rFonts w:ascii="宋体"/>
                <w:vanish/>
              </w:rPr>
            </w:pPr>
          </w:p>
        </w:tc>
        <w:tc>
          <w:tcPr>
            <w:tcW w:w="0" w:type="auto"/>
            <w:shd w:val="clear" w:color="auto" w:fill="auto"/>
            <w:vAlign w:val="center"/>
          </w:tcPr>
          <w:p w14:paraId="3693FBAB" w14:textId="77777777" w:rsidR="003734EC" w:rsidRDefault="003734EC">
            <w:pPr>
              <w:rPr>
                <w:rFonts w:ascii="宋体"/>
                <w:vanish/>
              </w:rPr>
            </w:pPr>
          </w:p>
        </w:tc>
        <w:tc>
          <w:tcPr>
            <w:tcW w:w="0" w:type="auto"/>
            <w:shd w:val="clear" w:color="auto" w:fill="auto"/>
            <w:vAlign w:val="center"/>
          </w:tcPr>
          <w:p w14:paraId="3693FBAC" w14:textId="77777777" w:rsidR="003734EC" w:rsidRDefault="003734EC">
            <w:pPr>
              <w:rPr>
                <w:rFonts w:ascii="宋体"/>
                <w:vanish/>
              </w:rPr>
            </w:pPr>
          </w:p>
        </w:tc>
        <w:tc>
          <w:tcPr>
            <w:tcW w:w="0" w:type="auto"/>
            <w:shd w:val="clear" w:color="auto" w:fill="auto"/>
            <w:vAlign w:val="center"/>
          </w:tcPr>
          <w:p w14:paraId="3693FBAD" w14:textId="77777777" w:rsidR="003734EC" w:rsidRDefault="003734EC">
            <w:pPr>
              <w:rPr>
                <w:rFonts w:ascii="宋体"/>
                <w:vanish/>
              </w:rPr>
            </w:pPr>
          </w:p>
        </w:tc>
        <w:tc>
          <w:tcPr>
            <w:tcW w:w="0" w:type="auto"/>
            <w:shd w:val="clear" w:color="auto" w:fill="auto"/>
            <w:vAlign w:val="center"/>
          </w:tcPr>
          <w:p w14:paraId="3693FBAE" w14:textId="77777777" w:rsidR="003734EC" w:rsidRDefault="003734EC">
            <w:pPr>
              <w:rPr>
                <w:rFonts w:ascii="宋体"/>
                <w:vanish/>
              </w:rPr>
            </w:pPr>
          </w:p>
        </w:tc>
        <w:tc>
          <w:tcPr>
            <w:tcW w:w="0" w:type="auto"/>
            <w:shd w:val="clear" w:color="auto" w:fill="auto"/>
            <w:vAlign w:val="center"/>
          </w:tcPr>
          <w:p w14:paraId="3693FBAF" w14:textId="77777777" w:rsidR="003734EC" w:rsidRDefault="003734EC">
            <w:pPr>
              <w:rPr>
                <w:rFonts w:ascii="宋体"/>
                <w:vanish/>
              </w:rPr>
            </w:pPr>
          </w:p>
        </w:tc>
        <w:tc>
          <w:tcPr>
            <w:tcW w:w="0" w:type="auto"/>
            <w:shd w:val="clear" w:color="auto" w:fill="auto"/>
            <w:vAlign w:val="center"/>
          </w:tcPr>
          <w:p w14:paraId="3693FBB0" w14:textId="77777777" w:rsidR="003734EC" w:rsidRDefault="003734EC">
            <w:pPr>
              <w:rPr>
                <w:rFonts w:ascii="宋体"/>
                <w:vanish/>
              </w:rPr>
            </w:pPr>
          </w:p>
        </w:tc>
        <w:tc>
          <w:tcPr>
            <w:tcW w:w="0" w:type="auto"/>
            <w:shd w:val="clear" w:color="auto" w:fill="auto"/>
            <w:vAlign w:val="center"/>
          </w:tcPr>
          <w:p w14:paraId="3693FBB1" w14:textId="77777777" w:rsidR="003734EC" w:rsidRDefault="003734EC">
            <w:pPr>
              <w:rPr>
                <w:rFonts w:ascii="宋体"/>
                <w:vanish/>
              </w:rPr>
            </w:pPr>
          </w:p>
        </w:tc>
        <w:tc>
          <w:tcPr>
            <w:tcW w:w="0" w:type="auto"/>
            <w:gridSpan w:val="3"/>
            <w:shd w:val="clear" w:color="auto" w:fill="auto"/>
            <w:vAlign w:val="center"/>
          </w:tcPr>
          <w:p w14:paraId="3693FBB2" w14:textId="77777777" w:rsidR="003734EC" w:rsidRDefault="003734EC">
            <w:pPr>
              <w:rPr>
                <w:rFonts w:ascii="宋体"/>
                <w:vanish/>
              </w:rPr>
            </w:pPr>
          </w:p>
        </w:tc>
        <w:tc>
          <w:tcPr>
            <w:tcW w:w="0" w:type="auto"/>
            <w:gridSpan w:val="3"/>
            <w:shd w:val="clear" w:color="auto" w:fill="auto"/>
            <w:vAlign w:val="center"/>
          </w:tcPr>
          <w:p w14:paraId="3693FBB3" w14:textId="77777777" w:rsidR="003734EC" w:rsidRDefault="003734EC">
            <w:pPr>
              <w:rPr>
                <w:rFonts w:ascii="宋体"/>
                <w:vanish/>
              </w:rPr>
            </w:pPr>
          </w:p>
        </w:tc>
        <w:tc>
          <w:tcPr>
            <w:tcW w:w="0" w:type="auto"/>
            <w:gridSpan w:val="3"/>
            <w:shd w:val="clear" w:color="auto" w:fill="auto"/>
            <w:vAlign w:val="center"/>
          </w:tcPr>
          <w:p w14:paraId="3693FBB4" w14:textId="77777777" w:rsidR="003734EC" w:rsidRDefault="003734EC">
            <w:pPr>
              <w:rPr>
                <w:rFonts w:ascii="宋体"/>
                <w:vanish/>
              </w:rPr>
            </w:pPr>
          </w:p>
        </w:tc>
        <w:tc>
          <w:tcPr>
            <w:tcW w:w="0" w:type="auto"/>
            <w:gridSpan w:val="3"/>
            <w:shd w:val="clear" w:color="auto" w:fill="auto"/>
            <w:vAlign w:val="center"/>
          </w:tcPr>
          <w:p w14:paraId="3693FBB5" w14:textId="77777777" w:rsidR="003734EC" w:rsidRDefault="003734EC">
            <w:pPr>
              <w:rPr>
                <w:rFonts w:ascii="宋体"/>
                <w:vanish/>
              </w:rPr>
            </w:pPr>
          </w:p>
        </w:tc>
        <w:tc>
          <w:tcPr>
            <w:tcW w:w="0" w:type="auto"/>
            <w:gridSpan w:val="2"/>
            <w:shd w:val="clear" w:color="auto" w:fill="auto"/>
            <w:vAlign w:val="center"/>
          </w:tcPr>
          <w:p w14:paraId="3693FBB6" w14:textId="77777777" w:rsidR="003734EC" w:rsidRDefault="003734EC">
            <w:pPr>
              <w:rPr>
                <w:rFonts w:ascii="宋体"/>
                <w:vanish/>
              </w:rPr>
            </w:pPr>
          </w:p>
        </w:tc>
        <w:tc>
          <w:tcPr>
            <w:tcW w:w="0" w:type="auto"/>
            <w:shd w:val="clear" w:color="auto" w:fill="auto"/>
            <w:vAlign w:val="center"/>
          </w:tcPr>
          <w:p w14:paraId="3693FBB7" w14:textId="77777777" w:rsidR="003734EC" w:rsidRDefault="003734EC">
            <w:pPr>
              <w:rPr>
                <w:rFonts w:ascii="宋体"/>
                <w:vanish/>
              </w:rPr>
            </w:pPr>
          </w:p>
        </w:tc>
      </w:tr>
      <w:tr w:rsidR="003734EC" w14:paraId="3693FBDF" w14:textId="77777777">
        <w:tc>
          <w:tcPr>
            <w:tcW w:w="0" w:type="auto"/>
            <w:gridSpan w:val="3"/>
            <w:shd w:val="clear" w:color="auto" w:fill="E2EFD9"/>
            <w:tcMar>
              <w:top w:w="40" w:type="dxa"/>
              <w:left w:w="20" w:type="dxa"/>
              <w:bottom w:w="40" w:type="dxa"/>
              <w:right w:w="20" w:type="dxa"/>
            </w:tcMar>
            <w:vAlign w:val="bottom"/>
          </w:tcPr>
          <w:p w14:paraId="3693FBB9" w14:textId="77777777" w:rsidR="003734EC" w:rsidRDefault="000E364E">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tcMar>
            <w:vAlign w:val="bottom"/>
          </w:tcPr>
          <w:p w14:paraId="3693FBB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BBB" w14:textId="77777777" w:rsidR="003734EC" w:rsidRDefault="000E364E">
            <w:pPr>
              <w:jc w:val="right"/>
              <w:textAlignment w:val="bottom"/>
            </w:pPr>
            <w:r>
              <w:rPr>
                <w:rFonts w:ascii="sans-serif" w:eastAsia="sans-serif" w:hAnsi="sans-serif" w:cs="sans-serif"/>
                <w:color w:val="000000"/>
                <w:sz w:val="20"/>
                <w:szCs w:val="20"/>
              </w:rPr>
              <w:t>735 </w:t>
            </w:r>
          </w:p>
        </w:tc>
        <w:tc>
          <w:tcPr>
            <w:tcW w:w="0" w:type="auto"/>
            <w:shd w:val="clear" w:color="auto" w:fill="E2EFD9"/>
            <w:tcMar>
              <w:top w:w="40" w:type="dxa"/>
              <w:bottom w:w="40" w:type="dxa"/>
              <w:right w:w="20" w:type="dxa"/>
            </w:tcMar>
            <w:vAlign w:val="bottom"/>
          </w:tcPr>
          <w:p w14:paraId="3693FBB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BD"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BBE"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BBF" w14:textId="77777777" w:rsidR="003734EC" w:rsidRDefault="000E364E">
            <w:pPr>
              <w:jc w:val="right"/>
              <w:textAlignment w:val="bottom"/>
            </w:pPr>
            <w:r>
              <w:rPr>
                <w:rFonts w:ascii="sans-serif" w:eastAsia="sans-serif" w:hAnsi="sans-serif" w:cs="sans-serif"/>
                <w:color w:val="000000"/>
                <w:sz w:val="20"/>
                <w:szCs w:val="20"/>
              </w:rPr>
              <w:t>674 </w:t>
            </w:r>
          </w:p>
        </w:tc>
        <w:tc>
          <w:tcPr>
            <w:tcW w:w="0" w:type="auto"/>
            <w:shd w:val="clear" w:color="auto" w:fill="E2EFD9"/>
            <w:tcMar>
              <w:top w:w="40" w:type="dxa"/>
              <w:bottom w:w="40" w:type="dxa"/>
              <w:right w:w="20" w:type="dxa"/>
            </w:tcMar>
            <w:vAlign w:val="bottom"/>
          </w:tcPr>
          <w:p w14:paraId="3693FBC0"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C1"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BC2"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BC3" w14:textId="77777777" w:rsidR="003734EC" w:rsidRDefault="000E364E">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bottom w:w="40" w:type="dxa"/>
              <w:right w:w="20" w:type="dxa"/>
            </w:tcMar>
            <w:vAlign w:val="bottom"/>
          </w:tcPr>
          <w:p w14:paraId="3693FBC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BC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BC6" w14:textId="77777777" w:rsidR="003734EC" w:rsidRDefault="000E364E">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bottom w:w="40" w:type="dxa"/>
              <w:right w:w="20" w:type="dxa"/>
            </w:tcMar>
            <w:vAlign w:val="bottom"/>
          </w:tcPr>
          <w:p w14:paraId="3693FBC7"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BC8" w14:textId="77777777" w:rsidR="003734EC" w:rsidRDefault="003734EC">
            <w:pPr>
              <w:rPr>
                <w:rFonts w:ascii="宋体"/>
                <w:vanish/>
              </w:rPr>
            </w:pPr>
          </w:p>
        </w:tc>
        <w:tc>
          <w:tcPr>
            <w:tcW w:w="0" w:type="auto"/>
            <w:shd w:val="clear" w:color="auto" w:fill="auto"/>
            <w:vAlign w:val="center"/>
          </w:tcPr>
          <w:p w14:paraId="3693FBC9" w14:textId="77777777" w:rsidR="003734EC" w:rsidRDefault="003734EC">
            <w:pPr>
              <w:rPr>
                <w:rFonts w:ascii="宋体"/>
                <w:vanish/>
              </w:rPr>
            </w:pPr>
          </w:p>
        </w:tc>
        <w:tc>
          <w:tcPr>
            <w:tcW w:w="0" w:type="auto"/>
            <w:shd w:val="clear" w:color="auto" w:fill="auto"/>
            <w:vAlign w:val="center"/>
          </w:tcPr>
          <w:p w14:paraId="3693FBCA" w14:textId="77777777" w:rsidR="003734EC" w:rsidRDefault="003734EC">
            <w:pPr>
              <w:rPr>
                <w:rFonts w:ascii="宋体"/>
                <w:vanish/>
              </w:rPr>
            </w:pPr>
          </w:p>
        </w:tc>
        <w:tc>
          <w:tcPr>
            <w:tcW w:w="0" w:type="auto"/>
            <w:shd w:val="clear" w:color="auto" w:fill="auto"/>
            <w:vAlign w:val="center"/>
          </w:tcPr>
          <w:p w14:paraId="3693FBCB" w14:textId="77777777" w:rsidR="003734EC" w:rsidRDefault="003734EC">
            <w:pPr>
              <w:rPr>
                <w:rFonts w:ascii="宋体"/>
                <w:vanish/>
              </w:rPr>
            </w:pPr>
          </w:p>
        </w:tc>
        <w:tc>
          <w:tcPr>
            <w:tcW w:w="0" w:type="auto"/>
            <w:shd w:val="clear" w:color="auto" w:fill="auto"/>
            <w:vAlign w:val="center"/>
          </w:tcPr>
          <w:p w14:paraId="3693FBCC" w14:textId="77777777" w:rsidR="003734EC" w:rsidRDefault="003734EC">
            <w:pPr>
              <w:rPr>
                <w:rFonts w:ascii="宋体"/>
                <w:vanish/>
              </w:rPr>
            </w:pPr>
          </w:p>
        </w:tc>
        <w:tc>
          <w:tcPr>
            <w:tcW w:w="0" w:type="auto"/>
            <w:shd w:val="clear" w:color="auto" w:fill="auto"/>
            <w:vAlign w:val="center"/>
          </w:tcPr>
          <w:p w14:paraId="3693FBCD" w14:textId="77777777" w:rsidR="003734EC" w:rsidRDefault="003734EC">
            <w:pPr>
              <w:rPr>
                <w:rFonts w:ascii="宋体"/>
                <w:vanish/>
              </w:rPr>
            </w:pPr>
          </w:p>
        </w:tc>
        <w:tc>
          <w:tcPr>
            <w:tcW w:w="0" w:type="auto"/>
            <w:shd w:val="clear" w:color="auto" w:fill="auto"/>
            <w:vAlign w:val="center"/>
          </w:tcPr>
          <w:p w14:paraId="3693FBCE" w14:textId="77777777" w:rsidR="003734EC" w:rsidRDefault="003734EC">
            <w:pPr>
              <w:rPr>
                <w:rFonts w:ascii="宋体"/>
                <w:vanish/>
              </w:rPr>
            </w:pPr>
          </w:p>
        </w:tc>
        <w:tc>
          <w:tcPr>
            <w:tcW w:w="0" w:type="auto"/>
            <w:shd w:val="clear" w:color="auto" w:fill="auto"/>
            <w:vAlign w:val="center"/>
          </w:tcPr>
          <w:p w14:paraId="3693FBCF" w14:textId="77777777" w:rsidR="003734EC" w:rsidRDefault="003734EC">
            <w:pPr>
              <w:rPr>
                <w:rFonts w:ascii="宋体"/>
                <w:vanish/>
              </w:rPr>
            </w:pPr>
          </w:p>
        </w:tc>
        <w:tc>
          <w:tcPr>
            <w:tcW w:w="0" w:type="auto"/>
            <w:shd w:val="clear" w:color="auto" w:fill="auto"/>
            <w:vAlign w:val="center"/>
          </w:tcPr>
          <w:p w14:paraId="3693FBD0" w14:textId="77777777" w:rsidR="003734EC" w:rsidRDefault="003734EC">
            <w:pPr>
              <w:rPr>
                <w:rFonts w:ascii="宋体"/>
              </w:rPr>
            </w:pPr>
          </w:p>
        </w:tc>
        <w:tc>
          <w:tcPr>
            <w:tcW w:w="0" w:type="auto"/>
            <w:shd w:val="clear" w:color="auto" w:fill="auto"/>
            <w:vAlign w:val="center"/>
          </w:tcPr>
          <w:p w14:paraId="3693FBD1" w14:textId="77777777" w:rsidR="003734EC" w:rsidRDefault="003734EC">
            <w:pPr>
              <w:rPr>
                <w:rFonts w:ascii="宋体"/>
              </w:rPr>
            </w:pPr>
          </w:p>
        </w:tc>
        <w:tc>
          <w:tcPr>
            <w:tcW w:w="0" w:type="auto"/>
            <w:shd w:val="clear" w:color="auto" w:fill="auto"/>
            <w:vAlign w:val="center"/>
          </w:tcPr>
          <w:p w14:paraId="3693FBD2" w14:textId="77777777" w:rsidR="003734EC" w:rsidRDefault="003734EC">
            <w:pPr>
              <w:rPr>
                <w:rFonts w:ascii="宋体"/>
              </w:rPr>
            </w:pPr>
          </w:p>
        </w:tc>
        <w:tc>
          <w:tcPr>
            <w:tcW w:w="0" w:type="auto"/>
            <w:shd w:val="clear" w:color="auto" w:fill="auto"/>
            <w:vAlign w:val="center"/>
          </w:tcPr>
          <w:p w14:paraId="3693FBD3" w14:textId="77777777" w:rsidR="003734EC" w:rsidRDefault="003734EC">
            <w:pPr>
              <w:rPr>
                <w:rFonts w:ascii="宋体"/>
              </w:rPr>
            </w:pPr>
          </w:p>
        </w:tc>
        <w:tc>
          <w:tcPr>
            <w:tcW w:w="0" w:type="auto"/>
            <w:shd w:val="clear" w:color="auto" w:fill="auto"/>
            <w:vAlign w:val="center"/>
          </w:tcPr>
          <w:p w14:paraId="3693FBD4" w14:textId="77777777" w:rsidR="003734EC" w:rsidRDefault="003734EC">
            <w:pPr>
              <w:rPr>
                <w:rFonts w:ascii="宋体"/>
              </w:rPr>
            </w:pPr>
          </w:p>
        </w:tc>
        <w:tc>
          <w:tcPr>
            <w:tcW w:w="0" w:type="auto"/>
            <w:shd w:val="clear" w:color="auto" w:fill="auto"/>
            <w:vAlign w:val="center"/>
          </w:tcPr>
          <w:p w14:paraId="3693FBD5" w14:textId="77777777" w:rsidR="003734EC" w:rsidRDefault="003734EC">
            <w:pPr>
              <w:rPr>
                <w:rFonts w:ascii="宋体"/>
              </w:rPr>
            </w:pPr>
          </w:p>
        </w:tc>
        <w:tc>
          <w:tcPr>
            <w:tcW w:w="0" w:type="auto"/>
            <w:shd w:val="clear" w:color="auto" w:fill="auto"/>
            <w:vAlign w:val="center"/>
          </w:tcPr>
          <w:p w14:paraId="3693FBD6" w14:textId="77777777" w:rsidR="003734EC" w:rsidRDefault="003734EC">
            <w:pPr>
              <w:rPr>
                <w:rFonts w:ascii="宋体"/>
              </w:rPr>
            </w:pPr>
          </w:p>
        </w:tc>
        <w:tc>
          <w:tcPr>
            <w:tcW w:w="0" w:type="auto"/>
            <w:shd w:val="clear" w:color="auto" w:fill="auto"/>
            <w:vAlign w:val="center"/>
          </w:tcPr>
          <w:p w14:paraId="3693FBD7" w14:textId="77777777" w:rsidR="003734EC" w:rsidRDefault="003734EC">
            <w:pPr>
              <w:rPr>
                <w:rFonts w:ascii="宋体"/>
              </w:rPr>
            </w:pPr>
          </w:p>
        </w:tc>
        <w:tc>
          <w:tcPr>
            <w:tcW w:w="0" w:type="auto"/>
            <w:shd w:val="clear" w:color="auto" w:fill="auto"/>
            <w:vAlign w:val="center"/>
          </w:tcPr>
          <w:p w14:paraId="3693FBD8" w14:textId="77777777" w:rsidR="003734EC" w:rsidRDefault="003734EC">
            <w:pPr>
              <w:rPr>
                <w:rFonts w:ascii="宋体"/>
              </w:rPr>
            </w:pPr>
          </w:p>
        </w:tc>
        <w:tc>
          <w:tcPr>
            <w:tcW w:w="0" w:type="auto"/>
            <w:shd w:val="clear" w:color="auto" w:fill="auto"/>
            <w:vAlign w:val="center"/>
          </w:tcPr>
          <w:p w14:paraId="3693FBD9" w14:textId="77777777" w:rsidR="003734EC" w:rsidRDefault="003734EC">
            <w:pPr>
              <w:rPr>
                <w:rFonts w:ascii="宋体"/>
              </w:rPr>
            </w:pPr>
          </w:p>
        </w:tc>
        <w:tc>
          <w:tcPr>
            <w:tcW w:w="0" w:type="auto"/>
            <w:shd w:val="clear" w:color="auto" w:fill="auto"/>
            <w:vAlign w:val="center"/>
          </w:tcPr>
          <w:p w14:paraId="3693FBDA" w14:textId="77777777" w:rsidR="003734EC" w:rsidRDefault="003734EC">
            <w:pPr>
              <w:rPr>
                <w:rFonts w:ascii="宋体"/>
              </w:rPr>
            </w:pPr>
          </w:p>
        </w:tc>
        <w:tc>
          <w:tcPr>
            <w:tcW w:w="0" w:type="auto"/>
            <w:shd w:val="clear" w:color="auto" w:fill="auto"/>
            <w:vAlign w:val="center"/>
          </w:tcPr>
          <w:p w14:paraId="3693FBDB" w14:textId="77777777" w:rsidR="003734EC" w:rsidRDefault="003734EC">
            <w:pPr>
              <w:rPr>
                <w:rFonts w:ascii="宋体"/>
              </w:rPr>
            </w:pPr>
          </w:p>
        </w:tc>
        <w:tc>
          <w:tcPr>
            <w:tcW w:w="0" w:type="auto"/>
            <w:shd w:val="clear" w:color="auto" w:fill="auto"/>
            <w:vAlign w:val="center"/>
          </w:tcPr>
          <w:p w14:paraId="3693FBDC" w14:textId="77777777" w:rsidR="003734EC" w:rsidRDefault="003734EC">
            <w:pPr>
              <w:rPr>
                <w:rFonts w:ascii="宋体"/>
              </w:rPr>
            </w:pPr>
          </w:p>
        </w:tc>
        <w:tc>
          <w:tcPr>
            <w:tcW w:w="0" w:type="auto"/>
            <w:shd w:val="clear" w:color="auto" w:fill="auto"/>
            <w:vAlign w:val="center"/>
          </w:tcPr>
          <w:p w14:paraId="3693FBDD" w14:textId="77777777" w:rsidR="003734EC" w:rsidRDefault="003734EC">
            <w:pPr>
              <w:rPr>
                <w:rFonts w:ascii="宋体"/>
              </w:rPr>
            </w:pPr>
          </w:p>
        </w:tc>
        <w:tc>
          <w:tcPr>
            <w:tcW w:w="0" w:type="auto"/>
            <w:shd w:val="clear" w:color="auto" w:fill="auto"/>
            <w:vAlign w:val="center"/>
          </w:tcPr>
          <w:p w14:paraId="3693FBDE" w14:textId="77777777" w:rsidR="003734EC" w:rsidRDefault="003734EC">
            <w:pPr>
              <w:rPr>
                <w:rFonts w:ascii="宋体"/>
              </w:rPr>
            </w:pPr>
          </w:p>
        </w:tc>
      </w:tr>
      <w:tr w:rsidR="003734EC" w14:paraId="3693FC01" w14:textId="77777777">
        <w:tc>
          <w:tcPr>
            <w:tcW w:w="0" w:type="auto"/>
            <w:gridSpan w:val="3"/>
            <w:shd w:val="clear" w:color="auto" w:fill="FFFFFF"/>
            <w:tcMar>
              <w:top w:w="40" w:type="dxa"/>
              <w:left w:w="20" w:type="dxa"/>
              <w:bottom w:w="40" w:type="dxa"/>
              <w:right w:w="20" w:type="dxa"/>
            </w:tcMar>
            <w:vAlign w:val="bottom"/>
          </w:tcPr>
          <w:p w14:paraId="3693FBE0" w14:textId="77777777" w:rsidR="003734EC" w:rsidRDefault="000E364E">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3693FBE1" w14:textId="77777777" w:rsidR="003734EC" w:rsidRDefault="000E364E">
            <w:pPr>
              <w:jc w:val="right"/>
              <w:textAlignment w:val="bottom"/>
            </w:pPr>
            <w:r>
              <w:rPr>
                <w:rFonts w:ascii="sans-serif" w:eastAsia="sans-serif" w:hAnsi="sans-serif" w:cs="sans-serif"/>
                <w:i/>
                <w:iCs/>
                <w:color w:val="000000"/>
                <w:sz w:val="20"/>
                <w:szCs w:val="20"/>
              </w:rPr>
              <w:t>24 </w:t>
            </w:r>
          </w:p>
        </w:tc>
        <w:tc>
          <w:tcPr>
            <w:tcW w:w="0" w:type="auto"/>
            <w:shd w:val="clear" w:color="auto" w:fill="FFFFFF"/>
            <w:tcMar>
              <w:top w:w="40" w:type="dxa"/>
              <w:bottom w:w="40" w:type="dxa"/>
              <w:right w:w="20" w:type="dxa"/>
            </w:tcMar>
            <w:vAlign w:val="bottom"/>
          </w:tcPr>
          <w:p w14:paraId="3693FBE2" w14:textId="77777777" w:rsidR="003734EC" w:rsidRDefault="000E364E">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3693FBE3"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BE4" w14:textId="77777777" w:rsidR="003734EC" w:rsidRDefault="000E364E">
            <w:pPr>
              <w:jc w:val="right"/>
              <w:textAlignment w:val="bottom"/>
            </w:pPr>
            <w:r>
              <w:rPr>
                <w:rFonts w:ascii="sans-serif" w:eastAsia="sans-serif" w:hAnsi="sans-serif" w:cs="sans-serif"/>
                <w:i/>
                <w:iCs/>
                <w:color w:val="000000"/>
                <w:sz w:val="20"/>
                <w:szCs w:val="20"/>
              </w:rPr>
              <w:t>30 </w:t>
            </w:r>
          </w:p>
        </w:tc>
        <w:tc>
          <w:tcPr>
            <w:tcW w:w="0" w:type="auto"/>
            <w:shd w:val="clear" w:color="auto" w:fill="FFFFFF"/>
            <w:tcMar>
              <w:top w:w="40" w:type="dxa"/>
              <w:bottom w:w="40" w:type="dxa"/>
              <w:right w:w="20" w:type="dxa"/>
            </w:tcMar>
            <w:vAlign w:val="bottom"/>
          </w:tcPr>
          <w:p w14:paraId="3693FBE5" w14:textId="77777777" w:rsidR="003734EC" w:rsidRDefault="000E364E">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3693FBE6"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BE7"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BE8"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BE9" w14:textId="77777777" w:rsidR="003734EC" w:rsidRDefault="003734EC">
            <w:pPr>
              <w:rPr>
                <w:rFonts w:ascii="宋体"/>
              </w:rPr>
            </w:pPr>
          </w:p>
        </w:tc>
        <w:tc>
          <w:tcPr>
            <w:tcW w:w="0" w:type="auto"/>
            <w:shd w:val="clear" w:color="auto" w:fill="auto"/>
            <w:vAlign w:val="center"/>
          </w:tcPr>
          <w:p w14:paraId="3693FBEA" w14:textId="77777777" w:rsidR="003734EC" w:rsidRDefault="003734EC">
            <w:pPr>
              <w:rPr>
                <w:rFonts w:ascii="宋体"/>
                <w:vanish/>
              </w:rPr>
            </w:pPr>
          </w:p>
        </w:tc>
        <w:tc>
          <w:tcPr>
            <w:tcW w:w="0" w:type="auto"/>
            <w:shd w:val="clear" w:color="auto" w:fill="auto"/>
            <w:vAlign w:val="center"/>
          </w:tcPr>
          <w:p w14:paraId="3693FBEB" w14:textId="77777777" w:rsidR="003734EC" w:rsidRDefault="003734EC">
            <w:pPr>
              <w:rPr>
                <w:rFonts w:ascii="宋体"/>
                <w:vanish/>
              </w:rPr>
            </w:pPr>
          </w:p>
        </w:tc>
        <w:tc>
          <w:tcPr>
            <w:tcW w:w="0" w:type="auto"/>
            <w:shd w:val="clear" w:color="auto" w:fill="auto"/>
            <w:vAlign w:val="center"/>
          </w:tcPr>
          <w:p w14:paraId="3693FBEC" w14:textId="77777777" w:rsidR="003734EC" w:rsidRDefault="003734EC">
            <w:pPr>
              <w:rPr>
                <w:rFonts w:ascii="宋体"/>
                <w:vanish/>
              </w:rPr>
            </w:pPr>
          </w:p>
        </w:tc>
        <w:tc>
          <w:tcPr>
            <w:tcW w:w="0" w:type="auto"/>
            <w:shd w:val="clear" w:color="auto" w:fill="auto"/>
            <w:vAlign w:val="center"/>
          </w:tcPr>
          <w:p w14:paraId="3693FBED" w14:textId="77777777" w:rsidR="003734EC" w:rsidRDefault="003734EC">
            <w:pPr>
              <w:rPr>
                <w:rFonts w:ascii="宋体"/>
                <w:vanish/>
              </w:rPr>
            </w:pPr>
          </w:p>
        </w:tc>
        <w:tc>
          <w:tcPr>
            <w:tcW w:w="0" w:type="auto"/>
            <w:shd w:val="clear" w:color="auto" w:fill="auto"/>
            <w:vAlign w:val="center"/>
          </w:tcPr>
          <w:p w14:paraId="3693FBEE" w14:textId="77777777" w:rsidR="003734EC" w:rsidRDefault="003734EC">
            <w:pPr>
              <w:rPr>
                <w:rFonts w:ascii="宋体"/>
                <w:vanish/>
              </w:rPr>
            </w:pPr>
          </w:p>
        </w:tc>
        <w:tc>
          <w:tcPr>
            <w:tcW w:w="0" w:type="auto"/>
            <w:shd w:val="clear" w:color="auto" w:fill="auto"/>
            <w:vAlign w:val="center"/>
          </w:tcPr>
          <w:p w14:paraId="3693FBEF" w14:textId="77777777" w:rsidR="003734EC" w:rsidRDefault="003734EC">
            <w:pPr>
              <w:rPr>
                <w:rFonts w:ascii="宋体"/>
                <w:vanish/>
              </w:rPr>
            </w:pPr>
          </w:p>
        </w:tc>
        <w:tc>
          <w:tcPr>
            <w:tcW w:w="0" w:type="auto"/>
            <w:shd w:val="clear" w:color="auto" w:fill="auto"/>
            <w:vAlign w:val="center"/>
          </w:tcPr>
          <w:p w14:paraId="3693FBF0" w14:textId="77777777" w:rsidR="003734EC" w:rsidRDefault="003734EC">
            <w:pPr>
              <w:rPr>
                <w:rFonts w:ascii="宋体"/>
                <w:vanish/>
              </w:rPr>
            </w:pPr>
          </w:p>
        </w:tc>
        <w:tc>
          <w:tcPr>
            <w:tcW w:w="0" w:type="auto"/>
            <w:shd w:val="clear" w:color="auto" w:fill="auto"/>
            <w:vAlign w:val="center"/>
          </w:tcPr>
          <w:p w14:paraId="3693FBF1" w14:textId="77777777" w:rsidR="003734EC" w:rsidRDefault="003734EC">
            <w:pPr>
              <w:rPr>
                <w:rFonts w:ascii="宋体"/>
                <w:vanish/>
              </w:rPr>
            </w:pPr>
          </w:p>
        </w:tc>
        <w:tc>
          <w:tcPr>
            <w:tcW w:w="0" w:type="auto"/>
            <w:shd w:val="clear" w:color="auto" w:fill="auto"/>
            <w:vAlign w:val="center"/>
          </w:tcPr>
          <w:p w14:paraId="3693FBF2" w14:textId="77777777" w:rsidR="003734EC" w:rsidRDefault="003734EC">
            <w:pPr>
              <w:rPr>
                <w:rFonts w:ascii="宋体"/>
              </w:rPr>
            </w:pPr>
          </w:p>
        </w:tc>
        <w:tc>
          <w:tcPr>
            <w:tcW w:w="0" w:type="auto"/>
            <w:shd w:val="clear" w:color="auto" w:fill="auto"/>
            <w:vAlign w:val="center"/>
          </w:tcPr>
          <w:p w14:paraId="3693FBF3" w14:textId="77777777" w:rsidR="003734EC" w:rsidRDefault="003734EC">
            <w:pPr>
              <w:rPr>
                <w:rFonts w:ascii="宋体"/>
              </w:rPr>
            </w:pPr>
          </w:p>
        </w:tc>
        <w:tc>
          <w:tcPr>
            <w:tcW w:w="0" w:type="auto"/>
            <w:shd w:val="clear" w:color="auto" w:fill="auto"/>
            <w:vAlign w:val="center"/>
          </w:tcPr>
          <w:p w14:paraId="3693FBF4" w14:textId="77777777" w:rsidR="003734EC" w:rsidRDefault="003734EC">
            <w:pPr>
              <w:rPr>
                <w:rFonts w:ascii="宋体"/>
              </w:rPr>
            </w:pPr>
          </w:p>
        </w:tc>
        <w:tc>
          <w:tcPr>
            <w:tcW w:w="0" w:type="auto"/>
            <w:shd w:val="clear" w:color="auto" w:fill="auto"/>
            <w:vAlign w:val="center"/>
          </w:tcPr>
          <w:p w14:paraId="3693FBF5" w14:textId="77777777" w:rsidR="003734EC" w:rsidRDefault="003734EC">
            <w:pPr>
              <w:rPr>
                <w:rFonts w:ascii="宋体"/>
              </w:rPr>
            </w:pPr>
          </w:p>
        </w:tc>
        <w:tc>
          <w:tcPr>
            <w:tcW w:w="0" w:type="auto"/>
            <w:shd w:val="clear" w:color="auto" w:fill="auto"/>
            <w:vAlign w:val="center"/>
          </w:tcPr>
          <w:p w14:paraId="3693FBF6" w14:textId="77777777" w:rsidR="003734EC" w:rsidRDefault="003734EC">
            <w:pPr>
              <w:rPr>
                <w:rFonts w:ascii="宋体"/>
              </w:rPr>
            </w:pPr>
          </w:p>
        </w:tc>
        <w:tc>
          <w:tcPr>
            <w:tcW w:w="0" w:type="auto"/>
            <w:shd w:val="clear" w:color="auto" w:fill="auto"/>
            <w:vAlign w:val="center"/>
          </w:tcPr>
          <w:p w14:paraId="3693FBF7" w14:textId="77777777" w:rsidR="003734EC" w:rsidRDefault="003734EC">
            <w:pPr>
              <w:rPr>
                <w:rFonts w:ascii="宋体"/>
              </w:rPr>
            </w:pPr>
          </w:p>
        </w:tc>
        <w:tc>
          <w:tcPr>
            <w:tcW w:w="0" w:type="auto"/>
            <w:shd w:val="clear" w:color="auto" w:fill="auto"/>
            <w:vAlign w:val="center"/>
          </w:tcPr>
          <w:p w14:paraId="3693FBF8" w14:textId="77777777" w:rsidR="003734EC" w:rsidRDefault="003734EC">
            <w:pPr>
              <w:rPr>
                <w:rFonts w:ascii="宋体"/>
              </w:rPr>
            </w:pPr>
          </w:p>
        </w:tc>
        <w:tc>
          <w:tcPr>
            <w:tcW w:w="0" w:type="auto"/>
            <w:shd w:val="clear" w:color="auto" w:fill="auto"/>
            <w:vAlign w:val="center"/>
          </w:tcPr>
          <w:p w14:paraId="3693FBF9" w14:textId="77777777" w:rsidR="003734EC" w:rsidRDefault="003734EC">
            <w:pPr>
              <w:rPr>
                <w:rFonts w:ascii="宋体"/>
              </w:rPr>
            </w:pPr>
          </w:p>
        </w:tc>
        <w:tc>
          <w:tcPr>
            <w:tcW w:w="0" w:type="auto"/>
            <w:shd w:val="clear" w:color="auto" w:fill="auto"/>
            <w:vAlign w:val="center"/>
          </w:tcPr>
          <w:p w14:paraId="3693FBFA" w14:textId="77777777" w:rsidR="003734EC" w:rsidRDefault="003734EC">
            <w:pPr>
              <w:rPr>
                <w:rFonts w:ascii="宋体"/>
              </w:rPr>
            </w:pPr>
          </w:p>
        </w:tc>
        <w:tc>
          <w:tcPr>
            <w:tcW w:w="0" w:type="auto"/>
            <w:shd w:val="clear" w:color="auto" w:fill="auto"/>
            <w:vAlign w:val="center"/>
          </w:tcPr>
          <w:p w14:paraId="3693FBFB" w14:textId="77777777" w:rsidR="003734EC" w:rsidRDefault="003734EC">
            <w:pPr>
              <w:rPr>
                <w:rFonts w:ascii="宋体"/>
              </w:rPr>
            </w:pPr>
          </w:p>
        </w:tc>
        <w:tc>
          <w:tcPr>
            <w:tcW w:w="0" w:type="auto"/>
            <w:shd w:val="clear" w:color="auto" w:fill="auto"/>
            <w:vAlign w:val="center"/>
          </w:tcPr>
          <w:p w14:paraId="3693FBFC" w14:textId="77777777" w:rsidR="003734EC" w:rsidRDefault="003734EC">
            <w:pPr>
              <w:rPr>
                <w:rFonts w:ascii="宋体"/>
              </w:rPr>
            </w:pPr>
          </w:p>
        </w:tc>
        <w:tc>
          <w:tcPr>
            <w:tcW w:w="0" w:type="auto"/>
            <w:shd w:val="clear" w:color="auto" w:fill="auto"/>
            <w:vAlign w:val="center"/>
          </w:tcPr>
          <w:p w14:paraId="3693FBFD" w14:textId="77777777" w:rsidR="003734EC" w:rsidRDefault="003734EC">
            <w:pPr>
              <w:rPr>
                <w:rFonts w:ascii="宋体"/>
              </w:rPr>
            </w:pPr>
          </w:p>
        </w:tc>
        <w:tc>
          <w:tcPr>
            <w:tcW w:w="0" w:type="auto"/>
            <w:shd w:val="clear" w:color="auto" w:fill="auto"/>
            <w:vAlign w:val="center"/>
          </w:tcPr>
          <w:p w14:paraId="3693FBFE" w14:textId="77777777" w:rsidR="003734EC" w:rsidRDefault="003734EC">
            <w:pPr>
              <w:rPr>
                <w:rFonts w:ascii="宋体"/>
              </w:rPr>
            </w:pPr>
          </w:p>
        </w:tc>
        <w:tc>
          <w:tcPr>
            <w:tcW w:w="0" w:type="auto"/>
            <w:shd w:val="clear" w:color="auto" w:fill="auto"/>
            <w:vAlign w:val="center"/>
          </w:tcPr>
          <w:p w14:paraId="3693FBFF" w14:textId="77777777" w:rsidR="003734EC" w:rsidRDefault="003734EC">
            <w:pPr>
              <w:rPr>
                <w:rFonts w:ascii="宋体"/>
              </w:rPr>
            </w:pPr>
          </w:p>
        </w:tc>
        <w:tc>
          <w:tcPr>
            <w:tcW w:w="0" w:type="auto"/>
            <w:shd w:val="clear" w:color="auto" w:fill="auto"/>
            <w:vAlign w:val="center"/>
          </w:tcPr>
          <w:p w14:paraId="3693FC00" w14:textId="77777777" w:rsidR="003734EC" w:rsidRDefault="003734EC">
            <w:pPr>
              <w:rPr>
                <w:rFonts w:ascii="宋体"/>
              </w:rPr>
            </w:pPr>
          </w:p>
        </w:tc>
      </w:tr>
      <w:tr w:rsidR="003734EC" w14:paraId="3693FC25" w14:textId="77777777">
        <w:tc>
          <w:tcPr>
            <w:tcW w:w="0" w:type="auto"/>
            <w:gridSpan w:val="3"/>
            <w:shd w:val="clear" w:color="auto" w:fill="E2EFD9"/>
            <w:tcMar>
              <w:top w:w="40" w:type="dxa"/>
              <w:left w:w="20" w:type="dxa"/>
              <w:bottom w:w="40" w:type="dxa"/>
              <w:right w:w="20" w:type="dxa"/>
            </w:tcMar>
            <w:vAlign w:val="bottom"/>
          </w:tcPr>
          <w:p w14:paraId="3693FC02" w14:textId="77777777" w:rsidR="003734EC" w:rsidRDefault="000E364E">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3693FC03" w14:textId="77777777" w:rsidR="003734EC" w:rsidRDefault="000E364E">
            <w:pPr>
              <w:jc w:val="right"/>
              <w:textAlignment w:val="bottom"/>
            </w:pPr>
            <w:r>
              <w:rPr>
                <w:rFonts w:ascii="sans-serif" w:eastAsia="sans-serif" w:hAnsi="sans-serif" w:cs="sans-serif"/>
                <w:color w:val="000000"/>
                <w:sz w:val="20"/>
                <w:szCs w:val="20"/>
              </w:rPr>
              <w:t>293 </w:t>
            </w:r>
          </w:p>
        </w:tc>
        <w:tc>
          <w:tcPr>
            <w:tcW w:w="0" w:type="auto"/>
            <w:shd w:val="clear" w:color="auto" w:fill="E2EFD9"/>
            <w:tcMar>
              <w:top w:w="40" w:type="dxa"/>
              <w:bottom w:w="40" w:type="dxa"/>
              <w:right w:w="20" w:type="dxa"/>
            </w:tcMar>
            <w:vAlign w:val="bottom"/>
          </w:tcPr>
          <w:p w14:paraId="3693FC04"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05"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C06" w14:textId="77777777" w:rsidR="003734EC" w:rsidRDefault="000E364E">
            <w:pPr>
              <w:jc w:val="right"/>
              <w:textAlignment w:val="bottom"/>
            </w:pPr>
            <w:r>
              <w:rPr>
                <w:rFonts w:ascii="sans-serif" w:eastAsia="sans-serif" w:hAnsi="sans-serif" w:cs="sans-serif"/>
                <w:color w:val="000000"/>
                <w:sz w:val="20"/>
                <w:szCs w:val="20"/>
              </w:rPr>
              <w:t>264 </w:t>
            </w:r>
          </w:p>
        </w:tc>
        <w:tc>
          <w:tcPr>
            <w:tcW w:w="0" w:type="auto"/>
            <w:shd w:val="clear" w:color="auto" w:fill="E2EFD9"/>
            <w:tcMar>
              <w:top w:w="40" w:type="dxa"/>
              <w:bottom w:w="40" w:type="dxa"/>
              <w:right w:w="20" w:type="dxa"/>
            </w:tcMar>
            <w:vAlign w:val="bottom"/>
          </w:tcPr>
          <w:p w14:paraId="3693FC0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08"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C09" w14:textId="77777777" w:rsidR="003734EC" w:rsidRDefault="000E364E">
            <w:pPr>
              <w:jc w:val="right"/>
              <w:textAlignment w:val="bottom"/>
            </w:pPr>
            <w:r>
              <w:rPr>
                <w:rFonts w:ascii="sans-serif" w:eastAsia="sans-serif" w:hAnsi="sans-serif" w:cs="sans-serif"/>
                <w:color w:val="000000"/>
                <w:sz w:val="20"/>
                <w:szCs w:val="20"/>
              </w:rPr>
              <w:t>29 </w:t>
            </w:r>
          </w:p>
        </w:tc>
        <w:tc>
          <w:tcPr>
            <w:tcW w:w="0" w:type="auto"/>
            <w:shd w:val="clear" w:color="auto" w:fill="E2EFD9"/>
            <w:tcMar>
              <w:top w:w="40" w:type="dxa"/>
              <w:bottom w:w="40" w:type="dxa"/>
              <w:right w:w="20" w:type="dxa"/>
            </w:tcMar>
            <w:vAlign w:val="bottom"/>
          </w:tcPr>
          <w:p w14:paraId="3693FC0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0B" w14:textId="77777777" w:rsidR="003734EC" w:rsidRDefault="003734EC">
            <w:pPr>
              <w:rPr>
                <w:rFonts w:ascii="宋体"/>
              </w:rPr>
            </w:pPr>
          </w:p>
        </w:tc>
        <w:tc>
          <w:tcPr>
            <w:tcW w:w="0" w:type="auto"/>
            <w:gridSpan w:val="2"/>
            <w:shd w:val="clear" w:color="auto" w:fill="E2EFD9"/>
            <w:tcMar>
              <w:top w:w="40" w:type="dxa"/>
              <w:left w:w="20" w:type="dxa"/>
              <w:bottom w:w="40" w:type="dxa"/>
              <w:right w:w="0" w:type="dxa"/>
            </w:tcMar>
            <w:vAlign w:val="bottom"/>
          </w:tcPr>
          <w:p w14:paraId="3693FC0C" w14:textId="77777777" w:rsidR="003734EC" w:rsidRDefault="000E364E">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bottom w:w="40" w:type="dxa"/>
              <w:right w:w="20" w:type="dxa"/>
            </w:tcMar>
            <w:vAlign w:val="bottom"/>
          </w:tcPr>
          <w:p w14:paraId="3693FC0D"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C0E" w14:textId="77777777" w:rsidR="003734EC" w:rsidRDefault="003734EC">
            <w:pPr>
              <w:rPr>
                <w:rFonts w:ascii="宋体"/>
                <w:vanish/>
              </w:rPr>
            </w:pPr>
          </w:p>
        </w:tc>
        <w:tc>
          <w:tcPr>
            <w:tcW w:w="0" w:type="auto"/>
            <w:shd w:val="clear" w:color="auto" w:fill="auto"/>
            <w:vAlign w:val="center"/>
          </w:tcPr>
          <w:p w14:paraId="3693FC0F" w14:textId="77777777" w:rsidR="003734EC" w:rsidRDefault="003734EC">
            <w:pPr>
              <w:rPr>
                <w:rFonts w:ascii="宋体"/>
                <w:vanish/>
              </w:rPr>
            </w:pPr>
          </w:p>
        </w:tc>
        <w:tc>
          <w:tcPr>
            <w:tcW w:w="0" w:type="auto"/>
            <w:shd w:val="clear" w:color="auto" w:fill="auto"/>
            <w:vAlign w:val="center"/>
          </w:tcPr>
          <w:p w14:paraId="3693FC10" w14:textId="77777777" w:rsidR="003734EC" w:rsidRDefault="003734EC">
            <w:pPr>
              <w:rPr>
                <w:rFonts w:ascii="宋体"/>
                <w:vanish/>
              </w:rPr>
            </w:pPr>
          </w:p>
        </w:tc>
        <w:tc>
          <w:tcPr>
            <w:tcW w:w="0" w:type="auto"/>
            <w:shd w:val="clear" w:color="auto" w:fill="auto"/>
            <w:vAlign w:val="center"/>
          </w:tcPr>
          <w:p w14:paraId="3693FC11" w14:textId="77777777" w:rsidR="003734EC" w:rsidRDefault="003734EC">
            <w:pPr>
              <w:rPr>
                <w:rFonts w:ascii="宋体"/>
                <w:vanish/>
              </w:rPr>
            </w:pPr>
          </w:p>
        </w:tc>
        <w:tc>
          <w:tcPr>
            <w:tcW w:w="0" w:type="auto"/>
            <w:shd w:val="clear" w:color="auto" w:fill="auto"/>
            <w:vAlign w:val="center"/>
          </w:tcPr>
          <w:p w14:paraId="3693FC12" w14:textId="77777777" w:rsidR="003734EC" w:rsidRDefault="003734EC">
            <w:pPr>
              <w:rPr>
                <w:rFonts w:ascii="宋体"/>
                <w:vanish/>
              </w:rPr>
            </w:pPr>
          </w:p>
        </w:tc>
        <w:tc>
          <w:tcPr>
            <w:tcW w:w="0" w:type="auto"/>
            <w:shd w:val="clear" w:color="auto" w:fill="auto"/>
            <w:vAlign w:val="center"/>
          </w:tcPr>
          <w:p w14:paraId="3693FC13" w14:textId="77777777" w:rsidR="003734EC" w:rsidRDefault="003734EC">
            <w:pPr>
              <w:rPr>
                <w:rFonts w:ascii="宋体"/>
                <w:vanish/>
              </w:rPr>
            </w:pPr>
          </w:p>
        </w:tc>
        <w:tc>
          <w:tcPr>
            <w:tcW w:w="0" w:type="auto"/>
            <w:shd w:val="clear" w:color="auto" w:fill="auto"/>
            <w:vAlign w:val="center"/>
          </w:tcPr>
          <w:p w14:paraId="3693FC14" w14:textId="77777777" w:rsidR="003734EC" w:rsidRDefault="003734EC">
            <w:pPr>
              <w:rPr>
                <w:rFonts w:ascii="宋体"/>
                <w:vanish/>
              </w:rPr>
            </w:pPr>
          </w:p>
        </w:tc>
        <w:tc>
          <w:tcPr>
            <w:tcW w:w="0" w:type="auto"/>
            <w:shd w:val="clear" w:color="auto" w:fill="auto"/>
            <w:vAlign w:val="center"/>
          </w:tcPr>
          <w:p w14:paraId="3693FC15" w14:textId="77777777" w:rsidR="003734EC" w:rsidRDefault="003734EC">
            <w:pPr>
              <w:rPr>
                <w:rFonts w:ascii="宋体"/>
                <w:vanish/>
              </w:rPr>
            </w:pPr>
          </w:p>
        </w:tc>
        <w:tc>
          <w:tcPr>
            <w:tcW w:w="0" w:type="auto"/>
            <w:shd w:val="clear" w:color="auto" w:fill="auto"/>
            <w:vAlign w:val="center"/>
          </w:tcPr>
          <w:p w14:paraId="3693FC16" w14:textId="77777777" w:rsidR="003734EC" w:rsidRDefault="003734EC">
            <w:pPr>
              <w:rPr>
                <w:rFonts w:ascii="宋体"/>
              </w:rPr>
            </w:pPr>
          </w:p>
        </w:tc>
        <w:tc>
          <w:tcPr>
            <w:tcW w:w="0" w:type="auto"/>
            <w:shd w:val="clear" w:color="auto" w:fill="auto"/>
            <w:vAlign w:val="center"/>
          </w:tcPr>
          <w:p w14:paraId="3693FC17" w14:textId="77777777" w:rsidR="003734EC" w:rsidRDefault="003734EC">
            <w:pPr>
              <w:rPr>
                <w:rFonts w:ascii="宋体"/>
              </w:rPr>
            </w:pPr>
          </w:p>
        </w:tc>
        <w:tc>
          <w:tcPr>
            <w:tcW w:w="0" w:type="auto"/>
            <w:shd w:val="clear" w:color="auto" w:fill="auto"/>
            <w:vAlign w:val="center"/>
          </w:tcPr>
          <w:p w14:paraId="3693FC18" w14:textId="77777777" w:rsidR="003734EC" w:rsidRDefault="003734EC">
            <w:pPr>
              <w:rPr>
                <w:rFonts w:ascii="宋体"/>
              </w:rPr>
            </w:pPr>
          </w:p>
        </w:tc>
        <w:tc>
          <w:tcPr>
            <w:tcW w:w="0" w:type="auto"/>
            <w:shd w:val="clear" w:color="auto" w:fill="auto"/>
            <w:vAlign w:val="center"/>
          </w:tcPr>
          <w:p w14:paraId="3693FC19" w14:textId="77777777" w:rsidR="003734EC" w:rsidRDefault="003734EC">
            <w:pPr>
              <w:rPr>
                <w:rFonts w:ascii="宋体"/>
              </w:rPr>
            </w:pPr>
          </w:p>
        </w:tc>
        <w:tc>
          <w:tcPr>
            <w:tcW w:w="0" w:type="auto"/>
            <w:shd w:val="clear" w:color="auto" w:fill="auto"/>
            <w:vAlign w:val="center"/>
          </w:tcPr>
          <w:p w14:paraId="3693FC1A" w14:textId="77777777" w:rsidR="003734EC" w:rsidRDefault="003734EC">
            <w:pPr>
              <w:rPr>
                <w:rFonts w:ascii="宋体"/>
              </w:rPr>
            </w:pPr>
          </w:p>
        </w:tc>
        <w:tc>
          <w:tcPr>
            <w:tcW w:w="0" w:type="auto"/>
            <w:shd w:val="clear" w:color="auto" w:fill="auto"/>
            <w:vAlign w:val="center"/>
          </w:tcPr>
          <w:p w14:paraId="3693FC1B" w14:textId="77777777" w:rsidR="003734EC" w:rsidRDefault="003734EC">
            <w:pPr>
              <w:rPr>
                <w:rFonts w:ascii="宋体"/>
              </w:rPr>
            </w:pPr>
          </w:p>
        </w:tc>
        <w:tc>
          <w:tcPr>
            <w:tcW w:w="0" w:type="auto"/>
            <w:shd w:val="clear" w:color="auto" w:fill="auto"/>
            <w:vAlign w:val="center"/>
          </w:tcPr>
          <w:p w14:paraId="3693FC1C" w14:textId="77777777" w:rsidR="003734EC" w:rsidRDefault="003734EC">
            <w:pPr>
              <w:rPr>
                <w:rFonts w:ascii="宋体"/>
              </w:rPr>
            </w:pPr>
          </w:p>
        </w:tc>
        <w:tc>
          <w:tcPr>
            <w:tcW w:w="0" w:type="auto"/>
            <w:shd w:val="clear" w:color="auto" w:fill="auto"/>
            <w:vAlign w:val="center"/>
          </w:tcPr>
          <w:p w14:paraId="3693FC1D" w14:textId="77777777" w:rsidR="003734EC" w:rsidRDefault="003734EC">
            <w:pPr>
              <w:rPr>
                <w:rFonts w:ascii="宋体"/>
              </w:rPr>
            </w:pPr>
          </w:p>
        </w:tc>
        <w:tc>
          <w:tcPr>
            <w:tcW w:w="0" w:type="auto"/>
            <w:shd w:val="clear" w:color="auto" w:fill="auto"/>
            <w:vAlign w:val="center"/>
          </w:tcPr>
          <w:p w14:paraId="3693FC1E" w14:textId="77777777" w:rsidR="003734EC" w:rsidRDefault="003734EC">
            <w:pPr>
              <w:rPr>
                <w:rFonts w:ascii="宋体"/>
              </w:rPr>
            </w:pPr>
          </w:p>
        </w:tc>
        <w:tc>
          <w:tcPr>
            <w:tcW w:w="0" w:type="auto"/>
            <w:shd w:val="clear" w:color="auto" w:fill="auto"/>
            <w:vAlign w:val="center"/>
          </w:tcPr>
          <w:p w14:paraId="3693FC1F" w14:textId="77777777" w:rsidR="003734EC" w:rsidRDefault="003734EC">
            <w:pPr>
              <w:rPr>
                <w:rFonts w:ascii="宋体"/>
              </w:rPr>
            </w:pPr>
          </w:p>
        </w:tc>
        <w:tc>
          <w:tcPr>
            <w:tcW w:w="0" w:type="auto"/>
            <w:shd w:val="clear" w:color="auto" w:fill="auto"/>
            <w:vAlign w:val="center"/>
          </w:tcPr>
          <w:p w14:paraId="3693FC20" w14:textId="77777777" w:rsidR="003734EC" w:rsidRDefault="003734EC">
            <w:pPr>
              <w:rPr>
                <w:rFonts w:ascii="宋体"/>
              </w:rPr>
            </w:pPr>
          </w:p>
        </w:tc>
        <w:tc>
          <w:tcPr>
            <w:tcW w:w="0" w:type="auto"/>
            <w:shd w:val="clear" w:color="auto" w:fill="auto"/>
            <w:vAlign w:val="center"/>
          </w:tcPr>
          <w:p w14:paraId="3693FC21" w14:textId="77777777" w:rsidR="003734EC" w:rsidRDefault="003734EC">
            <w:pPr>
              <w:rPr>
                <w:rFonts w:ascii="宋体"/>
              </w:rPr>
            </w:pPr>
          </w:p>
        </w:tc>
        <w:tc>
          <w:tcPr>
            <w:tcW w:w="0" w:type="auto"/>
            <w:shd w:val="clear" w:color="auto" w:fill="auto"/>
            <w:vAlign w:val="center"/>
          </w:tcPr>
          <w:p w14:paraId="3693FC22" w14:textId="77777777" w:rsidR="003734EC" w:rsidRDefault="003734EC">
            <w:pPr>
              <w:rPr>
                <w:rFonts w:ascii="宋体"/>
              </w:rPr>
            </w:pPr>
          </w:p>
        </w:tc>
        <w:tc>
          <w:tcPr>
            <w:tcW w:w="0" w:type="auto"/>
            <w:shd w:val="clear" w:color="auto" w:fill="auto"/>
            <w:vAlign w:val="center"/>
          </w:tcPr>
          <w:p w14:paraId="3693FC23" w14:textId="77777777" w:rsidR="003734EC" w:rsidRDefault="003734EC">
            <w:pPr>
              <w:rPr>
                <w:rFonts w:ascii="宋体"/>
              </w:rPr>
            </w:pPr>
          </w:p>
        </w:tc>
        <w:tc>
          <w:tcPr>
            <w:tcW w:w="0" w:type="auto"/>
            <w:shd w:val="clear" w:color="auto" w:fill="auto"/>
            <w:vAlign w:val="center"/>
          </w:tcPr>
          <w:p w14:paraId="3693FC24" w14:textId="77777777" w:rsidR="003734EC" w:rsidRDefault="003734EC">
            <w:pPr>
              <w:rPr>
                <w:rFonts w:ascii="宋体"/>
              </w:rPr>
            </w:pPr>
          </w:p>
        </w:tc>
      </w:tr>
      <w:tr w:rsidR="003734EC" w14:paraId="3693FC47" w14:textId="77777777">
        <w:tc>
          <w:tcPr>
            <w:tcW w:w="0" w:type="auto"/>
            <w:gridSpan w:val="3"/>
            <w:shd w:val="clear" w:color="auto" w:fill="FFFFFF"/>
            <w:tcMar>
              <w:top w:w="40" w:type="dxa"/>
              <w:left w:w="20" w:type="dxa"/>
              <w:bottom w:w="40" w:type="dxa"/>
              <w:right w:w="20" w:type="dxa"/>
            </w:tcMar>
            <w:vAlign w:val="bottom"/>
          </w:tcPr>
          <w:p w14:paraId="3693FC26" w14:textId="77777777" w:rsidR="003734EC" w:rsidRDefault="000E364E">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3693FC27" w14:textId="77777777" w:rsidR="003734EC" w:rsidRDefault="000E364E">
            <w:pPr>
              <w:jc w:val="right"/>
              <w:textAlignment w:val="bottom"/>
            </w:pPr>
            <w:r>
              <w:rPr>
                <w:rFonts w:ascii="sans-serif" w:eastAsia="sans-serif" w:hAnsi="sans-serif" w:cs="sans-serif"/>
                <w:i/>
                <w:iCs/>
                <w:color w:val="000000"/>
                <w:sz w:val="20"/>
                <w:szCs w:val="20"/>
              </w:rPr>
              <w:t>10 </w:t>
            </w:r>
          </w:p>
        </w:tc>
        <w:tc>
          <w:tcPr>
            <w:tcW w:w="0" w:type="auto"/>
            <w:shd w:val="clear" w:color="auto" w:fill="FFFFFF"/>
            <w:tcMar>
              <w:top w:w="40" w:type="dxa"/>
              <w:bottom w:w="40" w:type="dxa"/>
              <w:right w:w="20" w:type="dxa"/>
            </w:tcMar>
            <w:vAlign w:val="bottom"/>
          </w:tcPr>
          <w:p w14:paraId="3693FC28" w14:textId="77777777" w:rsidR="003734EC" w:rsidRDefault="000E364E">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3693FC2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C2A" w14:textId="77777777" w:rsidR="003734EC" w:rsidRDefault="000E364E">
            <w:pPr>
              <w:jc w:val="right"/>
              <w:textAlignment w:val="bottom"/>
            </w:pPr>
            <w:r>
              <w:rPr>
                <w:rFonts w:ascii="sans-serif" w:eastAsia="sans-serif" w:hAnsi="sans-serif" w:cs="sans-serif"/>
                <w:i/>
                <w:iCs/>
                <w:color w:val="000000"/>
                <w:sz w:val="20"/>
                <w:szCs w:val="20"/>
              </w:rPr>
              <w:t>12 </w:t>
            </w:r>
          </w:p>
        </w:tc>
        <w:tc>
          <w:tcPr>
            <w:tcW w:w="0" w:type="auto"/>
            <w:shd w:val="clear" w:color="auto" w:fill="FFFFFF"/>
            <w:tcMar>
              <w:top w:w="40" w:type="dxa"/>
              <w:bottom w:w="40" w:type="dxa"/>
              <w:right w:w="20" w:type="dxa"/>
            </w:tcMar>
            <w:vAlign w:val="bottom"/>
          </w:tcPr>
          <w:p w14:paraId="3693FC2B" w14:textId="77777777" w:rsidR="003734EC" w:rsidRDefault="000E364E">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3693FC2C"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C2D"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C2E" w14:textId="77777777" w:rsidR="003734EC" w:rsidRDefault="003734EC">
            <w:pPr>
              <w:rPr>
                <w:rFonts w:ascii="宋体"/>
              </w:rPr>
            </w:pPr>
          </w:p>
        </w:tc>
        <w:tc>
          <w:tcPr>
            <w:tcW w:w="0" w:type="auto"/>
            <w:gridSpan w:val="3"/>
            <w:shd w:val="clear" w:color="auto" w:fill="FFFFFF"/>
            <w:tcMar>
              <w:left w:w="20" w:type="dxa"/>
              <w:right w:w="20" w:type="dxa"/>
            </w:tcMar>
            <w:vAlign w:val="bottom"/>
          </w:tcPr>
          <w:p w14:paraId="3693FC2F" w14:textId="77777777" w:rsidR="003734EC" w:rsidRDefault="003734EC">
            <w:pPr>
              <w:rPr>
                <w:rFonts w:ascii="宋体"/>
              </w:rPr>
            </w:pPr>
          </w:p>
        </w:tc>
        <w:tc>
          <w:tcPr>
            <w:tcW w:w="0" w:type="auto"/>
            <w:shd w:val="clear" w:color="auto" w:fill="auto"/>
            <w:vAlign w:val="center"/>
          </w:tcPr>
          <w:p w14:paraId="3693FC30" w14:textId="77777777" w:rsidR="003734EC" w:rsidRDefault="003734EC">
            <w:pPr>
              <w:rPr>
                <w:rFonts w:ascii="宋体"/>
                <w:vanish/>
              </w:rPr>
            </w:pPr>
          </w:p>
        </w:tc>
        <w:tc>
          <w:tcPr>
            <w:tcW w:w="0" w:type="auto"/>
            <w:shd w:val="clear" w:color="auto" w:fill="auto"/>
            <w:vAlign w:val="center"/>
          </w:tcPr>
          <w:p w14:paraId="3693FC31" w14:textId="77777777" w:rsidR="003734EC" w:rsidRDefault="003734EC">
            <w:pPr>
              <w:rPr>
                <w:rFonts w:ascii="宋体"/>
                <w:vanish/>
              </w:rPr>
            </w:pPr>
          </w:p>
        </w:tc>
        <w:tc>
          <w:tcPr>
            <w:tcW w:w="0" w:type="auto"/>
            <w:shd w:val="clear" w:color="auto" w:fill="auto"/>
            <w:vAlign w:val="center"/>
          </w:tcPr>
          <w:p w14:paraId="3693FC32" w14:textId="77777777" w:rsidR="003734EC" w:rsidRDefault="003734EC">
            <w:pPr>
              <w:rPr>
                <w:rFonts w:ascii="宋体"/>
                <w:vanish/>
              </w:rPr>
            </w:pPr>
          </w:p>
        </w:tc>
        <w:tc>
          <w:tcPr>
            <w:tcW w:w="0" w:type="auto"/>
            <w:shd w:val="clear" w:color="auto" w:fill="auto"/>
            <w:vAlign w:val="center"/>
          </w:tcPr>
          <w:p w14:paraId="3693FC33" w14:textId="77777777" w:rsidR="003734EC" w:rsidRDefault="003734EC">
            <w:pPr>
              <w:rPr>
                <w:rFonts w:ascii="宋体"/>
                <w:vanish/>
              </w:rPr>
            </w:pPr>
          </w:p>
        </w:tc>
        <w:tc>
          <w:tcPr>
            <w:tcW w:w="0" w:type="auto"/>
            <w:shd w:val="clear" w:color="auto" w:fill="auto"/>
            <w:vAlign w:val="center"/>
          </w:tcPr>
          <w:p w14:paraId="3693FC34" w14:textId="77777777" w:rsidR="003734EC" w:rsidRDefault="003734EC">
            <w:pPr>
              <w:rPr>
                <w:rFonts w:ascii="宋体"/>
                <w:vanish/>
              </w:rPr>
            </w:pPr>
          </w:p>
        </w:tc>
        <w:tc>
          <w:tcPr>
            <w:tcW w:w="0" w:type="auto"/>
            <w:shd w:val="clear" w:color="auto" w:fill="auto"/>
            <w:vAlign w:val="center"/>
          </w:tcPr>
          <w:p w14:paraId="3693FC35" w14:textId="77777777" w:rsidR="003734EC" w:rsidRDefault="003734EC">
            <w:pPr>
              <w:rPr>
                <w:rFonts w:ascii="宋体"/>
                <w:vanish/>
              </w:rPr>
            </w:pPr>
          </w:p>
        </w:tc>
        <w:tc>
          <w:tcPr>
            <w:tcW w:w="0" w:type="auto"/>
            <w:shd w:val="clear" w:color="auto" w:fill="auto"/>
            <w:vAlign w:val="center"/>
          </w:tcPr>
          <w:p w14:paraId="3693FC36" w14:textId="77777777" w:rsidR="003734EC" w:rsidRDefault="003734EC">
            <w:pPr>
              <w:rPr>
                <w:rFonts w:ascii="宋体"/>
                <w:vanish/>
              </w:rPr>
            </w:pPr>
          </w:p>
        </w:tc>
        <w:tc>
          <w:tcPr>
            <w:tcW w:w="0" w:type="auto"/>
            <w:shd w:val="clear" w:color="auto" w:fill="auto"/>
            <w:vAlign w:val="center"/>
          </w:tcPr>
          <w:p w14:paraId="3693FC37" w14:textId="77777777" w:rsidR="003734EC" w:rsidRDefault="003734EC">
            <w:pPr>
              <w:rPr>
                <w:rFonts w:ascii="宋体"/>
                <w:vanish/>
              </w:rPr>
            </w:pPr>
          </w:p>
        </w:tc>
        <w:tc>
          <w:tcPr>
            <w:tcW w:w="0" w:type="auto"/>
            <w:shd w:val="clear" w:color="auto" w:fill="auto"/>
            <w:vAlign w:val="center"/>
          </w:tcPr>
          <w:p w14:paraId="3693FC38" w14:textId="77777777" w:rsidR="003734EC" w:rsidRDefault="003734EC">
            <w:pPr>
              <w:rPr>
                <w:rFonts w:ascii="宋体"/>
              </w:rPr>
            </w:pPr>
          </w:p>
        </w:tc>
        <w:tc>
          <w:tcPr>
            <w:tcW w:w="0" w:type="auto"/>
            <w:shd w:val="clear" w:color="auto" w:fill="auto"/>
            <w:vAlign w:val="center"/>
          </w:tcPr>
          <w:p w14:paraId="3693FC39" w14:textId="77777777" w:rsidR="003734EC" w:rsidRDefault="003734EC">
            <w:pPr>
              <w:rPr>
                <w:rFonts w:ascii="宋体"/>
              </w:rPr>
            </w:pPr>
          </w:p>
        </w:tc>
        <w:tc>
          <w:tcPr>
            <w:tcW w:w="0" w:type="auto"/>
            <w:shd w:val="clear" w:color="auto" w:fill="auto"/>
            <w:vAlign w:val="center"/>
          </w:tcPr>
          <w:p w14:paraId="3693FC3A" w14:textId="77777777" w:rsidR="003734EC" w:rsidRDefault="003734EC">
            <w:pPr>
              <w:rPr>
                <w:rFonts w:ascii="宋体"/>
              </w:rPr>
            </w:pPr>
          </w:p>
        </w:tc>
        <w:tc>
          <w:tcPr>
            <w:tcW w:w="0" w:type="auto"/>
            <w:shd w:val="clear" w:color="auto" w:fill="auto"/>
            <w:vAlign w:val="center"/>
          </w:tcPr>
          <w:p w14:paraId="3693FC3B" w14:textId="77777777" w:rsidR="003734EC" w:rsidRDefault="003734EC">
            <w:pPr>
              <w:rPr>
                <w:rFonts w:ascii="宋体"/>
              </w:rPr>
            </w:pPr>
          </w:p>
        </w:tc>
        <w:tc>
          <w:tcPr>
            <w:tcW w:w="0" w:type="auto"/>
            <w:shd w:val="clear" w:color="auto" w:fill="auto"/>
            <w:vAlign w:val="center"/>
          </w:tcPr>
          <w:p w14:paraId="3693FC3C" w14:textId="77777777" w:rsidR="003734EC" w:rsidRDefault="003734EC">
            <w:pPr>
              <w:rPr>
                <w:rFonts w:ascii="宋体"/>
              </w:rPr>
            </w:pPr>
          </w:p>
        </w:tc>
        <w:tc>
          <w:tcPr>
            <w:tcW w:w="0" w:type="auto"/>
            <w:shd w:val="clear" w:color="auto" w:fill="auto"/>
            <w:vAlign w:val="center"/>
          </w:tcPr>
          <w:p w14:paraId="3693FC3D" w14:textId="77777777" w:rsidR="003734EC" w:rsidRDefault="003734EC">
            <w:pPr>
              <w:rPr>
                <w:rFonts w:ascii="宋体"/>
              </w:rPr>
            </w:pPr>
          </w:p>
        </w:tc>
        <w:tc>
          <w:tcPr>
            <w:tcW w:w="0" w:type="auto"/>
            <w:shd w:val="clear" w:color="auto" w:fill="auto"/>
            <w:vAlign w:val="center"/>
          </w:tcPr>
          <w:p w14:paraId="3693FC3E" w14:textId="77777777" w:rsidR="003734EC" w:rsidRDefault="003734EC">
            <w:pPr>
              <w:rPr>
                <w:rFonts w:ascii="宋体"/>
              </w:rPr>
            </w:pPr>
          </w:p>
        </w:tc>
        <w:tc>
          <w:tcPr>
            <w:tcW w:w="0" w:type="auto"/>
            <w:shd w:val="clear" w:color="auto" w:fill="auto"/>
            <w:vAlign w:val="center"/>
          </w:tcPr>
          <w:p w14:paraId="3693FC3F" w14:textId="77777777" w:rsidR="003734EC" w:rsidRDefault="003734EC">
            <w:pPr>
              <w:rPr>
                <w:rFonts w:ascii="宋体"/>
              </w:rPr>
            </w:pPr>
          </w:p>
        </w:tc>
        <w:tc>
          <w:tcPr>
            <w:tcW w:w="0" w:type="auto"/>
            <w:shd w:val="clear" w:color="auto" w:fill="auto"/>
            <w:vAlign w:val="center"/>
          </w:tcPr>
          <w:p w14:paraId="3693FC40" w14:textId="77777777" w:rsidR="003734EC" w:rsidRDefault="003734EC">
            <w:pPr>
              <w:rPr>
                <w:rFonts w:ascii="宋体"/>
              </w:rPr>
            </w:pPr>
          </w:p>
        </w:tc>
        <w:tc>
          <w:tcPr>
            <w:tcW w:w="0" w:type="auto"/>
            <w:shd w:val="clear" w:color="auto" w:fill="auto"/>
            <w:vAlign w:val="center"/>
          </w:tcPr>
          <w:p w14:paraId="3693FC41" w14:textId="77777777" w:rsidR="003734EC" w:rsidRDefault="003734EC">
            <w:pPr>
              <w:rPr>
                <w:rFonts w:ascii="宋体"/>
              </w:rPr>
            </w:pPr>
          </w:p>
        </w:tc>
        <w:tc>
          <w:tcPr>
            <w:tcW w:w="0" w:type="auto"/>
            <w:shd w:val="clear" w:color="auto" w:fill="auto"/>
            <w:vAlign w:val="center"/>
          </w:tcPr>
          <w:p w14:paraId="3693FC42" w14:textId="77777777" w:rsidR="003734EC" w:rsidRDefault="003734EC">
            <w:pPr>
              <w:rPr>
                <w:rFonts w:ascii="宋体"/>
              </w:rPr>
            </w:pPr>
          </w:p>
        </w:tc>
        <w:tc>
          <w:tcPr>
            <w:tcW w:w="0" w:type="auto"/>
            <w:shd w:val="clear" w:color="auto" w:fill="auto"/>
            <w:vAlign w:val="center"/>
          </w:tcPr>
          <w:p w14:paraId="3693FC43" w14:textId="77777777" w:rsidR="003734EC" w:rsidRDefault="003734EC">
            <w:pPr>
              <w:rPr>
                <w:rFonts w:ascii="宋体"/>
              </w:rPr>
            </w:pPr>
          </w:p>
        </w:tc>
        <w:tc>
          <w:tcPr>
            <w:tcW w:w="0" w:type="auto"/>
            <w:shd w:val="clear" w:color="auto" w:fill="auto"/>
            <w:vAlign w:val="center"/>
          </w:tcPr>
          <w:p w14:paraId="3693FC44" w14:textId="77777777" w:rsidR="003734EC" w:rsidRDefault="003734EC">
            <w:pPr>
              <w:rPr>
                <w:rFonts w:ascii="宋体"/>
              </w:rPr>
            </w:pPr>
          </w:p>
        </w:tc>
        <w:tc>
          <w:tcPr>
            <w:tcW w:w="0" w:type="auto"/>
            <w:shd w:val="clear" w:color="auto" w:fill="auto"/>
            <w:vAlign w:val="center"/>
          </w:tcPr>
          <w:p w14:paraId="3693FC45" w14:textId="77777777" w:rsidR="003734EC" w:rsidRDefault="003734EC">
            <w:pPr>
              <w:rPr>
                <w:rFonts w:ascii="宋体"/>
              </w:rPr>
            </w:pPr>
          </w:p>
        </w:tc>
        <w:tc>
          <w:tcPr>
            <w:tcW w:w="0" w:type="auto"/>
            <w:shd w:val="clear" w:color="auto" w:fill="auto"/>
            <w:vAlign w:val="center"/>
          </w:tcPr>
          <w:p w14:paraId="3693FC46" w14:textId="77777777" w:rsidR="003734EC" w:rsidRDefault="003734EC">
            <w:pPr>
              <w:rPr>
                <w:rFonts w:ascii="宋体"/>
              </w:rPr>
            </w:pPr>
          </w:p>
        </w:tc>
      </w:tr>
      <w:tr w:rsidR="003734EC" w14:paraId="3693FC6E" w14:textId="77777777">
        <w:tc>
          <w:tcPr>
            <w:tcW w:w="0" w:type="auto"/>
            <w:gridSpan w:val="3"/>
            <w:shd w:val="clear" w:color="auto" w:fill="E2EFD9"/>
            <w:tcMar>
              <w:top w:w="40" w:type="dxa"/>
              <w:left w:w="135" w:type="dxa"/>
              <w:bottom w:w="40" w:type="dxa"/>
              <w:right w:w="20" w:type="dxa"/>
            </w:tcMar>
            <w:vAlign w:val="bottom"/>
          </w:tcPr>
          <w:p w14:paraId="3693FC48" w14:textId="77777777" w:rsidR="003734EC" w:rsidRDefault="000E364E">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C49"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C4A" w14:textId="77777777" w:rsidR="003734EC" w:rsidRDefault="000E364E">
            <w:pPr>
              <w:jc w:val="right"/>
              <w:textAlignment w:val="bottom"/>
            </w:pPr>
            <w:r>
              <w:rPr>
                <w:rFonts w:ascii="sans-serif" w:eastAsia="sans-serif" w:hAnsi="sans-serif" w:cs="sans-serif"/>
                <w:color w:val="000000"/>
                <w:sz w:val="20"/>
                <w:szCs w:val="20"/>
              </w:rPr>
              <w:t>1,028 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4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4C"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C4D"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C4E" w14:textId="77777777" w:rsidR="003734EC" w:rsidRDefault="000E364E">
            <w:pPr>
              <w:jc w:val="right"/>
              <w:textAlignment w:val="bottom"/>
            </w:pPr>
            <w:r>
              <w:rPr>
                <w:rFonts w:ascii="sans-serif" w:eastAsia="sans-serif" w:hAnsi="sans-serif" w:cs="sans-serif"/>
                <w:color w:val="000000"/>
                <w:sz w:val="20"/>
                <w:szCs w:val="20"/>
              </w:rPr>
              <w:t>938 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4F"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50"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C51"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C52" w14:textId="77777777" w:rsidR="003734EC" w:rsidRDefault="000E364E">
            <w:pPr>
              <w:jc w:val="right"/>
              <w:textAlignment w:val="bottom"/>
            </w:pPr>
            <w:r>
              <w:rPr>
                <w:rFonts w:ascii="sans-serif" w:eastAsia="sans-serif" w:hAnsi="sans-serif" w:cs="sans-serif"/>
                <w:color w:val="000000"/>
                <w:sz w:val="20"/>
                <w:szCs w:val="20"/>
              </w:rPr>
              <w:t>90 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53"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54" w14:textId="77777777" w:rsidR="003734EC" w:rsidRDefault="003734EC">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3693FC55" w14:textId="77777777" w:rsidR="003734EC" w:rsidRDefault="000E364E">
            <w:pPr>
              <w:jc w:val="right"/>
              <w:textAlignment w:val="bottom"/>
            </w:pPr>
            <w:r>
              <w:rPr>
                <w:rFonts w:ascii="sans-serif" w:eastAsia="sans-serif" w:hAnsi="sans-serif" w:cs="sans-serif"/>
                <w:color w:val="000000"/>
                <w:sz w:val="20"/>
                <w:szCs w:val="20"/>
              </w:rPr>
              <w:t>10 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56" w14:textId="77777777" w:rsidR="003734EC" w:rsidRDefault="000E364E">
            <w:pPr>
              <w:jc w:val="right"/>
              <w:textAlignment w:val="bottom"/>
            </w:pPr>
            <w:r>
              <w:rPr>
                <w:rFonts w:ascii="sans-serif" w:eastAsia="sans-serif" w:hAnsi="sans-serif" w:cs="sans-serif"/>
                <w:color w:val="000000"/>
                <w:sz w:val="20"/>
                <w:szCs w:val="20"/>
              </w:rPr>
              <w:t>%</w:t>
            </w:r>
          </w:p>
        </w:tc>
        <w:tc>
          <w:tcPr>
            <w:tcW w:w="0" w:type="auto"/>
            <w:shd w:val="clear" w:color="auto" w:fill="auto"/>
            <w:vAlign w:val="center"/>
          </w:tcPr>
          <w:p w14:paraId="3693FC57" w14:textId="77777777" w:rsidR="003734EC" w:rsidRDefault="003734EC">
            <w:pPr>
              <w:rPr>
                <w:rFonts w:ascii="宋体"/>
                <w:vanish/>
              </w:rPr>
            </w:pPr>
          </w:p>
        </w:tc>
        <w:tc>
          <w:tcPr>
            <w:tcW w:w="0" w:type="auto"/>
            <w:shd w:val="clear" w:color="auto" w:fill="auto"/>
            <w:vAlign w:val="center"/>
          </w:tcPr>
          <w:p w14:paraId="3693FC58" w14:textId="77777777" w:rsidR="003734EC" w:rsidRDefault="003734EC">
            <w:pPr>
              <w:rPr>
                <w:rFonts w:ascii="宋体"/>
                <w:vanish/>
              </w:rPr>
            </w:pPr>
          </w:p>
        </w:tc>
        <w:tc>
          <w:tcPr>
            <w:tcW w:w="0" w:type="auto"/>
            <w:shd w:val="clear" w:color="auto" w:fill="auto"/>
            <w:vAlign w:val="center"/>
          </w:tcPr>
          <w:p w14:paraId="3693FC59" w14:textId="77777777" w:rsidR="003734EC" w:rsidRDefault="003734EC">
            <w:pPr>
              <w:rPr>
                <w:rFonts w:ascii="宋体"/>
                <w:vanish/>
              </w:rPr>
            </w:pPr>
          </w:p>
        </w:tc>
        <w:tc>
          <w:tcPr>
            <w:tcW w:w="0" w:type="auto"/>
            <w:shd w:val="clear" w:color="auto" w:fill="auto"/>
            <w:vAlign w:val="center"/>
          </w:tcPr>
          <w:p w14:paraId="3693FC5A" w14:textId="77777777" w:rsidR="003734EC" w:rsidRDefault="003734EC">
            <w:pPr>
              <w:rPr>
                <w:rFonts w:ascii="宋体"/>
                <w:vanish/>
              </w:rPr>
            </w:pPr>
          </w:p>
        </w:tc>
        <w:tc>
          <w:tcPr>
            <w:tcW w:w="0" w:type="auto"/>
            <w:shd w:val="clear" w:color="auto" w:fill="auto"/>
            <w:vAlign w:val="center"/>
          </w:tcPr>
          <w:p w14:paraId="3693FC5B" w14:textId="77777777" w:rsidR="003734EC" w:rsidRDefault="003734EC">
            <w:pPr>
              <w:rPr>
                <w:rFonts w:ascii="宋体"/>
                <w:vanish/>
              </w:rPr>
            </w:pPr>
          </w:p>
        </w:tc>
        <w:tc>
          <w:tcPr>
            <w:tcW w:w="0" w:type="auto"/>
            <w:shd w:val="clear" w:color="auto" w:fill="auto"/>
            <w:vAlign w:val="center"/>
          </w:tcPr>
          <w:p w14:paraId="3693FC5C" w14:textId="77777777" w:rsidR="003734EC" w:rsidRDefault="003734EC">
            <w:pPr>
              <w:rPr>
                <w:rFonts w:ascii="宋体"/>
                <w:vanish/>
              </w:rPr>
            </w:pPr>
          </w:p>
        </w:tc>
        <w:tc>
          <w:tcPr>
            <w:tcW w:w="0" w:type="auto"/>
            <w:shd w:val="clear" w:color="auto" w:fill="auto"/>
            <w:vAlign w:val="center"/>
          </w:tcPr>
          <w:p w14:paraId="3693FC5D" w14:textId="77777777" w:rsidR="003734EC" w:rsidRDefault="003734EC">
            <w:pPr>
              <w:rPr>
                <w:rFonts w:ascii="宋体"/>
                <w:vanish/>
              </w:rPr>
            </w:pPr>
          </w:p>
        </w:tc>
        <w:tc>
          <w:tcPr>
            <w:tcW w:w="0" w:type="auto"/>
            <w:shd w:val="clear" w:color="auto" w:fill="auto"/>
            <w:vAlign w:val="center"/>
          </w:tcPr>
          <w:p w14:paraId="3693FC5E" w14:textId="77777777" w:rsidR="003734EC" w:rsidRDefault="003734EC">
            <w:pPr>
              <w:rPr>
                <w:rFonts w:ascii="宋体"/>
                <w:vanish/>
              </w:rPr>
            </w:pPr>
          </w:p>
        </w:tc>
        <w:tc>
          <w:tcPr>
            <w:tcW w:w="0" w:type="auto"/>
            <w:shd w:val="clear" w:color="auto" w:fill="auto"/>
            <w:vAlign w:val="center"/>
          </w:tcPr>
          <w:p w14:paraId="3693FC5F" w14:textId="77777777" w:rsidR="003734EC" w:rsidRDefault="003734EC">
            <w:pPr>
              <w:rPr>
                <w:rFonts w:ascii="宋体"/>
              </w:rPr>
            </w:pPr>
          </w:p>
        </w:tc>
        <w:tc>
          <w:tcPr>
            <w:tcW w:w="0" w:type="auto"/>
            <w:shd w:val="clear" w:color="auto" w:fill="auto"/>
            <w:vAlign w:val="center"/>
          </w:tcPr>
          <w:p w14:paraId="3693FC60" w14:textId="77777777" w:rsidR="003734EC" w:rsidRDefault="003734EC">
            <w:pPr>
              <w:rPr>
                <w:rFonts w:ascii="宋体"/>
              </w:rPr>
            </w:pPr>
          </w:p>
        </w:tc>
        <w:tc>
          <w:tcPr>
            <w:tcW w:w="0" w:type="auto"/>
            <w:shd w:val="clear" w:color="auto" w:fill="auto"/>
            <w:vAlign w:val="center"/>
          </w:tcPr>
          <w:p w14:paraId="3693FC61" w14:textId="77777777" w:rsidR="003734EC" w:rsidRDefault="003734EC">
            <w:pPr>
              <w:rPr>
                <w:rFonts w:ascii="宋体"/>
              </w:rPr>
            </w:pPr>
          </w:p>
        </w:tc>
        <w:tc>
          <w:tcPr>
            <w:tcW w:w="0" w:type="auto"/>
            <w:shd w:val="clear" w:color="auto" w:fill="auto"/>
            <w:vAlign w:val="center"/>
          </w:tcPr>
          <w:p w14:paraId="3693FC62" w14:textId="77777777" w:rsidR="003734EC" w:rsidRDefault="003734EC">
            <w:pPr>
              <w:rPr>
                <w:rFonts w:ascii="宋体"/>
              </w:rPr>
            </w:pPr>
          </w:p>
        </w:tc>
        <w:tc>
          <w:tcPr>
            <w:tcW w:w="0" w:type="auto"/>
            <w:shd w:val="clear" w:color="auto" w:fill="auto"/>
            <w:vAlign w:val="center"/>
          </w:tcPr>
          <w:p w14:paraId="3693FC63" w14:textId="77777777" w:rsidR="003734EC" w:rsidRDefault="003734EC">
            <w:pPr>
              <w:rPr>
                <w:rFonts w:ascii="宋体"/>
              </w:rPr>
            </w:pPr>
          </w:p>
        </w:tc>
        <w:tc>
          <w:tcPr>
            <w:tcW w:w="0" w:type="auto"/>
            <w:shd w:val="clear" w:color="auto" w:fill="auto"/>
            <w:vAlign w:val="center"/>
          </w:tcPr>
          <w:p w14:paraId="3693FC64" w14:textId="77777777" w:rsidR="003734EC" w:rsidRDefault="003734EC">
            <w:pPr>
              <w:rPr>
                <w:rFonts w:ascii="宋体"/>
              </w:rPr>
            </w:pPr>
          </w:p>
        </w:tc>
        <w:tc>
          <w:tcPr>
            <w:tcW w:w="0" w:type="auto"/>
            <w:shd w:val="clear" w:color="auto" w:fill="auto"/>
            <w:vAlign w:val="center"/>
          </w:tcPr>
          <w:p w14:paraId="3693FC65" w14:textId="77777777" w:rsidR="003734EC" w:rsidRDefault="003734EC">
            <w:pPr>
              <w:rPr>
                <w:rFonts w:ascii="宋体"/>
              </w:rPr>
            </w:pPr>
          </w:p>
        </w:tc>
        <w:tc>
          <w:tcPr>
            <w:tcW w:w="0" w:type="auto"/>
            <w:shd w:val="clear" w:color="auto" w:fill="auto"/>
            <w:vAlign w:val="center"/>
          </w:tcPr>
          <w:p w14:paraId="3693FC66" w14:textId="77777777" w:rsidR="003734EC" w:rsidRDefault="003734EC">
            <w:pPr>
              <w:rPr>
                <w:rFonts w:ascii="宋体"/>
              </w:rPr>
            </w:pPr>
          </w:p>
        </w:tc>
        <w:tc>
          <w:tcPr>
            <w:tcW w:w="0" w:type="auto"/>
            <w:shd w:val="clear" w:color="auto" w:fill="auto"/>
            <w:vAlign w:val="center"/>
          </w:tcPr>
          <w:p w14:paraId="3693FC67" w14:textId="77777777" w:rsidR="003734EC" w:rsidRDefault="003734EC">
            <w:pPr>
              <w:rPr>
                <w:rFonts w:ascii="宋体"/>
              </w:rPr>
            </w:pPr>
          </w:p>
        </w:tc>
        <w:tc>
          <w:tcPr>
            <w:tcW w:w="0" w:type="auto"/>
            <w:shd w:val="clear" w:color="auto" w:fill="auto"/>
            <w:vAlign w:val="center"/>
          </w:tcPr>
          <w:p w14:paraId="3693FC68" w14:textId="77777777" w:rsidR="003734EC" w:rsidRDefault="003734EC">
            <w:pPr>
              <w:rPr>
                <w:rFonts w:ascii="宋体"/>
              </w:rPr>
            </w:pPr>
          </w:p>
        </w:tc>
        <w:tc>
          <w:tcPr>
            <w:tcW w:w="0" w:type="auto"/>
            <w:shd w:val="clear" w:color="auto" w:fill="auto"/>
            <w:vAlign w:val="center"/>
          </w:tcPr>
          <w:p w14:paraId="3693FC69" w14:textId="77777777" w:rsidR="003734EC" w:rsidRDefault="003734EC">
            <w:pPr>
              <w:rPr>
                <w:rFonts w:ascii="宋体"/>
              </w:rPr>
            </w:pPr>
          </w:p>
        </w:tc>
        <w:tc>
          <w:tcPr>
            <w:tcW w:w="0" w:type="auto"/>
            <w:shd w:val="clear" w:color="auto" w:fill="auto"/>
            <w:vAlign w:val="center"/>
          </w:tcPr>
          <w:p w14:paraId="3693FC6A" w14:textId="77777777" w:rsidR="003734EC" w:rsidRDefault="003734EC">
            <w:pPr>
              <w:rPr>
                <w:rFonts w:ascii="宋体"/>
              </w:rPr>
            </w:pPr>
          </w:p>
        </w:tc>
        <w:tc>
          <w:tcPr>
            <w:tcW w:w="0" w:type="auto"/>
            <w:shd w:val="clear" w:color="auto" w:fill="auto"/>
            <w:vAlign w:val="center"/>
          </w:tcPr>
          <w:p w14:paraId="3693FC6B" w14:textId="77777777" w:rsidR="003734EC" w:rsidRDefault="003734EC">
            <w:pPr>
              <w:rPr>
                <w:rFonts w:ascii="宋体"/>
              </w:rPr>
            </w:pPr>
          </w:p>
        </w:tc>
        <w:tc>
          <w:tcPr>
            <w:tcW w:w="0" w:type="auto"/>
            <w:shd w:val="clear" w:color="auto" w:fill="auto"/>
            <w:vAlign w:val="center"/>
          </w:tcPr>
          <w:p w14:paraId="3693FC6C" w14:textId="77777777" w:rsidR="003734EC" w:rsidRDefault="003734EC">
            <w:pPr>
              <w:rPr>
                <w:rFonts w:ascii="宋体"/>
              </w:rPr>
            </w:pPr>
          </w:p>
        </w:tc>
        <w:tc>
          <w:tcPr>
            <w:tcW w:w="0" w:type="auto"/>
            <w:shd w:val="clear" w:color="auto" w:fill="auto"/>
            <w:vAlign w:val="center"/>
          </w:tcPr>
          <w:p w14:paraId="3693FC6D" w14:textId="77777777" w:rsidR="003734EC" w:rsidRDefault="003734EC">
            <w:pPr>
              <w:rPr>
                <w:rFonts w:ascii="宋体"/>
              </w:rPr>
            </w:pPr>
          </w:p>
        </w:tc>
      </w:tr>
    </w:tbl>
    <w:p w14:paraId="3693FC6F" w14:textId="77777777" w:rsidR="003734EC" w:rsidRDefault="000E364E">
      <w:pPr>
        <w:spacing w:before="360" w:after="120"/>
        <w:jc w:val="both"/>
      </w:pPr>
      <w:r>
        <w:rPr>
          <w:rFonts w:ascii="sans-serif" w:eastAsia="sans-serif" w:hAnsi="sans-serif" w:cs="sans-serif"/>
          <w:b/>
          <w:bCs/>
          <w:color w:val="000000"/>
          <w:sz w:val="20"/>
          <w:szCs w:val="20"/>
        </w:rPr>
        <w:t>Research and Development</w:t>
      </w:r>
    </w:p>
    <w:p w14:paraId="3693FC70" w14:textId="77777777" w:rsidR="003734EC" w:rsidRDefault="000E364E">
      <w:pPr>
        <w:spacing w:after="180"/>
        <w:jc w:val="both"/>
      </w:pPr>
      <w:r>
        <w:rPr>
          <w:rFonts w:ascii="sans-serif" w:eastAsia="sans-serif" w:hAnsi="sans-serif" w:cs="sans-serif"/>
          <w:color w:val="000000"/>
          <w:sz w:val="20"/>
          <w:szCs w:val="20"/>
        </w:rPr>
        <w:t>Research and developm</w:t>
      </w:r>
      <w:r>
        <w:rPr>
          <w:rFonts w:ascii="sans-serif" w:eastAsia="sans-serif" w:hAnsi="sans-serif" w:cs="sans-serif"/>
          <w:color w:val="000000"/>
          <w:sz w:val="20"/>
          <w:szCs w:val="20"/>
        </w:rPr>
        <w:t>ent expenses increased by 9% during the first quarter of fiscal year 2021, compared to the first quarter of fiscal year 2020, driven primarily by employee additions, increases in employee compensation and other related costs, including infrastructure costs</w:t>
      </w:r>
      <w:r>
        <w:rPr>
          <w:rFonts w:ascii="sans-serif" w:eastAsia="sans-serif" w:hAnsi="sans-serif" w:cs="sans-serif"/>
          <w:color w:val="000000"/>
          <w:sz w:val="20"/>
          <w:szCs w:val="20"/>
        </w:rPr>
        <w:t xml:space="preserve"> and stock-based compensation expense.</w:t>
      </w:r>
    </w:p>
    <w:p w14:paraId="3693FC71" w14:textId="77777777" w:rsidR="003734EC" w:rsidRDefault="000E364E">
      <w:pPr>
        <w:spacing w:after="180"/>
        <w:jc w:val="both"/>
      </w:pPr>
      <w:r>
        <w:rPr>
          <w:rFonts w:ascii="sans-serif" w:eastAsia="sans-serif" w:hAnsi="sans-serif" w:cs="sans-serif"/>
          <w:b/>
          <w:bCs/>
          <w:color w:val="000000"/>
          <w:sz w:val="20"/>
          <w:szCs w:val="20"/>
        </w:rPr>
        <w:t>Sales, General and Administrative</w:t>
      </w:r>
    </w:p>
    <w:p w14:paraId="3693FC72" w14:textId="77777777" w:rsidR="003734EC" w:rsidRDefault="000E364E">
      <w:pPr>
        <w:spacing w:after="180"/>
        <w:jc w:val="both"/>
      </w:pPr>
      <w:r>
        <w:rPr>
          <w:rFonts w:ascii="sans-serif" w:eastAsia="sans-serif" w:hAnsi="sans-serif" w:cs="sans-serif"/>
          <w:color w:val="000000"/>
          <w:sz w:val="20"/>
          <w:szCs w:val="20"/>
        </w:rPr>
        <w:t>Sales, general and administrative expenses increased by 11% during the first quarter of fiscal year 2021, compared to the first quarter of fiscal year 2020, driven primarily by employ</w:t>
      </w:r>
      <w:r>
        <w:rPr>
          <w:rFonts w:ascii="sans-serif" w:eastAsia="sans-serif" w:hAnsi="sans-serif" w:cs="sans-serif"/>
          <w:color w:val="000000"/>
          <w:sz w:val="20"/>
          <w:szCs w:val="20"/>
        </w:rPr>
        <w:t>ee additions, increases in employee compensation and other related costs, including infrastructure costs and stock-based compensation expense.</w:t>
      </w:r>
    </w:p>
    <w:p w14:paraId="3693FC73" w14:textId="77777777" w:rsidR="003734EC" w:rsidRDefault="000E364E">
      <w:pPr>
        <w:spacing w:before="240" w:after="60"/>
        <w:jc w:val="both"/>
      </w:pPr>
      <w:r>
        <w:rPr>
          <w:rFonts w:ascii="sans-serif" w:eastAsia="sans-serif" w:hAnsi="sans-serif" w:cs="sans-serif"/>
          <w:b/>
          <w:bCs/>
          <w:color w:val="76B900"/>
          <w:sz w:val="20"/>
          <w:szCs w:val="20"/>
        </w:rPr>
        <w:t>Other Income, Net</w:t>
      </w:r>
    </w:p>
    <w:p w14:paraId="3693FC74" w14:textId="77777777" w:rsidR="003734EC" w:rsidRDefault="000E364E">
      <w:pPr>
        <w:spacing w:before="120" w:after="120"/>
        <w:jc w:val="both"/>
      </w:pPr>
      <w:r>
        <w:rPr>
          <w:rFonts w:ascii="sans-serif" w:eastAsia="sans-serif" w:hAnsi="sans-serif" w:cs="sans-serif"/>
          <w:b/>
          <w:bCs/>
          <w:color w:val="000000"/>
          <w:sz w:val="20"/>
          <w:szCs w:val="20"/>
        </w:rPr>
        <w:t>Interest Income and Interest Expense</w:t>
      </w:r>
    </w:p>
    <w:p w14:paraId="3693FC75" w14:textId="77777777" w:rsidR="003734EC" w:rsidRDefault="000E364E">
      <w:pPr>
        <w:spacing w:after="180"/>
        <w:jc w:val="both"/>
      </w:pPr>
      <w:r>
        <w:rPr>
          <w:rFonts w:ascii="sans-serif" w:eastAsia="sans-serif" w:hAnsi="sans-serif" w:cs="sans-serif"/>
          <w:color w:val="000000"/>
          <w:sz w:val="20"/>
          <w:szCs w:val="20"/>
        </w:rPr>
        <w:t xml:space="preserve">Interest income consists of interest earned on cash, cash </w:t>
      </w:r>
      <w:r>
        <w:rPr>
          <w:rFonts w:ascii="sans-serif" w:eastAsia="sans-serif" w:hAnsi="sans-serif" w:cs="sans-serif"/>
          <w:color w:val="000000"/>
          <w:sz w:val="20"/>
          <w:szCs w:val="20"/>
        </w:rPr>
        <w:t>equivalents and marketable securities. Interest income was $31 million and $44 million during the first quarter of fiscal years 2021 and 2020, respectively. The decrease in interest income was primarily due to lower interest earned on our investments.</w:t>
      </w:r>
    </w:p>
    <w:p w14:paraId="3693FC76" w14:textId="77777777" w:rsidR="003734EC" w:rsidRDefault="000E364E">
      <w:pPr>
        <w:spacing w:after="180"/>
        <w:jc w:val="both"/>
      </w:pPr>
      <w:r>
        <w:rPr>
          <w:rFonts w:ascii="sans-serif" w:eastAsia="sans-serif" w:hAnsi="sans-serif" w:cs="sans-serif"/>
          <w:color w:val="000000"/>
          <w:sz w:val="20"/>
          <w:szCs w:val="20"/>
        </w:rPr>
        <w:t>Inte</w:t>
      </w:r>
      <w:r>
        <w:rPr>
          <w:rFonts w:ascii="sans-serif" w:eastAsia="sans-serif" w:hAnsi="sans-serif" w:cs="sans-serif"/>
          <w:color w:val="000000"/>
          <w:sz w:val="20"/>
          <w:szCs w:val="20"/>
        </w:rPr>
        <w:t>rest expense is primarily comprised of coupon interest and debt discount amortization related to our September 2016 Notes and March 2020 Notes. Interest expense was $25 million and $13 million during the first quarters of fiscal years 2021 and 2020, respec</w:t>
      </w:r>
      <w:r>
        <w:rPr>
          <w:rFonts w:ascii="sans-serif" w:eastAsia="sans-serif" w:hAnsi="sans-serif" w:cs="sans-serif"/>
          <w:color w:val="000000"/>
          <w:sz w:val="20"/>
          <w:szCs w:val="20"/>
        </w:rPr>
        <w:t>tively.</w:t>
      </w:r>
    </w:p>
    <w:p w14:paraId="3693FC77" w14:textId="77777777" w:rsidR="003734EC" w:rsidRDefault="000E364E">
      <w:pPr>
        <w:spacing w:before="240" w:after="60"/>
        <w:jc w:val="both"/>
      </w:pPr>
      <w:r>
        <w:rPr>
          <w:rFonts w:ascii="sans-serif" w:eastAsia="sans-serif" w:hAnsi="sans-serif" w:cs="sans-serif"/>
          <w:b/>
          <w:bCs/>
          <w:color w:val="76B900"/>
          <w:sz w:val="20"/>
          <w:szCs w:val="20"/>
        </w:rPr>
        <w:t>Income Taxes</w:t>
      </w:r>
    </w:p>
    <w:p w14:paraId="3693FC78" w14:textId="77777777" w:rsidR="003734EC" w:rsidRDefault="000E364E">
      <w:pPr>
        <w:spacing w:after="180"/>
        <w:jc w:val="both"/>
      </w:pPr>
      <w:r>
        <w:rPr>
          <w:rFonts w:ascii="sans-serif" w:eastAsia="sans-serif" w:hAnsi="sans-serif" w:cs="sans-serif"/>
          <w:color w:val="000000"/>
          <w:sz w:val="20"/>
          <w:szCs w:val="20"/>
        </w:rPr>
        <w:t>We recognized an income tax expense of $64 million for the first quarter of fiscal year 2021 and an income tax benefit of $5 million for the first quarter of fiscal year 2020. The income tax expense as a percentage of income before inc</w:t>
      </w:r>
      <w:r>
        <w:rPr>
          <w:rFonts w:ascii="sans-serif" w:eastAsia="sans-serif" w:hAnsi="sans-serif" w:cs="sans-serif"/>
          <w:color w:val="000000"/>
          <w:sz w:val="20"/>
          <w:szCs w:val="20"/>
        </w:rPr>
        <w:t xml:space="preserve">ome tax </w:t>
      </w:r>
    </w:p>
    <w:p w14:paraId="3693FC79" w14:textId="77777777" w:rsidR="003734EC" w:rsidRDefault="000E364E">
      <w:pPr>
        <w:spacing w:after="180"/>
        <w:jc w:val="center"/>
      </w:pPr>
      <w:r>
        <w:rPr>
          <w:rFonts w:ascii="sans-serif" w:eastAsia="sans-serif" w:hAnsi="sans-serif" w:cs="sans-serif"/>
          <w:color w:val="000000"/>
          <w:sz w:val="20"/>
          <w:szCs w:val="20"/>
        </w:rPr>
        <w:t>26</w:t>
      </w:r>
    </w:p>
    <w:p w14:paraId="3693FC7A" w14:textId="77777777" w:rsidR="003734EC" w:rsidRDefault="000E364E">
      <w:r>
        <w:pict w14:anchorId="3693FF63">
          <v:rect id="_x0000_i1049" style="width:415.3pt;height:1.5pt" o:hralign="center" o:hrstd="t" o:hr="t" fillcolor="#a0a0a0" stroked="f"/>
        </w:pict>
      </w:r>
    </w:p>
    <w:p w14:paraId="3693FC7B" w14:textId="77777777" w:rsidR="003734EC" w:rsidRDefault="003734EC">
      <w:pPr>
        <w:spacing w:after="180"/>
        <w:jc w:val="both"/>
      </w:pPr>
    </w:p>
    <w:p w14:paraId="3693FC7C" w14:textId="77777777" w:rsidR="003734EC" w:rsidRDefault="000E364E">
      <w:pPr>
        <w:spacing w:after="180"/>
        <w:jc w:val="both"/>
      </w:pPr>
      <w:r>
        <w:rPr>
          <w:rFonts w:ascii="sans-serif" w:eastAsia="sans-serif" w:hAnsi="sans-serif" w:cs="sans-serif"/>
          <w:color w:val="000000"/>
          <w:sz w:val="20"/>
          <w:szCs w:val="20"/>
        </w:rPr>
        <w:t>was 6.6% for the first quarter of fiscal year 2021 and income tax benefit as a percentage of income before income tax was 1.3% for the first quarter of fiscal year 2020.</w:t>
      </w:r>
    </w:p>
    <w:p w14:paraId="3693FC7D" w14:textId="77777777" w:rsidR="003734EC" w:rsidRDefault="000E364E">
      <w:pPr>
        <w:spacing w:after="180"/>
        <w:jc w:val="both"/>
      </w:pPr>
      <w:r>
        <w:rPr>
          <w:rFonts w:ascii="sans-serif" w:eastAsia="sans-serif" w:hAnsi="sans-serif" w:cs="sans-serif"/>
          <w:color w:val="000000"/>
          <w:sz w:val="20"/>
          <w:szCs w:val="20"/>
        </w:rPr>
        <w:t xml:space="preserve">The increase in our effective tax rate for the first quarter of fiscal </w:t>
      </w:r>
      <w:r>
        <w:rPr>
          <w:rFonts w:ascii="sans-serif" w:eastAsia="sans-serif" w:hAnsi="sans-serif" w:cs="sans-serif"/>
          <w:color w:val="000000"/>
          <w:sz w:val="20"/>
          <w:szCs w:val="20"/>
        </w:rPr>
        <w:t>year 2021 as compared to the first quarter of fiscal year 2020 was primarily due to a decrease of tax benefits from stock-based compensation.</w:t>
      </w:r>
    </w:p>
    <w:p w14:paraId="3693FC7E" w14:textId="77777777" w:rsidR="003734EC" w:rsidRDefault="000E364E">
      <w:pPr>
        <w:spacing w:after="180"/>
        <w:jc w:val="both"/>
      </w:pPr>
      <w:r>
        <w:rPr>
          <w:rFonts w:ascii="sans-serif" w:eastAsia="sans-serif" w:hAnsi="sans-serif" w:cs="sans-serif"/>
          <w:color w:val="000000"/>
          <w:sz w:val="20"/>
          <w:szCs w:val="20"/>
        </w:rPr>
        <w:t>Refer to Note 6 of the Notes to Condensed Consolidated Financial Statements for further information.</w:t>
      </w:r>
    </w:p>
    <w:p w14:paraId="3693FC7F" w14:textId="77777777" w:rsidR="003734EC" w:rsidRDefault="000E364E">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52"/>
        <w:gridCol w:w="5070"/>
        <w:gridCol w:w="53"/>
        <w:gridCol w:w="137"/>
        <w:gridCol w:w="1199"/>
        <w:gridCol w:w="81"/>
        <w:gridCol w:w="36"/>
        <w:gridCol w:w="36"/>
        <w:gridCol w:w="36"/>
        <w:gridCol w:w="137"/>
        <w:gridCol w:w="1177"/>
        <w:gridCol w:w="81"/>
        <w:gridCol w:w="36"/>
        <w:gridCol w:w="36"/>
        <w:gridCol w:w="36"/>
        <w:gridCol w:w="36"/>
        <w:gridCol w:w="36"/>
        <w:gridCol w:w="36"/>
      </w:tblGrid>
      <w:tr w:rsidR="003734EC" w14:paraId="3693FC8C" w14:textId="77777777">
        <w:trPr>
          <w:gridAfter w:val="6"/>
        </w:trPr>
        <w:tc>
          <w:tcPr>
            <w:tcW w:w="50" w:type="pct"/>
            <w:shd w:val="clear" w:color="auto" w:fill="auto"/>
            <w:vAlign w:val="center"/>
          </w:tcPr>
          <w:p w14:paraId="3693FC80" w14:textId="77777777" w:rsidR="003734EC" w:rsidRDefault="003734EC">
            <w:pPr>
              <w:rPr>
                <w:rFonts w:ascii="宋体"/>
              </w:rPr>
            </w:pPr>
          </w:p>
        </w:tc>
        <w:tc>
          <w:tcPr>
            <w:tcW w:w="3147" w:type="pct"/>
            <w:shd w:val="clear" w:color="auto" w:fill="auto"/>
            <w:vAlign w:val="center"/>
          </w:tcPr>
          <w:p w14:paraId="3693FC81" w14:textId="77777777" w:rsidR="003734EC" w:rsidRDefault="003734EC">
            <w:pPr>
              <w:rPr>
                <w:rFonts w:ascii="宋体"/>
              </w:rPr>
            </w:pPr>
          </w:p>
        </w:tc>
        <w:tc>
          <w:tcPr>
            <w:tcW w:w="50" w:type="pct"/>
            <w:shd w:val="clear" w:color="auto" w:fill="auto"/>
            <w:vAlign w:val="center"/>
          </w:tcPr>
          <w:p w14:paraId="3693FC82" w14:textId="77777777" w:rsidR="003734EC" w:rsidRDefault="003734EC">
            <w:pPr>
              <w:rPr>
                <w:rFonts w:ascii="宋体"/>
              </w:rPr>
            </w:pPr>
          </w:p>
        </w:tc>
        <w:tc>
          <w:tcPr>
            <w:tcW w:w="50" w:type="pct"/>
            <w:shd w:val="clear" w:color="auto" w:fill="auto"/>
            <w:vAlign w:val="center"/>
          </w:tcPr>
          <w:p w14:paraId="3693FC83" w14:textId="77777777" w:rsidR="003734EC" w:rsidRDefault="003734EC">
            <w:pPr>
              <w:rPr>
                <w:rFonts w:ascii="宋体"/>
              </w:rPr>
            </w:pPr>
          </w:p>
        </w:tc>
        <w:tc>
          <w:tcPr>
            <w:tcW w:w="757" w:type="pct"/>
            <w:shd w:val="clear" w:color="auto" w:fill="auto"/>
            <w:vAlign w:val="center"/>
          </w:tcPr>
          <w:p w14:paraId="3693FC84" w14:textId="77777777" w:rsidR="003734EC" w:rsidRDefault="003734EC">
            <w:pPr>
              <w:rPr>
                <w:rFonts w:ascii="宋体"/>
              </w:rPr>
            </w:pPr>
          </w:p>
        </w:tc>
        <w:tc>
          <w:tcPr>
            <w:tcW w:w="50" w:type="pct"/>
            <w:shd w:val="clear" w:color="auto" w:fill="auto"/>
            <w:vAlign w:val="center"/>
          </w:tcPr>
          <w:p w14:paraId="3693FC85" w14:textId="77777777" w:rsidR="003734EC" w:rsidRDefault="003734EC">
            <w:pPr>
              <w:rPr>
                <w:rFonts w:ascii="宋体"/>
              </w:rPr>
            </w:pPr>
          </w:p>
        </w:tc>
        <w:tc>
          <w:tcPr>
            <w:tcW w:w="5" w:type="pct"/>
            <w:shd w:val="clear" w:color="auto" w:fill="auto"/>
            <w:vAlign w:val="center"/>
          </w:tcPr>
          <w:p w14:paraId="3693FC86" w14:textId="77777777" w:rsidR="003734EC" w:rsidRDefault="003734EC">
            <w:pPr>
              <w:rPr>
                <w:rFonts w:ascii="宋体"/>
              </w:rPr>
            </w:pPr>
          </w:p>
        </w:tc>
        <w:tc>
          <w:tcPr>
            <w:tcW w:w="26" w:type="pct"/>
            <w:shd w:val="clear" w:color="auto" w:fill="auto"/>
            <w:vAlign w:val="center"/>
          </w:tcPr>
          <w:p w14:paraId="3693FC87" w14:textId="77777777" w:rsidR="003734EC" w:rsidRDefault="003734EC">
            <w:pPr>
              <w:rPr>
                <w:rFonts w:ascii="宋体"/>
              </w:rPr>
            </w:pPr>
          </w:p>
        </w:tc>
        <w:tc>
          <w:tcPr>
            <w:tcW w:w="5" w:type="pct"/>
            <w:shd w:val="clear" w:color="auto" w:fill="auto"/>
            <w:vAlign w:val="center"/>
          </w:tcPr>
          <w:p w14:paraId="3693FC88" w14:textId="77777777" w:rsidR="003734EC" w:rsidRDefault="003734EC">
            <w:pPr>
              <w:rPr>
                <w:rFonts w:ascii="宋体"/>
              </w:rPr>
            </w:pPr>
          </w:p>
        </w:tc>
        <w:tc>
          <w:tcPr>
            <w:tcW w:w="50" w:type="pct"/>
            <w:shd w:val="clear" w:color="auto" w:fill="auto"/>
            <w:vAlign w:val="center"/>
          </w:tcPr>
          <w:p w14:paraId="3693FC89" w14:textId="77777777" w:rsidR="003734EC" w:rsidRDefault="003734EC">
            <w:pPr>
              <w:rPr>
                <w:rFonts w:ascii="宋体"/>
              </w:rPr>
            </w:pPr>
          </w:p>
        </w:tc>
        <w:tc>
          <w:tcPr>
            <w:tcW w:w="757" w:type="pct"/>
            <w:shd w:val="clear" w:color="auto" w:fill="auto"/>
            <w:vAlign w:val="center"/>
          </w:tcPr>
          <w:p w14:paraId="3693FC8A" w14:textId="77777777" w:rsidR="003734EC" w:rsidRDefault="003734EC">
            <w:pPr>
              <w:rPr>
                <w:rFonts w:ascii="宋体"/>
              </w:rPr>
            </w:pPr>
          </w:p>
        </w:tc>
        <w:tc>
          <w:tcPr>
            <w:tcW w:w="50" w:type="pct"/>
            <w:shd w:val="clear" w:color="auto" w:fill="auto"/>
            <w:vAlign w:val="center"/>
          </w:tcPr>
          <w:p w14:paraId="3693FC8B" w14:textId="77777777" w:rsidR="003734EC" w:rsidRDefault="003734EC">
            <w:pPr>
              <w:rPr>
                <w:rFonts w:ascii="宋体"/>
              </w:rPr>
            </w:pPr>
          </w:p>
        </w:tc>
      </w:tr>
      <w:tr w:rsidR="003734EC" w14:paraId="3693FC91" w14:textId="77777777">
        <w:trPr>
          <w:gridAfter w:val="6"/>
        </w:trPr>
        <w:tc>
          <w:tcPr>
            <w:tcW w:w="0" w:type="auto"/>
            <w:gridSpan w:val="3"/>
            <w:shd w:val="clear" w:color="auto" w:fill="auto"/>
            <w:tcMar>
              <w:top w:w="40" w:type="dxa"/>
              <w:left w:w="20" w:type="dxa"/>
              <w:bottom w:w="40" w:type="dxa"/>
              <w:right w:w="20" w:type="dxa"/>
            </w:tcMar>
            <w:vAlign w:val="bottom"/>
          </w:tcPr>
          <w:p w14:paraId="3693FC8D" w14:textId="77777777" w:rsidR="003734EC" w:rsidRDefault="000E364E">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3693FC8E"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tcMar>
              <w:left w:w="20" w:type="dxa"/>
              <w:right w:w="20" w:type="dxa"/>
            </w:tcMar>
            <w:vAlign w:val="bottom"/>
          </w:tcPr>
          <w:p w14:paraId="3693FC8F" w14:textId="77777777" w:rsidR="003734EC" w:rsidRDefault="003734E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93FC90" w14:textId="77777777" w:rsidR="003734EC" w:rsidRDefault="000E364E">
            <w:pPr>
              <w:jc w:val="center"/>
              <w:textAlignment w:val="bottom"/>
            </w:pPr>
            <w:r>
              <w:rPr>
                <w:rFonts w:ascii="sans-serif" w:eastAsia="sans-serif" w:hAnsi="sans-serif" w:cs="sans-serif"/>
                <w:b/>
                <w:bCs/>
                <w:color w:val="000000"/>
                <w:sz w:val="20"/>
                <w:szCs w:val="20"/>
              </w:rPr>
              <w:t>January 26, 2020</w:t>
            </w:r>
          </w:p>
        </w:tc>
      </w:tr>
      <w:tr w:rsidR="003734EC" w14:paraId="3693FC96" w14:textId="77777777">
        <w:tc>
          <w:tcPr>
            <w:tcW w:w="0" w:type="auto"/>
            <w:gridSpan w:val="3"/>
            <w:shd w:val="clear" w:color="auto" w:fill="auto"/>
            <w:tcMar>
              <w:top w:w="40" w:type="dxa"/>
              <w:left w:w="20" w:type="dxa"/>
              <w:bottom w:w="40" w:type="dxa"/>
              <w:right w:w="20" w:type="dxa"/>
            </w:tcMar>
            <w:vAlign w:val="bottom"/>
          </w:tcPr>
          <w:p w14:paraId="3693FC92" w14:textId="77777777" w:rsidR="003734EC" w:rsidRDefault="000E364E">
            <w:pPr>
              <w:textAlignment w:val="bottom"/>
            </w:pPr>
            <w:r>
              <w:rPr>
                <w:rFonts w:ascii="sans-serif" w:eastAsia="sans-serif" w:hAnsi="sans-serif" w:cs="sans-serif"/>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C93"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C94" w14:textId="77777777" w:rsidR="003734EC" w:rsidRDefault="003734EC">
            <w:pPr>
              <w:rPr>
                <w:rFonts w:ascii="宋体"/>
                <w:vanish/>
              </w:rPr>
            </w:pPr>
          </w:p>
        </w:tc>
        <w:tc>
          <w:tcPr>
            <w:tcW w:w="0" w:type="auto"/>
            <w:gridSpan w:val="3"/>
            <w:shd w:val="clear" w:color="auto" w:fill="auto"/>
            <w:vAlign w:val="center"/>
          </w:tcPr>
          <w:p w14:paraId="3693FC95" w14:textId="77777777" w:rsidR="003734EC" w:rsidRDefault="003734EC">
            <w:pPr>
              <w:rPr>
                <w:rFonts w:ascii="宋体"/>
                <w:vanish/>
              </w:rPr>
            </w:pPr>
          </w:p>
        </w:tc>
      </w:tr>
      <w:tr w:rsidR="003734EC" w14:paraId="3693FCA5" w14:textId="77777777">
        <w:tc>
          <w:tcPr>
            <w:tcW w:w="0" w:type="auto"/>
            <w:gridSpan w:val="3"/>
            <w:shd w:val="clear" w:color="auto" w:fill="E2EFD9"/>
            <w:tcMar>
              <w:top w:w="40" w:type="dxa"/>
              <w:left w:w="20" w:type="dxa"/>
              <w:bottom w:w="40" w:type="dxa"/>
              <w:right w:w="20" w:type="dxa"/>
            </w:tcMar>
            <w:vAlign w:val="bottom"/>
          </w:tcPr>
          <w:p w14:paraId="3693FC97" w14:textId="77777777" w:rsidR="003734EC" w:rsidRDefault="000E364E">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tcMar>
            <w:vAlign w:val="bottom"/>
          </w:tcPr>
          <w:p w14:paraId="3693FC9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C99" w14:textId="77777777" w:rsidR="003734EC" w:rsidRDefault="000E364E">
            <w:pPr>
              <w:jc w:val="right"/>
              <w:textAlignment w:val="bottom"/>
            </w:pPr>
            <w:r>
              <w:rPr>
                <w:rFonts w:ascii="sans-serif" w:eastAsia="sans-serif" w:hAnsi="sans-serif" w:cs="sans-serif"/>
                <w:color w:val="000000"/>
                <w:sz w:val="20"/>
                <w:szCs w:val="20"/>
              </w:rPr>
              <w:t>15,494 </w:t>
            </w:r>
          </w:p>
        </w:tc>
        <w:tc>
          <w:tcPr>
            <w:tcW w:w="0" w:type="auto"/>
            <w:shd w:val="clear" w:color="auto" w:fill="E2EFD9"/>
            <w:tcMar>
              <w:top w:w="40" w:type="dxa"/>
              <w:bottom w:w="40" w:type="dxa"/>
              <w:right w:w="20" w:type="dxa"/>
            </w:tcMar>
            <w:vAlign w:val="bottom"/>
          </w:tcPr>
          <w:p w14:paraId="3693FC9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9B"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C9C"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C9D" w14:textId="77777777" w:rsidR="003734EC" w:rsidRDefault="000E364E">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bottom w:w="40" w:type="dxa"/>
              <w:right w:w="20" w:type="dxa"/>
            </w:tcMar>
            <w:vAlign w:val="bottom"/>
          </w:tcPr>
          <w:p w14:paraId="3693FC9E"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C9F" w14:textId="77777777" w:rsidR="003734EC" w:rsidRDefault="003734EC">
            <w:pPr>
              <w:rPr>
                <w:rFonts w:ascii="宋体"/>
              </w:rPr>
            </w:pPr>
          </w:p>
        </w:tc>
        <w:tc>
          <w:tcPr>
            <w:tcW w:w="0" w:type="auto"/>
            <w:shd w:val="clear" w:color="auto" w:fill="auto"/>
            <w:vAlign w:val="center"/>
          </w:tcPr>
          <w:p w14:paraId="3693FCA0" w14:textId="77777777" w:rsidR="003734EC" w:rsidRDefault="003734EC">
            <w:pPr>
              <w:rPr>
                <w:rFonts w:ascii="宋体"/>
              </w:rPr>
            </w:pPr>
          </w:p>
        </w:tc>
        <w:tc>
          <w:tcPr>
            <w:tcW w:w="0" w:type="auto"/>
            <w:shd w:val="clear" w:color="auto" w:fill="auto"/>
            <w:vAlign w:val="center"/>
          </w:tcPr>
          <w:p w14:paraId="3693FCA1" w14:textId="77777777" w:rsidR="003734EC" w:rsidRDefault="003734EC">
            <w:pPr>
              <w:rPr>
                <w:rFonts w:ascii="宋体"/>
              </w:rPr>
            </w:pPr>
          </w:p>
        </w:tc>
        <w:tc>
          <w:tcPr>
            <w:tcW w:w="0" w:type="auto"/>
            <w:shd w:val="clear" w:color="auto" w:fill="auto"/>
            <w:vAlign w:val="center"/>
          </w:tcPr>
          <w:p w14:paraId="3693FCA2" w14:textId="77777777" w:rsidR="003734EC" w:rsidRDefault="003734EC">
            <w:pPr>
              <w:rPr>
                <w:rFonts w:ascii="宋体"/>
              </w:rPr>
            </w:pPr>
          </w:p>
        </w:tc>
        <w:tc>
          <w:tcPr>
            <w:tcW w:w="0" w:type="auto"/>
            <w:shd w:val="clear" w:color="auto" w:fill="auto"/>
            <w:vAlign w:val="center"/>
          </w:tcPr>
          <w:p w14:paraId="3693FCA3" w14:textId="77777777" w:rsidR="003734EC" w:rsidRDefault="003734EC">
            <w:pPr>
              <w:rPr>
                <w:rFonts w:ascii="宋体"/>
              </w:rPr>
            </w:pPr>
          </w:p>
        </w:tc>
        <w:tc>
          <w:tcPr>
            <w:tcW w:w="0" w:type="auto"/>
            <w:shd w:val="clear" w:color="auto" w:fill="auto"/>
            <w:vAlign w:val="center"/>
          </w:tcPr>
          <w:p w14:paraId="3693FCA4" w14:textId="77777777" w:rsidR="003734EC" w:rsidRDefault="003734EC">
            <w:pPr>
              <w:rPr>
                <w:rFonts w:ascii="宋体"/>
              </w:rPr>
            </w:pPr>
          </w:p>
        </w:tc>
      </w:tr>
      <w:tr w:rsidR="003734EC" w14:paraId="3693FCB2" w14:textId="77777777">
        <w:tc>
          <w:tcPr>
            <w:tcW w:w="0" w:type="auto"/>
            <w:gridSpan w:val="3"/>
            <w:shd w:val="clear" w:color="auto" w:fill="FFFFFF"/>
            <w:tcMar>
              <w:top w:w="40" w:type="dxa"/>
              <w:left w:w="20" w:type="dxa"/>
              <w:bottom w:w="40" w:type="dxa"/>
              <w:right w:w="20" w:type="dxa"/>
            </w:tcMar>
            <w:vAlign w:val="bottom"/>
          </w:tcPr>
          <w:p w14:paraId="3693FCA6" w14:textId="77777777" w:rsidR="003734EC" w:rsidRDefault="000E364E">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3693FCA7" w14:textId="77777777" w:rsidR="003734EC" w:rsidRDefault="000E364E">
            <w:pPr>
              <w:jc w:val="right"/>
              <w:textAlignment w:val="bottom"/>
            </w:pPr>
            <w:r>
              <w:rPr>
                <w:rFonts w:ascii="sans-serif" w:eastAsia="sans-serif" w:hAnsi="sans-serif" w:cs="sans-serif"/>
                <w:color w:val="000000"/>
                <w:sz w:val="20"/>
                <w:szCs w:val="20"/>
              </w:rPr>
              <w:t>860 </w:t>
            </w:r>
          </w:p>
        </w:tc>
        <w:tc>
          <w:tcPr>
            <w:tcW w:w="0" w:type="auto"/>
            <w:shd w:val="clear" w:color="auto" w:fill="FFFFFF"/>
            <w:tcMar>
              <w:top w:w="40" w:type="dxa"/>
              <w:bottom w:w="40" w:type="dxa"/>
              <w:right w:w="20" w:type="dxa"/>
            </w:tcMar>
            <w:vAlign w:val="bottom"/>
          </w:tcPr>
          <w:p w14:paraId="3693FCA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CA9" w14:textId="77777777" w:rsidR="003734EC" w:rsidRDefault="003734EC">
            <w:pPr>
              <w:rPr>
                <w:rFonts w:ascii="宋体"/>
              </w:rPr>
            </w:pPr>
          </w:p>
        </w:tc>
        <w:tc>
          <w:tcPr>
            <w:tcW w:w="0" w:type="auto"/>
            <w:gridSpan w:val="2"/>
            <w:shd w:val="clear" w:color="auto" w:fill="FFFFFF"/>
            <w:tcMar>
              <w:top w:w="40" w:type="dxa"/>
              <w:left w:w="20" w:type="dxa"/>
              <w:bottom w:w="40" w:type="dxa"/>
              <w:right w:w="0" w:type="dxa"/>
            </w:tcMar>
            <w:vAlign w:val="bottom"/>
          </w:tcPr>
          <w:p w14:paraId="3693FCAA" w14:textId="77777777" w:rsidR="003734EC" w:rsidRDefault="000E364E">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3693FCA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CAC" w14:textId="77777777" w:rsidR="003734EC" w:rsidRDefault="003734EC">
            <w:pPr>
              <w:rPr>
                <w:rFonts w:ascii="宋体"/>
              </w:rPr>
            </w:pPr>
          </w:p>
        </w:tc>
        <w:tc>
          <w:tcPr>
            <w:tcW w:w="0" w:type="auto"/>
            <w:shd w:val="clear" w:color="auto" w:fill="auto"/>
            <w:vAlign w:val="center"/>
          </w:tcPr>
          <w:p w14:paraId="3693FCAD" w14:textId="77777777" w:rsidR="003734EC" w:rsidRDefault="003734EC">
            <w:pPr>
              <w:rPr>
                <w:rFonts w:ascii="宋体"/>
              </w:rPr>
            </w:pPr>
          </w:p>
        </w:tc>
        <w:tc>
          <w:tcPr>
            <w:tcW w:w="0" w:type="auto"/>
            <w:shd w:val="clear" w:color="auto" w:fill="auto"/>
            <w:vAlign w:val="center"/>
          </w:tcPr>
          <w:p w14:paraId="3693FCAE" w14:textId="77777777" w:rsidR="003734EC" w:rsidRDefault="003734EC">
            <w:pPr>
              <w:rPr>
                <w:rFonts w:ascii="宋体"/>
              </w:rPr>
            </w:pPr>
          </w:p>
        </w:tc>
        <w:tc>
          <w:tcPr>
            <w:tcW w:w="0" w:type="auto"/>
            <w:shd w:val="clear" w:color="auto" w:fill="auto"/>
            <w:vAlign w:val="center"/>
          </w:tcPr>
          <w:p w14:paraId="3693FCAF" w14:textId="77777777" w:rsidR="003734EC" w:rsidRDefault="003734EC">
            <w:pPr>
              <w:rPr>
                <w:rFonts w:ascii="宋体"/>
              </w:rPr>
            </w:pPr>
          </w:p>
        </w:tc>
        <w:tc>
          <w:tcPr>
            <w:tcW w:w="0" w:type="auto"/>
            <w:shd w:val="clear" w:color="auto" w:fill="auto"/>
            <w:vAlign w:val="center"/>
          </w:tcPr>
          <w:p w14:paraId="3693FCB0" w14:textId="77777777" w:rsidR="003734EC" w:rsidRDefault="003734EC">
            <w:pPr>
              <w:rPr>
                <w:rFonts w:ascii="宋体"/>
              </w:rPr>
            </w:pPr>
          </w:p>
        </w:tc>
        <w:tc>
          <w:tcPr>
            <w:tcW w:w="0" w:type="auto"/>
            <w:shd w:val="clear" w:color="auto" w:fill="auto"/>
            <w:vAlign w:val="center"/>
          </w:tcPr>
          <w:p w14:paraId="3693FCB1" w14:textId="77777777" w:rsidR="003734EC" w:rsidRDefault="003734EC">
            <w:pPr>
              <w:rPr>
                <w:rFonts w:ascii="宋体"/>
              </w:rPr>
            </w:pPr>
          </w:p>
        </w:tc>
      </w:tr>
      <w:tr w:rsidR="003734EC" w14:paraId="3693FCC1" w14:textId="77777777">
        <w:tc>
          <w:tcPr>
            <w:tcW w:w="0" w:type="auto"/>
            <w:gridSpan w:val="3"/>
            <w:shd w:val="clear" w:color="auto" w:fill="E2EFD9"/>
            <w:tcMar>
              <w:top w:w="40" w:type="dxa"/>
              <w:left w:w="20" w:type="dxa"/>
              <w:bottom w:w="40" w:type="dxa"/>
              <w:right w:w="20" w:type="dxa"/>
            </w:tcMar>
            <w:vAlign w:val="bottom"/>
          </w:tcPr>
          <w:p w14:paraId="3693FCB3" w14:textId="77777777" w:rsidR="003734EC" w:rsidRDefault="000E364E">
            <w:pPr>
              <w:textAlignment w:val="bottom"/>
            </w:pPr>
            <w:r>
              <w:rPr>
                <w:rFonts w:ascii="sans-serif" w:eastAsia="sans-serif" w:hAnsi="sans-serif" w:cs="sans-serif"/>
                <w:color w:val="000000"/>
                <w:sz w:val="20"/>
                <w:szCs w:val="20"/>
              </w:rPr>
              <w:t xml:space="preserve">Cash, cash equivalents and marketable </w:t>
            </w:r>
            <w:r>
              <w:rPr>
                <w:rFonts w:ascii="sans-serif" w:eastAsia="sans-serif" w:hAnsi="sans-serif" w:cs="sans-serif"/>
                <w:color w:val="000000"/>
                <w:sz w:val="20"/>
                <w:szCs w:val="20"/>
              </w:rPr>
              <w:t>securities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CB4"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CB5" w14:textId="77777777" w:rsidR="003734EC" w:rsidRDefault="000E364E">
            <w:pPr>
              <w:jc w:val="right"/>
              <w:textAlignment w:val="bottom"/>
            </w:pPr>
            <w:r>
              <w:rPr>
                <w:rFonts w:ascii="sans-serif" w:eastAsia="sans-serif" w:hAnsi="sans-serif" w:cs="sans-serif"/>
                <w:color w:val="000000"/>
                <w:sz w:val="20"/>
                <w:szCs w:val="20"/>
              </w:rPr>
              <w:t>16,354 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B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B7" w14:textId="77777777" w:rsidR="003734EC" w:rsidRDefault="003734EC">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3693FCB8" w14:textId="77777777" w:rsidR="003734EC" w:rsidRDefault="000E364E">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3693FCB9" w14:textId="77777777" w:rsidR="003734EC" w:rsidRDefault="000E364E">
            <w:pPr>
              <w:jc w:val="right"/>
              <w:textAlignment w:val="bottom"/>
            </w:pPr>
            <w:r>
              <w:rPr>
                <w:rFonts w:ascii="sans-serif" w:eastAsia="sans-serif" w:hAnsi="sans-serif" w:cs="sans-serif"/>
                <w:color w:val="000000"/>
                <w:sz w:val="20"/>
                <w:szCs w:val="20"/>
              </w:rPr>
              <w:t>10,897 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3693FCB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CBB" w14:textId="77777777" w:rsidR="003734EC" w:rsidRDefault="003734EC">
            <w:pPr>
              <w:rPr>
                <w:rFonts w:ascii="宋体"/>
              </w:rPr>
            </w:pPr>
          </w:p>
        </w:tc>
        <w:tc>
          <w:tcPr>
            <w:tcW w:w="0" w:type="auto"/>
            <w:shd w:val="clear" w:color="auto" w:fill="auto"/>
            <w:vAlign w:val="center"/>
          </w:tcPr>
          <w:p w14:paraId="3693FCBC" w14:textId="77777777" w:rsidR="003734EC" w:rsidRDefault="003734EC">
            <w:pPr>
              <w:rPr>
                <w:rFonts w:ascii="宋体"/>
              </w:rPr>
            </w:pPr>
          </w:p>
        </w:tc>
        <w:tc>
          <w:tcPr>
            <w:tcW w:w="0" w:type="auto"/>
            <w:shd w:val="clear" w:color="auto" w:fill="auto"/>
            <w:vAlign w:val="center"/>
          </w:tcPr>
          <w:p w14:paraId="3693FCBD" w14:textId="77777777" w:rsidR="003734EC" w:rsidRDefault="003734EC">
            <w:pPr>
              <w:rPr>
                <w:rFonts w:ascii="宋体"/>
              </w:rPr>
            </w:pPr>
          </w:p>
        </w:tc>
        <w:tc>
          <w:tcPr>
            <w:tcW w:w="0" w:type="auto"/>
            <w:shd w:val="clear" w:color="auto" w:fill="auto"/>
            <w:vAlign w:val="center"/>
          </w:tcPr>
          <w:p w14:paraId="3693FCBE" w14:textId="77777777" w:rsidR="003734EC" w:rsidRDefault="003734EC">
            <w:pPr>
              <w:rPr>
                <w:rFonts w:ascii="宋体"/>
              </w:rPr>
            </w:pPr>
          </w:p>
        </w:tc>
        <w:tc>
          <w:tcPr>
            <w:tcW w:w="0" w:type="auto"/>
            <w:shd w:val="clear" w:color="auto" w:fill="auto"/>
            <w:vAlign w:val="center"/>
          </w:tcPr>
          <w:p w14:paraId="3693FCBF" w14:textId="77777777" w:rsidR="003734EC" w:rsidRDefault="003734EC">
            <w:pPr>
              <w:rPr>
                <w:rFonts w:ascii="宋体"/>
              </w:rPr>
            </w:pPr>
          </w:p>
        </w:tc>
        <w:tc>
          <w:tcPr>
            <w:tcW w:w="0" w:type="auto"/>
            <w:shd w:val="clear" w:color="auto" w:fill="auto"/>
            <w:vAlign w:val="center"/>
          </w:tcPr>
          <w:p w14:paraId="3693FCC0" w14:textId="77777777" w:rsidR="003734EC" w:rsidRDefault="003734EC">
            <w:pPr>
              <w:rPr>
                <w:rFonts w:ascii="宋体"/>
              </w:rPr>
            </w:pPr>
          </w:p>
        </w:tc>
      </w:tr>
    </w:tbl>
    <w:p w14:paraId="3693FCC2" w14:textId="77777777" w:rsidR="003734EC" w:rsidRDefault="003734EC">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56"/>
        <w:gridCol w:w="5132"/>
        <w:gridCol w:w="57"/>
        <w:gridCol w:w="137"/>
        <w:gridCol w:w="1177"/>
        <w:gridCol w:w="81"/>
        <w:gridCol w:w="36"/>
        <w:gridCol w:w="36"/>
        <w:gridCol w:w="36"/>
        <w:gridCol w:w="137"/>
        <w:gridCol w:w="1142"/>
        <w:gridCol w:w="81"/>
        <w:gridCol w:w="36"/>
        <w:gridCol w:w="36"/>
        <w:gridCol w:w="36"/>
        <w:gridCol w:w="36"/>
        <w:gridCol w:w="36"/>
        <w:gridCol w:w="36"/>
      </w:tblGrid>
      <w:tr w:rsidR="003734EC" w14:paraId="3693FCCF" w14:textId="77777777">
        <w:trPr>
          <w:gridAfter w:val="6"/>
        </w:trPr>
        <w:tc>
          <w:tcPr>
            <w:tcW w:w="50" w:type="pct"/>
            <w:shd w:val="clear" w:color="auto" w:fill="auto"/>
            <w:vAlign w:val="center"/>
          </w:tcPr>
          <w:p w14:paraId="3693FCC3" w14:textId="77777777" w:rsidR="003734EC" w:rsidRDefault="003734EC">
            <w:pPr>
              <w:rPr>
                <w:rFonts w:ascii="宋体"/>
              </w:rPr>
            </w:pPr>
          </w:p>
        </w:tc>
        <w:tc>
          <w:tcPr>
            <w:tcW w:w="3179" w:type="pct"/>
            <w:shd w:val="clear" w:color="auto" w:fill="auto"/>
            <w:vAlign w:val="center"/>
          </w:tcPr>
          <w:p w14:paraId="3693FCC4" w14:textId="77777777" w:rsidR="003734EC" w:rsidRDefault="003734EC">
            <w:pPr>
              <w:rPr>
                <w:rFonts w:ascii="宋体"/>
              </w:rPr>
            </w:pPr>
          </w:p>
        </w:tc>
        <w:tc>
          <w:tcPr>
            <w:tcW w:w="50" w:type="pct"/>
            <w:shd w:val="clear" w:color="auto" w:fill="auto"/>
            <w:vAlign w:val="center"/>
          </w:tcPr>
          <w:p w14:paraId="3693FCC5" w14:textId="77777777" w:rsidR="003734EC" w:rsidRDefault="003734EC">
            <w:pPr>
              <w:rPr>
                <w:rFonts w:ascii="宋体"/>
              </w:rPr>
            </w:pPr>
          </w:p>
        </w:tc>
        <w:tc>
          <w:tcPr>
            <w:tcW w:w="50" w:type="pct"/>
            <w:shd w:val="clear" w:color="auto" w:fill="auto"/>
            <w:vAlign w:val="center"/>
          </w:tcPr>
          <w:p w14:paraId="3693FCC6" w14:textId="77777777" w:rsidR="003734EC" w:rsidRDefault="003734EC">
            <w:pPr>
              <w:rPr>
                <w:rFonts w:ascii="宋体"/>
              </w:rPr>
            </w:pPr>
          </w:p>
        </w:tc>
        <w:tc>
          <w:tcPr>
            <w:tcW w:w="741" w:type="pct"/>
            <w:shd w:val="clear" w:color="auto" w:fill="auto"/>
            <w:vAlign w:val="center"/>
          </w:tcPr>
          <w:p w14:paraId="3693FCC7" w14:textId="77777777" w:rsidR="003734EC" w:rsidRDefault="003734EC">
            <w:pPr>
              <w:rPr>
                <w:rFonts w:ascii="宋体"/>
              </w:rPr>
            </w:pPr>
          </w:p>
        </w:tc>
        <w:tc>
          <w:tcPr>
            <w:tcW w:w="50" w:type="pct"/>
            <w:shd w:val="clear" w:color="auto" w:fill="auto"/>
            <w:vAlign w:val="center"/>
          </w:tcPr>
          <w:p w14:paraId="3693FCC8" w14:textId="77777777" w:rsidR="003734EC" w:rsidRDefault="003734EC">
            <w:pPr>
              <w:rPr>
                <w:rFonts w:ascii="宋体"/>
              </w:rPr>
            </w:pPr>
          </w:p>
        </w:tc>
        <w:tc>
          <w:tcPr>
            <w:tcW w:w="5" w:type="pct"/>
            <w:shd w:val="clear" w:color="auto" w:fill="auto"/>
            <w:vAlign w:val="center"/>
          </w:tcPr>
          <w:p w14:paraId="3693FCC9" w14:textId="77777777" w:rsidR="003734EC" w:rsidRDefault="003734EC">
            <w:pPr>
              <w:rPr>
                <w:rFonts w:ascii="宋体"/>
              </w:rPr>
            </w:pPr>
          </w:p>
        </w:tc>
        <w:tc>
          <w:tcPr>
            <w:tcW w:w="26" w:type="pct"/>
            <w:shd w:val="clear" w:color="auto" w:fill="auto"/>
            <w:vAlign w:val="center"/>
          </w:tcPr>
          <w:p w14:paraId="3693FCCA" w14:textId="77777777" w:rsidR="003734EC" w:rsidRDefault="003734EC">
            <w:pPr>
              <w:rPr>
                <w:rFonts w:ascii="宋体"/>
              </w:rPr>
            </w:pPr>
          </w:p>
        </w:tc>
        <w:tc>
          <w:tcPr>
            <w:tcW w:w="5" w:type="pct"/>
            <w:shd w:val="clear" w:color="auto" w:fill="auto"/>
            <w:vAlign w:val="center"/>
          </w:tcPr>
          <w:p w14:paraId="3693FCCB" w14:textId="77777777" w:rsidR="003734EC" w:rsidRDefault="003734EC">
            <w:pPr>
              <w:rPr>
                <w:rFonts w:ascii="宋体"/>
              </w:rPr>
            </w:pPr>
          </w:p>
        </w:tc>
        <w:tc>
          <w:tcPr>
            <w:tcW w:w="50" w:type="pct"/>
            <w:shd w:val="clear" w:color="auto" w:fill="auto"/>
            <w:vAlign w:val="center"/>
          </w:tcPr>
          <w:p w14:paraId="3693FCCC" w14:textId="77777777" w:rsidR="003734EC" w:rsidRDefault="003734EC">
            <w:pPr>
              <w:rPr>
                <w:rFonts w:ascii="宋体"/>
              </w:rPr>
            </w:pPr>
          </w:p>
        </w:tc>
        <w:tc>
          <w:tcPr>
            <w:tcW w:w="741" w:type="pct"/>
            <w:shd w:val="clear" w:color="auto" w:fill="auto"/>
            <w:vAlign w:val="center"/>
          </w:tcPr>
          <w:p w14:paraId="3693FCCD" w14:textId="77777777" w:rsidR="003734EC" w:rsidRDefault="003734EC">
            <w:pPr>
              <w:rPr>
                <w:rFonts w:ascii="宋体"/>
              </w:rPr>
            </w:pPr>
          </w:p>
        </w:tc>
        <w:tc>
          <w:tcPr>
            <w:tcW w:w="50" w:type="pct"/>
            <w:shd w:val="clear" w:color="auto" w:fill="auto"/>
            <w:vAlign w:val="center"/>
          </w:tcPr>
          <w:p w14:paraId="3693FCCE" w14:textId="77777777" w:rsidR="003734EC" w:rsidRDefault="003734EC">
            <w:pPr>
              <w:rPr>
                <w:rFonts w:ascii="宋体"/>
              </w:rPr>
            </w:pPr>
          </w:p>
        </w:tc>
      </w:tr>
      <w:tr w:rsidR="003734EC" w14:paraId="3693FCD4" w14:textId="77777777">
        <w:tc>
          <w:tcPr>
            <w:tcW w:w="0" w:type="auto"/>
            <w:gridSpan w:val="3"/>
            <w:shd w:val="clear" w:color="auto" w:fill="auto"/>
            <w:tcMar>
              <w:top w:w="40" w:type="dxa"/>
              <w:left w:w="20" w:type="dxa"/>
              <w:bottom w:w="40" w:type="dxa"/>
              <w:right w:w="20" w:type="dxa"/>
            </w:tcMar>
            <w:vAlign w:val="bottom"/>
          </w:tcPr>
          <w:p w14:paraId="3693FCD0" w14:textId="77777777" w:rsidR="003734EC" w:rsidRDefault="000E364E">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3693FCD1" w14:textId="77777777" w:rsidR="003734EC" w:rsidRDefault="000E364E">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center"/>
          </w:tcPr>
          <w:p w14:paraId="3693FCD2" w14:textId="77777777" w:rsidR="003734EC" w:rsidRDefault="003734EC">
            <w:pPr>
              <w:rPr>
                <w:rFonts w:ascii="宋体"/>
                <w:vanish/>
              </w:rPr>
            </w:pPr>
          </w:p>
        </w:tc>
        <w:tc>
          <w:tcPr>
            <w:tcW w:w="0" w:type="auto"/>
            <w:gridSpan w:val="3"/>
            <w:shd w:val="clear" w:color="auto" w:fill="auto"/>
            <w:vAlign w:val="center"/>
          </w:tcPr>
          <w:p w14:paraId="3693FCD3" w14:textId="77777777" w:rsidR="003734EC" w:rsidRDefault="003734EC">
            <w:pPr>
              <w:rPr>
                <w:rFonts w:ascii="宋体"/>
                <w:vanish/>
              </w:rPr>
            </w:pPr>
          </w:p>
        </w:tc>
      </w:tr>
      <w:tr w:rsidR="003734EC" w14:paraId="3693FCDF" w14:textId="77777777">
        <w:tc>
          <w:tcPr>
            <w:tcW w:w="0" w:type="auto"/>
            <w:gridSpan w:val="3"/>
            <w:shd w:val="clear" w:color="auto" w:fill="auto"/>
            <w:tcMar>
              <w:left w:w="20" w:type="dxa"/>
              <w:right w:w="20" w:type="dxa"/>
            </w:tcMar>
            <w:vAlign w:val="bottom"/>
          </w:tcPr>
          <w:p w14:paraId="3693FCD5" w14:textId="77777777" w:rsidR="003734EC" w:rsidRDefault="003734E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93FCD6" w14:textId="77777777" w:rsidR="003734EC" w:rsidRDefault="000E364E">
            <w:pPr>
              <w:jc w:val="center"/>
              <w:textAlignment w:val="bottom"/>
            </w:pPr>
            <w:r>
              <w:rPr>
                <w:rFonts w:ascii="sans-serif" w:eastAsia="sans-serif" w:hAnsi="sans-serif" w:cs="sans-serif"/>
                <w:b/>
                <w:bCs/>
                <w:color w:val="000000"/>
                <w:sz w:val="20"/>
                <w:szCs w:val="20"/>
              </w:rPr>
              <w:t>April 26, 2020</w:t>
            </w:r>
          </w:p>
        </w:tc>
        <w:tc>
          <w:tcPr>
            <w:tcW w:w="0" w:type="auto"/>
            <w:gridSpan w:val="3"/>
            <w:tcBorders>
              <w:top w:val="single" w:sz="8" w:space="0" w:color="000000"/>
            </w:tcBorders>
            <w:shd w:val="clear" w:color="auto" w:fill="auto"/>
            <w:tcMar>
              <w:left w:w="20" w:type="dxa"/>
              <w:right w:w="20" w:type="dxa"/>
            </w:tcMar>
            <w:vAlign w:val="bottom"/>
          </w:tcPr>
          <w:p w14:paraId="3693FCD7" w14:textId="77777777" w:rsidR="003734EC" w:rsidRDefault="003734E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93FCD8" w14:textId="77777777" w:rsidR="003734EC" w:rsidRDefault="000E364E">
            <w:pPr>
              <w:jc w:val="center"/>
              <w:textAlignment w:val="bottom"/>
            </w:pPr>
            <w:r>
              <w:rPr>
                <w:rFonts w:ascii="sans-serif" w:eastAsia="sans-serif" w:hAnsi="sans-serif" w:cs="sans-serif"/>
                <w:b/>
                <w:bCs/>
                <w:color w:val="000000"/>
                <w:sz w:val="20"/>
                <w:szCs w:val="20"/>
              </w:rPr>
              <w:t>April 28, 2019</w:t>
            </w:r>
          </w:p>
        </w:tc>
        <w:tc>
          <w:tcPr>
            <w:tcW w:w="0" w:type="auto"/>
            <w:shd w:val="clear" w:color="auto" w:fill="auto"/>
            <w:vAlign w:val="center"/>
          </w:tcPr>
          <w:p w14:paraId="3693FCD9" w14:textId="77777777" w:rsidR="003734EC" w:rsidRDefault="003734EC">
            <w:pPr>
              <w:rPr>
                <w:rFonts w:ascii="宋体"/>
              </w:rPr>
            </w:pPr>
          </w:p>
        </w:tc>
        <w:tc>
          <w:tcPr>
            <w:tcW w:w="0" w:type="auto"/>
            <w:shd w:val="clear" w:color="auto" w:fill="auto"/>
            <w:vAlign w:val="center"/>
          </w:tcPr>
          <w:p w14:paraId="3693FCDA" w14:textId="77777777" w:rsidR="003734EC" w:rsidRDefault="003734EC">
            <w:pPr>
              <w:rPr>
                <w:rFonts w:ascii="宋体"/>
              </w:rPr>
            </w:pPr>
          </w:p>
        </w:tc>
        <w:tc>
          <w:tcPr>
            <w:tcW w:w="0" w:type="auto"/>
            <w:shd w:val="clear" w:color="auto" w:fill="auto"/>
            <w:vAlign w:val="center"/>
          </w:tcPr>
          <w:p w14:paraId="3693FCDB" w14:textId="77777777" w:rsidR="003734EC" w:rsidRDefault="003734EC">
            <w:pPr>
              <w:rPr>
                <w:rFonts w:ascii="宋体"/>
              </w:rPr>
            </w:pPr>
          </w:p>
        </w:tc>
        <w:tc>
          <w:tcPr>
            <w:tcW w:w="0" w:type="auto"/>
            <w:shd w:val="clear" w:color="auto" w:fill="auto"/>
            <w:vAlign w:val="center"/>
          </w:tcPr>
          <w:p w14:paraId="3693FCDC" w14:textId="77777777" w:rsidR="003734EC" w:rsidRDefault="003734EC">
            <w:pPr>
              <w:rPr>
                <w:rFonts w:ascii="宋体"/>
              </w:rPr>
            </w:pPr>
          </w:p>
        </w:tc>
        <w:tc>
          <w:tcPr>
            <w:tcW w:w="0" w:type="auto"/>
            <w:shd w:val="clear" w:color="auto" w:fill="auto"/>
            <w:vAlign w:val="center"/>
          </w:tcPr>
          <w:p w14:paraId="3693FCDD" w14:textId="77777777" w:rsidR="003734EC" w:rsidRDefault="003734EC">
            <w:pPr>
              <w:rPr>
                <w:rFonts w:ascii="宋体"/>
              </w:rPr>
            </w:pPr>
          </w:p>
        </w:tc>
        <w:tc>
          <w:tcPr>
            <w:tcW w:w="0" w:type="auto"/>
            <w:shd w:val="clear" w:color="auto" w:fill="auto"/>
            <w:vAlign w:val="center"/>
          </w:tcPr>
          <w:p w14:paraId="3693FCDE" w14:textId="77777777" w:rsidR="003734EC" w:rsidRDefault="003734EC">
            <w:pPr>
              <w:rPr>
                <w:rFonts w:ascii="宋体"/>
              </w:rPr>
            </w:pPr>
          </w:p>
        </w:tc>
      </w:tr>
      <w:tr w:rsidR="003734EC" w14:paraId="3693FCE4" w14:textId="77777777">
        <w:tc>
          <w:tcPr>
            <w:tcW w:w="0" w:type="auto"/>
            <w:gridSpan w:val="3"/>
            <w:shd w:val="clear" w:color="auto" w:fill="auto"/>
            <w:tcMar>
              <w:top w:w="40" w:type="dxa"/>
              <w:left w:w="20" w:type="dxa"/>
              <w:bottom w:w="40" w:type="dxa"/>
              <w:right w:w="20" w:type="dxa"/>
            </w:tcMar>
            <w:vAlign w:val="bottom"/>
          </w:tcPr>
          <w:p w14:paraId="3693FCE0" w14:textId="77777777" w:rsidR="003734EC" w:rsidRDefault="000E364E">
            <w:pPr>
              <w:textAlignment w:val="bottom"/>
            </w:pPr>
            <w:r>
              <w:rPr>
                <w:rFonts w:ascii="sans-serif" w:eastAsia="sans-serif" w:hAnsi="sans-serif" w:cs="sans-serif"/>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93FCE1" w14:textId="77777777" w:rsidR="003734EC" w:rsidRDefault="000E364E">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vAlign w:val="center"/>
          </w:tcPr>
          <w:p w14:paraId="3693FCE2" w14:textId="77777777" w:rsidR="003734EC" w:rsidRDefault="003734EC">
            <w:pPr>
              <w:rPr>
                <w:rFonts w:ascii="宋体"/>
                <w:vanish/>
              </w:rPr>
            </w:pPr>
          </w:p>
        </w:tc>
        <w:tc>
          <w:tcPr>
            <w:tcW w:w="0" w:type="auto"/>
            <w:gridSpan w:val="3"/>
            <w:shd w:val="clear" w:color="auto" w:fill="auto"/>
            <w:vAlign w:val="center"/>
          </w:tcPr>
          <w:p w14:paraId="3693FCE3" w14:textId="77777777" w:rsidR="003734EC" w:rsidRDefault="003734EC">
            <w:pPr>
              <w:rPr>
                <w:rFonts w:ascii="宋体"/>
                <w:vanish/>
              </w:rPr>
            </w:pPr>
          </w:p>
        </w:tc>
      </w:tr>
      <w:tr w:rsidR="003734EC" w14:paraId="3693FCF3" w14:textId="77777777">
        <w:tc>
          <w:tcPr>
            <w:tcW w:w="0" w:type="auto"/>
            <w:gridSpan w:val="3"/>
            <w:shd w:val="clear" w:color="auto" w:fill="E2EFD9"/>
            <w:tcMar>
              <w:top w:w="40" w:type="dxa"/>
              <w:left w:w="20" w:type="dxa"/>
              <w:bottom w:w="40" w:type="dxa"/>
              <w:right w:w="20" w:type="dxa"/>
            </w:tcMar>
            <w:vAlign w:val="bottom"/>
          </w:tcPr>
          <w:p w14:paraId="3693FCE5" w14:textId="77777777" w:rsidR="003734EC" w:rsidRDefault="000E364E">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tcMar>
            <w:vAlign w:val="bottom"/>
          </w:tcPr>
          <w:p w14:paraId="3693FCE6"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CE7" w14:textId="77777777" w:rsidR="003734EC" w:rsidRDefault="000E364E">
            <w:pPr>
              <w:jc w:val="right"/>
              <w:textAlignment w:val="bottom"/>
            </w:pPr>
            <w:r>
              <w:rPr>
                <w:rFonts w:ascii="sans-serif" w:eastAsia="sans-serif" w:hAnsi="sans-serif" w:cs="sans-serif"/>
                <w:color w:val="000000"/>
                <w:sz w:val="20"/>
                <w:szCs w:val="20"/>
              </w:rPr>
              <w:t>909 </w:t>
            </w:r>
          </w:p>
        </w:tc>
        <w:tc>
          <w:tcPr>
            <w:tcW w:w="0" w:type="auto"/>
            <w:shd w:val="clear" w:color="auto" w:fill="E2EFD9"/>
            <w:tcMar>
              <w:top w:w="40" w:type="dxa"/>
              <w:bottom w:w="40" w:type="dxa"/>
              <w:right w:w="20" w:type="dxa"/>
            </w:tcMar>
            <w:vAlign w:val="bottom"/>
          </w:tcPr>
          <w:p w14:paraId="3693FCE8"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CE9"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CEA"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CEB" w14:textId="77777777" w:rsidR="003734EC" w:rsidRDefault="000E364E">
            <w:pPr>
              <w:jc w:val="right"/>
              <w:textAlignment w:val="bottom"/>
            </w:pPr>
            <w:r>
              <w:rPr>
                <w:rFonts w:ascii="sans-serif" w:eastAsia="sans-serif" w:hAnsi="sans-serif" w:cs="sans-serif"/>
                <w:color w:val="000000"/>
                <w:sz w:val="20"/>
                <w:szCs w:val="20"/>
              </w:rPr>
              <w:t>720 </w:t>
            </w:r>
          </w:p>
        </w:tc>
        <w:tc>
          <w:tcPr>
            <w:tcW w:w="0" w:type="auto"/>
            <w:shd w:val="clear" w:color="auto" w:fill="E2EFD9"/>
            <w:tcMar>
              <w:top w:w="40" w:type="dxa"/>
              <w:bottom w:w="40" w:type="dxa"/>
              <w:right w:w="20" w:type="dxa"/>
            </w:tcMar>
            <w:vAlign w:val="bottom"/>
          </w:tcPr>
          <w:p w14:paraId="3693FCEC"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CED" w14:textId="77777777" w:rsidR="003734EC" w:rsidRDefault="003734EC">
            <w:pPr>
              <w:rPr>
                <w:rFonts w:ascii="宋体"/>
              </w:rPr>
            </w:pPr>
          </w:p>
        </w:tc>
        <w:tc>
          <w:tcPr>
            <w:tcW w:w="0" w:type="auto"/>
            <w:shd w:val="clear" w:color="auto" w:fill="auto"/>
            <w:vAlign w:val="center"/>
          </w:tcPr>
          <w:p w14:paraId="3693FCEE" w14:textId="77777777" w:rsidR="003734EC" w:rsidRDefault="003734EC">
            <w:pPr>
              <w:rPr>
                <w:rFonts w:ascii="宋体"/>
              </w:rPr>
            </w:pPr>
          </w:p>
        </w:tc>
        <w:tc>
          <w:tcPr>
            <w:tcW w:w="0" w:type="auto"/>
            <w:shd w:val="clear" w:color="auto" w:fill="auto"/>
            <w:vAlign w:val="center"/>
          </w:tcPr>
          <w:p w14:paraId="3693FCEF" w14:textId="77777777" w:rsidR="003734EC" w:rsidRDefault="003734EC">
            <w:pPr>
              <w:rPr>
                <w:rFonts w:ascii="宋体"/>
              </w:rPr>
            </w:pPr>
          </w:p>
        </w:tc>
        <w:tc>
          <w:tcPr>
            <w:tcW w:w="0" w:type="auto"/>
            <w:shd w:val="clear" w:color="auto" w:fill="auto"/>
            <w:vAlign w:val="center"/>
          </w:tcPr>
          <w:p w14:paraId="3693FCF0" w14:textId="77777777" w:rsidR="003734EC" w:rsidRDefault="003734EC">
            <w:pPr>
              <w:rPr>
                <w:rFonts w:ascii="宋体"/>
              </w:rPr>
            </w:pPr>
          </w:p>
        </w:tc>
        <w:tc>
          <w:tcPr>
            <w:tcW w:w="0" w:type="auto"/>
            <w:shd w:val="clear" w:color="auto" w:fill="auto"/>
            <w:vAlign w:val="center"/>
          </w:tcPr>
          <w:p w14:paraId="3693FCF1" w14:textId="77777777" w:rsidR="003734EC" w:rsidRDefault="003734EC">
            <w:pPr>
              <w:rPr>
                <w:rFonts w:ascii="宋体"/>
              </w:rPr>
            </w:pPr>
          </w:p>
        </w:tc>
        <w:tc>
          <w:tcPr>
            <w:tcW w:w="0" w:type="auto"/>
            <w:shd w:val="clear" w:color="auto" w:fill="auto"/>
            <w:vAlign w:val="center"/>
          </w:tcPr>
          <w:p w14:paraId="3693FCF2" w14:textId="77777777" w:rsidR="003734EC" w:rsidRDefault="003734EC">
            <w:pPr>
              <w:rPr>
                <w:rFonts w:ascii="宋体"/>
              </w:rPr>
            </w:pPr>
          </w:p>
        </w:tc>
      </w:tr>
      <w:tr w:rsidR="003734EC" w14:paraId="3693FD02" w14:textId="77777777">
        <w:tc>
          <w:tcPr>
            <w:tcW w:w="0" w:type="auto"/>
            <w:gridSpan w:val="3"/>
            <w:shd w:val="clear" w:color="auto" w:fill="FFFFFF"/>
            <w:tcMar>
              <w:top w:w="40" w:type="dxa"/>
              <w:left w:w="20" w:type="dxa"/>
              <w:bottom w:w="40" w:type="dxa"/>
              <w:right w:w="20" w:type="dxa"/>
            </w:tcMar>
            <w:vAlign w:val="bottom"/>
          </w:tcPr>
          <w:p w14:paraId="3693FCF4" w14:textId="77777777" w:rsidR="003734EC" w:rsidRDefault="000E364E">
            <w:pPr>
              <w:textAlignment w:val="bottom"/>
            </w:pPr>
            <w:r>
              <w:rPr>
                <w:rFonts w:ascii="sans-serif" w:eastAsia="sans-serif" w:hAnsi="sans-serif" w:cs="sans-serif"/>
                <w:color w:val="000000"/>
                <w:sz w:val="20"/>
                <w:szCs w:val="20"/>
              </w:rPr>
              <w:t xml:space="preserve">Net cash provided by (used in) investing </w:t>
            </w:r>
            <w:r>
              <w:rPr>
                <w:rFonts w:ascii="sans-serif" w:eastAsia="sans-serif" w:hAnsi="sans-serif" w:cs="sans-serif"/>
                <w:color w:val="000000"/>
                <w:sz w:val="20"/>
                <w:szCs w:val="20"/>
              </w:rPr>
              <w:t>activities</w:t>
            </w:r>
          </w:p>
        </w:tc>
        <w:tc>
          <w:tcPr>
            <w:tcW w:w="0" w:type="auto"/>
            <w:shd w:val="clear" w:color="auto" w:fill="FFFFFF"/>
            <w:tcMar>
              <w:top w:w="40" w:type="dxa"/>
              <w:left w:w="20" w:type="dxa"/>
              <w:bottom w:w="40" w:type="dxa"/>
            </w:tcMar>
            <w:vAlign w:val="bottom"/>
          </w:tcPr>
          <w:p w14:paraId="3693FCF5"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CF6" w14:textId="77777777" w:rsidR="003734EC" w:rsidRDefault="000E364E">
            <w:pPr>
              <w:jc w:val="right"/>
              <w:textAlignment w:val="bottom"/>
            </w:pPr>
            <w:r>
              <w:rPr>
                <w:rFonts w:ascii="sans-serif" w:eastAsia="sans-serif" w:hAnsi="sans-serif" w:cs="sans-serif"/>
                <w:color w:val="000000"/>
                <w:sz w:val="20"/>
                <w:szCs w:val="20"/>
              </w:rPr>
              <w:t>(1,055)</w:t>
            </w:r>
          </w:p>
        </w:tc>
        <w:tc>
          <w:tcPr>
            <w:tcW w:w="0" w:type="auto"/>
            <w:shd w:val="clear" w:color="auto" w:fill="FFFFFF"/>
            <w:tcMar>
              <w:top w:w="40" w:type="dxa"/>
              <w:bottom w:w="40" w:type="dxa"/>
              <w:right w:w="20" w:type="dxa"/>
            </w:tcMar>
            <w:vAlign w:val="bottom"/>
          </w:tcPr>
          <w:p w14:paraId="3693FCF7"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3693FCF8" w14:textId="77777777" w:rsidR="003734EC" w:rsidRDefault="003734EC">
            <w:pPr>
              <w:rPr>
                <w:rFonts w:ascii="宋体"/>
              </w:rPr>
            </w:pPr>
          </w:p>
        </w:tc>
        <w:tc>
          <w:tcPr>
            <w:tcW w:w="0" w:type="auto"/>
            <w:shd w:val="clear" w:color="auto" w:fill="FFFFFF"/>
            <w:tcMar>
              <w:top w:w="40" w:type="dxa"/>
              <w:left w:w="20" w:type="dxa"/>
              <w:bottom w:w="40" w:type="dxa"/>
            </w:tcMar>
            <w:vAlign w:val="bottom"/>
          </w:tcPr>
          <w:p w14:paraId="3693FCF9"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3693FCFA" w14:textId="77777777" w:rsidR="003734EC" w:rsidRDefault="000E364E">
            <w:pPr>
              <w:jc w:val="right"/>
              <w:textAlignment w:val="bottom"/>
            </w:pPr>
            <w:r>
              <w:rPr>
                <w:rFonts w:ascii="sans-serif" w:eastAsia="sans-serif" w:hAnsi="sans-serif" w:cs="sans-serif"/>
                <w:color w:val="000000"/>
                <w:sz w:val="20"/>
                <w:szCs w:val="20"/>
              </w:rPr>
              <w:t>1,495 </w:t>
            </w:r>
          </w:p>
        </w:tc>
        <w:tc>
          <w:tcPr>
            <w:tcW w:w="0" w:type="auto"/>
            <w:shd w:val="clear" w:color="auto" w:fill="FFFFFF"/>
            <w:tcMar>
              <w:top w:w="40" w:type="dxa"/>
              <w:bottom w:w="40" w:type="dxa"/>
              <w:right w:w="20" w:type="dxa"/>
            </w:tcMar>
            <w:vAlign w:val="bottom"/>
          </w:tcPr>
          <w:p w14:paraId="3693FCFB"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CFC" w14:textId="77777777" w:rsidR="003734EC" w:rsidRDefault="003734EC">
            <w:pPr>
              <w:rPr>
                <w:rFonts w:ascii="宋体"/>
              </w:rPr>
            </w:pPr>
          </w:p>
        </w:tc>
        <w:tc>
          <w:tcPr>
            <w:tcW w:w="0" w:type="auto"/>
            <w:shd w:val="clear" w:color="auto" w:fill="auto"/>
            <w:vAlign w:val="center"/>
          </w:tcPr>
          <w:p w14:paraId="3693FCFD" w14:textId="77777777" w:rsidR="003734EC" w:rsidRDefault="003734EC">
            <w:pPr>
              <w:rPr>
                <w:rFonts w:ascii="宋体"/>
              </w:rPr>
            </w:pPr>
          </w:p>
        </w:tc>
        <w:tc>
          <w:tcPr>
            <w:tcW w:w="0" w:type="auto"/>
            <w:shd w:val="clear" w:color="auto" w:fill="auto"/>
            <w:vAlign w:val="center"/>
          </w:tcPr>
          <w:p w14:paraId="3693FCFE" w14:textId="77777777" w:rsidR="003734EC" w:rsidRDefault="003734EC">
            <w:pPr>
              <w:rPr>
                <w:rFonts w:ascii="宋体"/>
              </w:rPr>
            </w:pPr>
          </w:p>
        </w:tc>
        <w:tc>
          <w:tcPr>
            <w:tcW w:w="0" w:type="auto"/>
            <w:shd w:val="clear" w:color="auto" w:fill="auto"/>
            <w:vAlign w:val="center"/>
          </w:tcPr>
          <w:p w14:paraId="3693FCFF" w14:textId="77777777" w:rsidR="003734EC" w:rsidRDefault="003734EC">
            <w:pPr>
              <w:rPr>
                <w:rFonts w:ascii="宋体"/>
              </w:rPr>
            </w:pPr>
          </w:p>
        </w:tc>
        <w:tc>
          <w:tcPr>
            <w:tcW w:w="0" w:type="auto"/>
            <w:shd w:val="clear" w:color="auto" w:fill="auto"/>
            <w:vAlign w:val="center"/>
          </w:tcPr>
          <w:p w14:paraId="3693FD00" w14:textId="77777777" w:rsidR="003734EC" w:rsidRDefault="003734EC">
            <w:pPr>
              <w:rPr>
                <w:rFonts w:ascii="宋体"/>
              </w:rPr>
            </w:pPr>
          </w:p>
        </w:tc>
        <w:tc>
          <w:tcPr>
            <w:tcW w:w="0" w:type="auto"/>
            <w:shd w:val="clear" w:color="auto" w:fill="auto"/>
            <w:vAlign w:val="center"/>
          </w:tcPr>
          <w:p w14:paraId="3693FD01" w14:textId="77777777" w:rsidR="003734EC" w:rsidRDefault="003734EC">
            <w:pPr>
              <w:rPr>
                <w:rFonts w:ascii="宋体"/>
              </w:rPr>
            </w:pPr>
          </w:p>
        </w:tc>
      </w:tr>
      <w:tr w:rsidR="003734EC" w14:paraId="3693FD11" w14:textId="77777777">
        <w:tc>
          <w:tcPr>
            <w:tcW w:w="0" w:type="auto"/>
            <w:gridSpan w:val="3"/>
            <w:shd w:val="clear" w:color="auto" w:fill="E2EFD9"/>
            <w:tcMar>
              <w:top w:w="40" w:type="dxa"/>
              <w:left w:w="20" w:type="dxa"/>
              <w:bottom w:w="40" w:type="dxa"/>
              <w:right w:w="20" w:type="dxa"/>
            </w:tcMar>
            <w:vAlign w:val="bottom"/>
          </w:tcPr>
          <w:p w14:paraId="3693FD03" w14:textId="77777777" w:rsidR="003734EC" w:rsidRDefault="000E364E">
            <w:pPr>
              <w:textAlignment w:val="bottom"/>
            </w:pPr>
            <w:r>
              <w:rPr>
                <w:rFonts w:ascii="sans-serif" w:eastAsia="sans-serif" w:hAnsi="sans-serif" w:cs="sans-serif"/>
                <w:color w:val="000000"/>
                <w:sz w:val="20"/>
                <w:szCs w:val="20"/>
              </w:rPr>
              <w:t>Net cash provided by (used in) financing activities</w:t>
            </w:r>
          </w:p>
        </w:tc>
        <w:tc>
          <w:tcPr>
            <w:tcW w:w="0" w:type="auto"/>
            <w:shd w:val="clear" w:color="auto" w:fill="E2EFD9"/>
            <w:tcMar>
              <w:top w:w="40" w:type="dxa"/>
              <w:left w:w="20" w:type="dxa"/>
              <w:bottom w:w="40" w:type="dxa"/>
            </w:tcMar>
            <w:vAlign w:val="bottom"/>
          </w:tcPr>
          <w:p w14:paraId="3693FD04"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D05" w14:textId="77777777" w:rsidR="003734EC" w:rsidRDefault="000E364E">
            <w:pPr>
              <w:jc w:val="right"/>
              <w:textAlignment w:val="bottom"/>
            </w:pPr>
            <w:r>
              <w:rPr>
                <w:rFonts w:ascii="sans-serif" w:eastAsia="sans-serif" w:hAnsi="sans-serif" w:cs="sans-serif"/>
                <w:color w:val="000000"/>
                <w:sz w:val="20"/>
                <w:szCs w:val="20"/>
              </w:rPr>
              <w:t>4,744 </w:t>
            </w:r>
          </w:p>
        </w:tc>
        <w:tc>
          <w:tcPr>
            <w:tcW w:w="0" w:type="auto"/>
            <w:shd w:val="clear" w:color="auto" w:fill="E2EFD9"/>
            <w:tcMar>
              <w:top w:w="40" w:type="dxa"/>
              <w:bottom w:w="40" w:type="dxa"/>
              <w:right w:w="20" w:type="dxa"/>
            </w:tcMar>
            <w:vAlign w:val="bottom"/>
          </w:tcPr>
          <w:p w14:paraId="3693FD06" w14:textId="77777777" w:rsidR="003734EC" w:rsidRDefault="000E364E">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3693FD07" w14:textId="77777777" w:rsidR="003734EC" w:rsidRDefault="003734EC">
            <w:pPr>
              <w:rPr>
                <w:rFonts w:ascii="宋体"/>
              </w:rPr>
            </w:pPr>
          </w:p>
        </w:tc>
        <w:tc>
          <w:tcPr>
            <w:tcW w:w="0" w:type="auto"/>
            <w:shd w:val="clear" w:color="auto" w:fill="E2EFD9"/>
            <w:tcMar>
              <w:top w:w="40" w:type="dxa"/>
              <w:left w:w="20" w:type="dxa"/>
              <w:bottom w:w="40" w:type="dxa"/>
            </w:tcMar>
            <w:vAlign w:val="bottom"/>
          </w:tcPr>
          <w:p w14:paraId="3693FD08" w14:textId="77777777" w:rsidR="003734EC" w:rsidRDefault="000E364E">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3693FD09" w14:textId="77777777" w:rsidR="003734EC" w:rsidRDefault="000E364E">
            <w:pPr>
              <w:jc w:val="right"/>
              <w:textAlignment w:val="bottom"/>
            </w:pPr>
            <w:r>
              <w:rPr>
                <w:rFonts w:ascii="sans-serif" w:eastAsia="sans-serif" w:hAnsi="sans-serif" w:cs="sans-serif"/>
                <w:color w:val="000000"/>
                <w:sz w:val="20"/>
                <w:szCs w:val="20"/>
              </w:rPr>
              <w:t>(225)</w:t>
            </w:r>
          </w:p>
        </w:tc>
        <w:tc>
          <w:tcPr>
            <w:tcW w:w="0" w:type="auto"/>
            <w:shd w:val="clear" w:color="auto" w:fill="E2EFD9"/>
            <w:tcMar>
              <w:top w:w="40" w:type="dxa"/>
              <w:bottom w:w="40" w:type="dxa"/>
              <w:right w:w="20" w:type="dxa"/>
            </w:tcMar>
            <w:vAlign w:val="bottom"/>
          </w:tcPr>
          <w:p w14:paraId="3693FD0A" w14:textId="77777777" w:rsidR="003734EC" w:rsidRDefault="000E364E">
            <w:pPr>
              <w:jc w:val="right"/>
              <w:textAlignment w:val="bottom"/>
            </w:pPr>
            <w:r>
              <w:rPr>
                <w:rFonts w:ascii="sans-serif" w:eastAsia="sans-serif" w:hAnsi="sans-serif" w:cs="sans-serif"/>
                <w:color w:val="000000"/>
                <w:sz w:val="20"/>
                <w:szCs w:val="20"/>
              </w:rPr>
              <w:t> </w:t>
            </w:r>
          </w:p>
        </w:tc>
        <w:tc>
          <w:tcPr>
            <w:tcW w:w="0" w:type="auto"/>
            <w:shd w:val="clear" w:color="auto" w:fill="auto"/>
            <w:vAlign w:val="center"/>
          </w:tcPr>
          <w:p w14:paraId="3693FD0B" w14:textId="77777777" w:rsidR="003734EC" w:rsidRDefault="003734EC">
            <w:pPr>
              <w:rPr>
                <w:rFonts w:ascii="宋体"/>
              </w:rPr>
            </w:pPr>
          </w:p>
        </w:tc>
        <w:tc>
          <w:tcPr>
            <w:tcW w:w="0" w:type="auto"/>
            <w:shd w:val="clear" w:color="auto" w:fill="auto"/>
            <w:vAlign w:val="center"/>
          </w:tcPr>
          <w:p w14:paraId="3693FD0C" w14:textId="77777777" w:rsidR="003734EC" w:rsidRDefault="003734EC">
            <w:pPr>
              <w:rPr>
                <w:rFonts w:ascii="宋体"/>
              </w:rPr>
            </w:pPr>
          </w:p>
        </w:tc>
        <w:tc>
          <w:tcPr>
            <w:tcW w:w="0" w:type="auto"/>
            <w:shd w:val="clear" w:color="auto" w:fill="auto"/>
            <w:vAlign w:val="center"/>
          </w:tcPr>
          <w:p w14:paraId="3693FD0D" w14:textId="77777777" w:rsidR="003734EC" w:rsidRDefault="003734EC">
            <w:pPr>
              <w:rPr>
                <w:rFonts w:ascii="宋体"/>
              </w:rPr>
            </w:pPr>
          </w:p>
        </w:tc>
        <w:tc>
          <w:tcPr>
            <w:tcW w:w="0" w:type="auto"/>
            <w:shd w:val="clear" w:color="auto" w:fill="auto"/>
            <w:vAlign w:val="center"/>
          </w:tcPr>
          <w:p w14:paraId="3693FD0E" w14:textId="77777777" w:rsidR="003734EC" w:rsidRDefault="003734EC">
            <w:pPr>
              <w:rPr>
                <w:rFonts w:ascii="宋体"/>
              </w:rPr>
            </w:pPr>
          </w:p>
        </w:tc>
        <w:tc>
          <w:tcPr>
            <w:tcW w:w="0" w:type="auto"/>
            <w:shd w:val="clear" w:color="auto" w:fill="auto"/>
            <w:vAlign w:val="center"/>
          </w:tcPr>
          <w:p w14:paraId="3693FD0F" w14:textId="77777777" w:rsidR="003734EC" w:rsidRDefault="003734EC">
            <w:pPr>
              <w:rPr>
                <w:rFonts w:ascii="宋体"/>
              </w:rPr>
            </w:pPr>
          </w:p>
        </w:tc>
        <w:tc>
          <w:tcPr>
            <w:tcW w:w="0" w:type="auto"/>
            <w:shd w:val="clear" w:color="auto" w:fill="auto"/>
            <w:vAlign w:val="center"/>
          </w:tcPr>
          <w:p w14:paraId="3693FD10" w14:textId="77777777" w:rsidR="003734EC" w:rsidRDefault="003734EC">
            <w:pPr>
              <w:rPr>
                <w:rFonts w:ascii="宋体"/>
              </w:rPr>
            </w:pPr>
          </w:p>
        </w:tc>
      </w:tr>
    </w:tbl>
    <w:p w14:paraId="3693FD12" w14:textId="77777777" w:rsidR="003734EC" w:rsidRDefault="000E364E">
      <w:pPr>
        <w:spacing w:before="360" w:after="180"/>
        <w:jc w:val="both"/>
      </w:pPr>
      <w:r>
        <w:rPr>
          <w:rFonts w:ascii="sans-serif" w:eastAsia="sans-serif" w:hAnsi="sans-serif" w:cs="sans-serif"/>
          <w:color w:val="000000"/>
          <w:sz w:val="20"/>
          <w:szCs w:val="20"/>
        </w:rPr>
        <w:t xml:space="preserve">As of April 26, 2020, we had $16.35 billion in cash, cash equivalents and marketable securities, an increase of $5.46 billion </w:t>
      </w:r>
      <w:r>
        <w:rPr>
          <w:rFonts w:ascii="sans-serif" w:eastAsia="sans-serif" w:hAnsi="sans-serif" w:cs="sans-serif"/>
          <w:color w:val="000000"/>
          <w:sz w:val="20"/>
          <w:szCs w:val="20"/>
        </w:rPr>
        <w:t>from the end of fiscal year 2020. Our investment policy requires the purchase of highly rated fixed income securities, the diversification of investment types and credit exposures, and certain limits on our portfolio duration.</w:t>
      </w:r>
    </w:p>
    <w:p w14:paraId="3693FD13" w14:textId="77777777" w:rsidR="003734EC" w:rsidRDefault="000E364E">
      <w:pPr>
        <w:spacing w:after="180"/>
        <w:jc w:val="both"/>
      </w:pPr>
      <w:r>
        <w:rPr>
          <w:rFonts w:ascii="sans-serif" w:eastAsia="sans-serif" w:hAnsi="sans-serif" w:cs="sans-serif"/>
          <w:color w:val="000000"/>
          <w:sz w:val="20"/>
          <w:szCs w:val="20"/>
        </w:rPr>
        <w:t xml:space="preserve">Cash provided by </w:t>
      </w:r>
      <w:r>
        <w:rPr>
          <w:rFonts w:ascii="sans-serif" w:eastAsia="sans-serif" w:hAnsi="sans-serif" w:cs="sans-serif"/>
          <w:color w:val="000000"/>
          <w:sz w:val="20"/>
          <w:szCs w:val="20"/>
        </w:rPr>
        <w:t>operating activities increased in the first quarter of fiscal year 2021 compared to the first quarter of fiscal year 2020, due to higher net income partially offset by changes in working capital. Change in working capital was driven by an increase in accou</w:t>
      </w:r>
      <w:r>
        <w:rPr>
          <w:rFonts w:ascii="sans-serif" w:eastAsia="sans-serif" w:hAnsi="sans-serif" w:cs="sans-serif"/>
          <w:color w:val="000000"/>
          <w:sz w:val="20"/>
          <w:szCs w:val="20"/>
        </w:rPr>
        <w:t>nts receivable, an increase in inventory, and changes in operating liabilities.</w:t>
      </w:r>
    </w:p>
    <w:p w14:paraId="3693FD14" w14:textId="77777777" w:rsidR="003734EC" w:rsidRDefault="000E364E">
      <w:pPr>
        <w:spacing w:after="180"/>
        <w:jc w:val="both"/>
      </w:pPr>
      <w:r>
        <w:rPr>
          <w:rFonts w:ascii="sans-serif" w:eastAsia="sans-serif" w:hAnsi="sans-serif" w:cs="sans-serif"/>
          <w:color w:val="000000"/>
          <w:sz w:val="20"/>
          <w:szCs w:val="20"/>
        </w:rPr>
        <w:t xml:space="preserve">Cash used in investing activities increased in the first quarter of fiscal year 2021 compared to cash provided in the first quarter of fiscal year 2020, due to absence of </w:t>
      </w:r>
      <w:r>
        <w:rPr>
          <w:rFonts w:ascii="sans-serif" w:eastAsia="sans-serif" w:hAnsi="sans-serif" w:cs="sans-serif"/>
          <w:color w:val="000000"/>
          <w:sz w:val="20"/>
          <w:szCs w:val="20"/>
        </w:rPr>
        <w:t>maturities of marketable securities.</w:t>
      </w:r>
    </w:p>
    <w:p w14:paraId="3693FD15" w14:textId="77777777" w:rsidR="003734EC" w:rsidRDefault="000E364E">
      <w:pPr>
        <w:spacing w:after="180"/>
        <w:jc w:val="both"/>
      </w:pPr>
      <w:r>
        <w:rPr>
          <w:rFonts w:ascii="sans-serif" w:eastAsia="sans-serif" w:hAnsi="sans-serif" w:cs="sans-serif"/>
          <w:color w:val="000000"/>
          <w:sz w:val="20"/>
          <w:szCs w:val="20"/>
        </w:rPr>
        <w:t>Cash provided by financing activities increased in the first quarter of fiscal year 2021 compared to cash used in the first quarter of fiscal year 2020, due to the debt issued in the first quarter of fiscal year 2021.</w:t>
      </w:r>
    </w:p>
    <w:p w14:paraId="3693FD16" w14:textId="77777777" w:rsidR="003734EC" w:rsidRDefault="000E364E">
      <w:pPr>
        <w:spacing w:after="180"/>
        <w:jc w:val="both"/>
      </w:pPr>
      <w:r>
        <w:rPr>
          <w:rFonts w:ascii="sans-serif" w:eastAsia="sans-serif" w:hAnsi="sans-serif" w:cs="sans-serif"/>
          <w:b/>
          <w:bCs/>
          <w:color w:val="000000"/>
          <w:sz w:val="20"/>
          <w:szCs w:val="20"/>
        </w:rPr>
        <w:t>L</w:t>
      </w:r>
      <w:r>
        <w:rPr>
          <w:rFonts w:ascii="sans-serif" w:eastAsia="sans-serif" w:hAnsi="sans-serif" w:cs="sans-serif"/>
          <w:b/>
          <w:bCs/>
          <w:color w:val="000000"/>
          <w:sz w:val="20"/>
          <w:szCs w:val="20"/>
        </w:rPr>
        <w:t>iquidity</w:t>
      </w:r>
    </w:p>
    <w:p w14:paraId="3693FD17" w14:textId="77777777" w:rsidR="003734EC" w:rsidRDefault="000E364E">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April 26, 2020, we had $16.35 billion in cash, cash equivalents and marketable securities. Our marketabl</w:t>
      </w:r>
      <w:r>
        <w:rPr>
          <w:rFonts w:ascii="sans-serif" w:eastAsia="sans-serif" w:hAnsi="sans-serif" w:cs="sans-serif"/>
          <w:color w:val="000000"/>
          <w:sz w:val="20"/>
          <w:szCs w:val="20"/>
        </w:rPr>
        <w:t xml:space="preserve">e securities consist of debt securities issued by the U.S. government and its agencies, highly rated corporations and financial institutions, and certificates of deposits. These marketable securities are denominated in United States dollars. Refer to Note </w:t>
      </w:r>
      <w:r>
        <w:rPr>
          <w:rFonts w:ascii="sans-serif" w:eastAsia="sans-serif" w:hAnsi="sans-serif" w:cs="sans-serif"/>
          <w:color w:val="000000"/>
          <w:sz w:val="20"/>
          <w:szCs w:val="20"/>
        </w:rPr>
        <w:t xml:space="preserve">7 of the Notes to Condensed Consolidated Financial Statements for additional information. We believe that we have sufficient liquidity to meet our operating requirements and capital expenditures for at least the next twelve months. Subsequent to the first </w:t>
      </w:r>
      <w:r>
        <w:rPr>
          <w:rFonts w:ascii="sans-serif" w:eastAsia="sans-serif" w:hAnsi="sans-serif" w:cs="sans-serif"/>
          <w:color w:val="000000"/>
          <w:sz w:val="20"/>
          <w:szCs w:val="20"/>
        </w:rPr>
        <w:t>quarter of fiscal year 2021, we used approximately $7.0 billion to close the Mellanox acquisition.</w:t>
      </w:r>
    </w:p>
    <w:p w14:paraId="3693FD18" w14:textId="77777777" w:rsidR="003734EC" w:rsidRDefault="000E364E">
      <w:pPr>
        <w:spacing w:after="180"/>
        <w:jc w:val="both"/>
      </w:pPr>
      <w:r>
        <w:rPr>
          <w:rFonts w:ascii="sans-serif" w:eastAsia="sans-serif" w:hAnsi="sans-serif" w:cs="sans-serif"/>
          <w:color w:val="000000"/>
          <w:sz w:val="20"/>
          <w:szCs w:val="20"/>
        </w:rPr>
        <w:t>As a result of the Tax Cuts and Jobs Act, substantially all of our cash, cash equivalents and marketable securities held outside of the United States as of A</w:t>
      </w:r>
      <w:r>
        <w:rPr>
          <w:rFonts w:ascii="sans-serif" w:eastAsia="sans-serif" w:hAnsi="sans-serif" w:cs="sans-serif"/>
          <w:color w:val="000000"/>
          <w:sz w:val="20"/>
          <w:szCs w:val="20"/>
        </w:rPr>
        <w:t>pril 26, 2020 are available for use in the United States without incurring additional U.S. federal income taxes.</w:t>
      </w:r>
    </w:p>
    <w:p w14:paraId="3693FD19" w14:textId="77777777" w:rsidR="003734EC" w:rsidRDefault="000E364E">
      <w:pPr>
        <w:spacing w:after="180"/>
        <w:jc w:val="both"/>
      </w:pPr>
      <w:r>
        <w:rPr>
          <w:rFonts w:ascii="sans-serif" w:eastAsia="sans-serif" w:hAnsi="sans-serif" w:cs="sans-serif"/>
          <w:b/>
          <w:bCs/>
          <w:color w:val="000000"/>
          <w:sz w:val="20"/>
          <w:szCs w:val="20"/>
        </w:rPr>
        <w:t>Capital Return to Shareholders</w:t>
      </w:r>
    </w:p>
    <w:p w14:paraId="3693FD1A" w14:textId="77777777" w:rsidR="003734EC" w:rsidRDefault="000E364E">
      <w:pPr>
        <w:spacing w:after="180"/>
        <w:jc w:val="both"/>
      </w:pPr>
      <w:r>
        <w:rPr>
          <w:rFonts w:ascii="sans-serif" w:eastAsia="sans-serif" w:hAnsi="sans-serif" w:cs="sans-serif"/>
          <w:color w:val="000000"/>
          <w:sz w:val="20"/>
          <w:szCs w:val="20"/>
        </w:rPr>
        <w:t>In the first quarter of fiscal year 2021, we returned $98 million in quarterly cash dividends. As of April 26, 2</w:t>
      </w:r>
      <w:r>
        <w:rPr>
          <w:rFonts w:ascii="sans-serif" w:eastAsia="sans-serif" w:hAnsi="sans-serif" w:cs="sans-serif"/>
          <w:color w:val="000000"/>
          <w:sz w:val="20"/>
          <w:szCs w:val="20"/>
        </w:rPr>
        <w:t xml:space="preserve">020, we were authorized, subject to certain specifications, to repurchase additional shares of our common stock up to $7.24 billion through December 2022. We did not repurchase any shares during the first quarter of fiscal year 2021. Due to the </w:t>
      </w:r>
    </w:p>
    <w:p w14:paraId="3693FD1B" w14:textId="77777777" w:rsidR="003734EC" w:rsidRDefault="000E364E">
      <w:pPr>
        <w:spacing w:after="180"/>
        <w:jc w:val="center"/>
      </w:pPr>
      <w:r>
        <w:rPr>
          <w:rFonts w:ascii="sans-serif" w:eastAsia="sans-serif" w:hAnsi="sans-serif" w:cs="sans-serif"/>
          <w:color w:val="000000"/>
          <w:sz w:val="20"/>
          <w:szCs w:val="20"/>
        </w:rPr>
        <w:t>27</w:t>
      </w:r>
    </w:p>
    <w:p w14:paraId="3693FD1C" w14:textId="77777777" w:rsidR="003734EC" w:rsidRDefault="000E364E">
      <w:r>
        <w:pict w14:anchorId="3693FF64">
          <v:rect id="_x0000_i1050" style="width:415.3pt;height:1.5pt" o:hralign="center" o:hrstd="t" o:hr="t" fillcolor="#a0a0a0" stroked="f"/>
        </w:pict>
      </w:r>
    </w:p>
    <w:p w14:paraId="3693FD1D" w14:textId="77777777" w:rsidR="003734EC" w:rsidRDefault="003734EC">
      <w:pPr>
        <w:spacing w:after="180"/>
        <w:jc w:val="both"/>
      </w:pPr>
    </w:p>
    <w:p w14:paraId="3693FD1E" w14:textId="77777777" w:rsidR="003734EC" w:rsidRDefault="000E364E">
      <w:pPr>
        <w:spacing w:after="180"/>
        <w:jc w:val="both"/>
      </w:pPr>
      <w:r>
        <w:rPr>
          <w:rFonts w:ascii="sans-serif" w:eastAsia="sans-serif" w:hAnsi="sans-serif" w:cs="sans-serif"/>
          <w:color w:val="000000"/>
          <w:sz w:val="20"/>
          <w:szCs w:val="20"/>
        </w:rPr>
        <w:t>curr</w:t>
      </w:r>
      <w:r>
        <w:rPr>
          <w:rFonts w:ascii="sans-serif" w:eastAsia="sans-serif" w:hAnsi="sans-serif" w:cs="sans-serif"/>
          <w:color w:val="000000"/>
          <w:sz w:val="20"/>
          <w:szCs w:val="20"/>
        </w:rPr>
        <w:t xml:space="preserve">ent market uncertainties, we are evaluating the timing of resuming share repurchases and will remain nimble based on market conditions. We remain committed to paying quarterly dividends. </w:t>
      </w:r>
    </w:p>
    <w:p w14:paraId="3693FD1F" w14:textId="77777777" w:rsidR="003734EC" w:rsidRDefault="000E364E">
      <w:pPr>
        <w:spacing w:after="180"/>
        <w:jc w:val="both"/>
      </w:pPr>
      <w:r>
        <w:rPr>
          <w:rFonts w:ascii="sans-serif" w:eastAsia="sans-serif" w:hAnsi="sans-serif" w:cs="sans-serif"/>
          <w:color w:val="000000"/>
          <w:sz w:val="20"/>
          <w:szCs w:val="20"/>
        </w:rPr>
        <w:t>Our cash dividend program and the payment of future cash dividends u</w:t>
      </w:r>
      <w:r>
        <w:rPr>
          <w:rFonts w:ascii="sans-serif" w:eastAsia="sans-serif" w:hAnsi="sans-serif" w:cs="sans-serif"/>
          <w:color w:val="000000"/>
          <w:sz w:val="20"/>
          <w:szCs w:val="20"/>
        </w:rPr>
        <w:t xml:space="preserve">nder that program are subject to our Board's continuing determination that the dividend program and the declaration of dividends thereunder are in the best interests of our shareholders. </w:t>
      </w:r>
    </w:p>
    <w:p w14:paraId="3693FD20" w14:textId="77777777" w:rsidR="003734EC" w:rsidRDefault="000E364E">
      <w:pPr>
        <w:spacing w:after="180"/>
        <w:jc w:val="both"/>
      </w:pPr>
      <w:r>
        <w:rPr>
          <w:rFonts w:ascii="sans-serif" w:eastAsia="sans-serif" w:hAnsi="sans-serif" w:cs="sans-serif"/>
          <w:b/>
          <w:bCs/>
          <w:color w:val="000000"/>
          <w:sz w:val="20"/>
          <w:szCs w:val="20"/>
        </w:rPr>
        <w:t>Outstanding Indebtedness and Credit Facilities</w:t>
      </w:r>
    </w:p>
    <w:p w14:paraId="3693FD21" w14:textId="77777777" w:rsidR="003734EC" w:rsidRDefault="000E364E">
      <w:pPr>
        <w:spacing w:after="180"/>
        <w:jc w:val="both"/>
      </w:pPr>
      <w:r>
        <w:rPr>
          <w:rFonts w:ascii="sans-serif" w:eastAsia="sans-serif" w:hAnsi="sans-serif" w:cs="sans-serif"/>
          <w:color w:val="000000"/>
          <w:sz w:val="20"/>
          <w:szCs w:val="20"/>
        </w:rPr>
        <w:t>In March 2020, we iss</w:t>
      </w:r>
      <w:r>
        <w:rPr>
          <w:rFonts w:ascii="sans-serif" w:eastAsia="sans-serif" w:hAnsi="sans-serif" w:cs="sans-serif"/>
          <w:color w:val="000000"/>
          <w:sz w:val="20"/>
          <w:szCs w:val="20"/>
        </w:rPr>
        <w:t>ued $1.50 billion of the 2.85% Notes Due 2030, $1.00 billion of the 3.50% Notes Due 2040, $2.00 billion of the 3.50% Notes Due 2050, and $500 million of the 3.70% Notes Due 2060, or collectively, the March 2020 Notes. The net proceeds from the March 2020 N</w:t>
      </w:r>
      <w:r>
        <w:rPr>
          <w:rFonts w:ascii="sans-serif" w:eastAsia="sans-serif" w:hAnsi="sans-serif" w:cs="sans-serif"/>
          <w:color w:val="000000"/>
          <w:sz w:val="20"/>
          <w:szCs w:val="20"/>
        </w:rPr>
        <w:t>otes were $4.97 billion, after deducting debt discounts and estimated issuance costs.</w:t>
      </w:r>
    </w:p>
    <w:p w14:paraId="3693FD22" w14:textId="77777777" w:rsidR="003734EC" w:rsidRDefault="000E364E">
      <w:pPr>
        <w:spacing w:before="120" w:after="120"/>
        <w:jc w:val="both"/>
      </w:pPr>
      <w:r>
        <w:rPr>
          <w:rFonts w:ascii="sans-serif" w:eastAsia="sans-serif" w:hAnsi="sans-serif" w:cs="sans-serif"/>
          <w:color w:val="000000"/>
          <w:sz w:val="20"/>
          <w:szCs w:val="20"/>
        </w:rPr>
        <w:t>In September 2016, we issued $1.00 billion of the 2.20% Notes Due 2021 and $1.00 billion of the 3.20% Notes Due 2026, or collectively, the September 2016 Notes. The net p</w:t>
      </w:r>
      <w:r>
        <w:rPr>
          <w:rFonts w:ascii="sans-serif" w:eastAsia="sans-serif" w:hAnsi="sans-serif" w:cs="sans-serif"/>
          <w:color w:val="000000"/>
          <w:sz w:val="20"/>
          <w:szCs w:val="20"/>
        </w:rPr>
        <w:t>roceeds from the September 2016 Notes were $1.98 billion, after deducting debt discounts and issuance costs.</w:t>
      </w:r>
    </w:p>
    <w:p w14:paraId="3693FD23" w14:textId="77777777" w:rsidR="003734EC" w:rsidRDefault="000E364E">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revolving loan commitments up</w:t>
      </w:r>
      <w:r>
        <w:rPr>
          <w:rFonts w:ascii="sans-serif" w:eastAsia="sans-serif" w:hAnsi="sans-serif" w:cs="sans-serif"/>
          <w:color w:val="000000"/>
          <w:sz w:val="20"/>
          <w:szCs w:val="20"/>
        </w:rPr>
        <w:t xml:space="preserve"> to $425 million. As of April 26, 2020, we had not borrowed any amounts under this agreement.</w:t>
      </w:r>
    </w:p>
    <w:p w14:paraId="3693FD24" w14:textId="77777777" w:rsidR="003734EC" w:rsidRDefault="000E364E">
      <w:pPr>
        <w:spacing w:before="120" w:after="120"/>
        <w:jc w:val="both"/>
      </w:pPr>
      <w:r>
        <w:rPr>
          <w:rFonts w:ascii="sans-serif" w:eastAsia="sans-serif" w:hAnsi="sans-serif" w:cs="sans-serif"/>
          <w:color w:val="000000"/>
          <w:sz w:val="20"/>
          <w:szCs w:val="20"/>
        </w:rPr>
        <w:t>We have a $575 million commercial paper program to support general corporate purposes. As of April 26, 2020, we had not issued any commercial paper.</w:t>
      </w:r>
    </w:p>
    <w:p w14:paraId="3693FD25" w14:textId="77777777" w:rsidR="003734EC" w:rsidRDefault="000E364E">
      <w:pPr>
        <w:spacing w:after="180"/>
        <w:jc w:val="both"/>
      </w:pPr>
      <w:r>
        <w:rPr>
          <w:rFonts w:ascii="sans-serif" w:eastAsia="sans-serif" w:hAnsi="sans-serif" w:cs="sans-serif"/>
          <w:b/>
          <w:bCs/>
          <w:color w:val="000000"/>
          <w:sz w:val="20"/>
          <w:szCs w:val="20"/>
        </w:rPr>
        <w:t>Off-Balance S</w:t>
      </w:r>
      <w:r>
        <w:rPr>
          <w:rFonts w:ascii="sans-serif" w:eastAsia="sans-serif" w:hAnsi="sans-serif" w:cs="sans-serif"/>
          <w:b/>
          <w:bCs/>
          <w:color w:val="000000"/>
          <w:sz w:val="20"/>
          <w:szCs w:val="20"/>
        </w:rPr>
        <w:t>heet Arrangements</w:t>
      </w:r>
    </w:p>
    <w:p w14:paraId="3693FD26" w14:textId="77777777" w:rsidR="003734EC" w:rsidRDefault="000E364E">
      <w:pPr>
        <w:spacing w:after="180"/>
        <w:jc w:val="both"/>
      </w:pPr>
      <w:r>
        <w:rPr>
          <w:rFonts w:ascii="sans-serif" w:eastAsia="sans-serif" w:hAnsi="sans-serif" w:cs="sans-serif"/>
          <w:color w:val="000000"/>
          <w:sz w:val="20"/>
          <w:szCs w:val="20"/>
        </w:rPr>
        <w:t>As of April 26, 2020, we had no material off-balance sheet arrangements as defined by applicable SEC regulations.</w:t>
      </w:r>
    </w:p>
    <w:p w14:paraId="3693FD27" w14:textId="77777777" w:rsidR="003734EC" w:rsidRDefault="000E364E">
      <w:pPr>
        <w:spacing w:after="180"/>
        <w:jc w:val="both"/>
      </w:pPr>
      <w:r>
        <w:rPr>
          <w:rFonts w:ascii="sans-serif" w:eastAsia="sans-serif" w:hAnsi="sans-serif" w:cs="sans-serif"/>
          <w:b/>
          <w:bCs/>
          <w:color w:val="000000"/>
          <w:sz w:val="20"/>
          <w:szCs w:val="20"/>
        </w:rPr>
        <w:t>Contractual Obligations</w:t>
      </w:r>
    </w:p>
    <w:p w14:paraId="3693FD28" w14:textId="77777777" w:rsidR="003734EC" w:rsidRDefault="000E364E">
      <w:pPr>
        <w:spacing w:after="180"/>
        <w:jc w:val="both"/>
      </w:pPr>
      <w:r>
        <w:rPr>
          <w:rFonts w:ascii="sans-serif" w:eastAsia="sans-serif" w:hAnsi="sans-serif" w:cs="sans-serif"/>
          <w:color w:val="000000"/>
          <w:sz w:val="20"/>
          <w:szCs w:val="20"/>
        </w:rPr>
        <w:t>There were no material changes in our contractual obligations from those disclosed in our Annual Rep</w:t>
      </w:r>
      <w:r>
        <w:rPr>
          <w:rFonts w:ascii="sans-serif" w:eastAsia="sans-serif" w:hAnsi="sans-serif" w:cs="sans-serif"/>
          <w:color w:val="000000"/>
          <w:sz w:val="20"/>
          <w:szCs w:val="20"/>
        </w:rPr>
        <w:t>ort on Form 10-K for the fiscal year ended January 26, 2020.</w:t>
      </w:r>
    </w:p>
    <w:p w14:paraId="3693FD29" w14:textId="77777777" w:rsidR="003734EC" w:rsidRDefault="000E364E">
      <w:pPr>
        <w:spacing w:after="180"/>
        <w:jc w:val="both"/>
      </w:pPr>
      <w:r>
        <w:rPr>
          <w:rFonts w:ascii="sans-serif" w:eastAsia="sans-serif" w:hAnsi="sans-serif" w:cs="sans-serif"/>
          <w:color w:val="000000"/>
          <w:sz w:val="20"/>
          <w:szCs w:val="20"/>
        </w:rPr>
        <w:t>Refer to Item 7, “Management’s Discussion and Analysis of Financial Condition and Results of Operations - Liquidity and Capital Resources” in our Annual Report on Form 10-K for the fiscal year en</w:t>
      </w:r>
      <w:r>
        <w:rPr>
          <w:rFonts w:ascii="sans-serif" w:eastAsia="sans-serif" w:hAnsi="sans-serif" w:cs="sans-serif"/>
          <w:color w:val="000000"/>
          <w:sz w:val="20"/>
          <w:szCs w:val="20"/>
        </w:rPr>
        <w:t>ded January 26, 2020 for a description of our contractual obligations.</w:t>
      </w:r>
    </w:p>
    <w:p w14:paraId="3693FD2A" w14:textId="77777777" w:rsidR="003734EC" w:rsidRDefault="000E364E">
      <w:pPr>
        <w:spacing w:before="240" w:after="120"/>
        <w:jc w:val="both"/>
      </w:pPr>
      <w:r>
        <w:rPr>
          <w:rFonts w:ascii="sans-serif" w:eastAsia="sans-serif" w:hAnsi="sans-serif" w:cs="sans-serif"/>
          <w:b/>
          <w:bCs/>
          <w:color w:val="76B900"/>
          <w:sz w:val="22"/>
          <w:szCs w:val="22"/>
        </w:rPr>
        <w:t>Adoption of New and Recently Issued Accounting Pronouncements</w:t>
      </w:r>
    </w:p>
    <w:p w14:paraId="3693FD2B" w14:textId="77777777" w:rsidR="003734EC" w:rsidRDefault="000E364E">
      <w:pPr>
        <w:spacing w:after="180"/>
        <w:jc w:val="both"/>
      </w:pPr>
      <w:r>
        <w:rPr>
          <w:rFonts w:ascii="sans-serif" w:eastAsia="sans-serif" w:hAnsi="sans-serif" w:cs="sans-serif"/>
          <w:color w:val="000000"/>
          <w:sz w:val="20"/>
          <w:szCs w:val="20"/>
        </w:rPr>
        <w:t>Refer to Note 1 of the Notes to Condensed Consolidated Financial Statements for a discussion of adoption of new and recentl</w:t>
      </w:r>
      <w:r>
        <w:rPr>
          <w:rFonts w:ascii="sans-serif" w:eastAsia="sans-serif" w:hAnsi="sans-serif" w:cs="sans-serif"/>
          <w:color w:val="000000"/>
          <w:sz w:val="20"/>
          <w:szCs w:val="20"/>
        </w:rPr>
        <w:t>y issued accounting pronouncements.</w:t>
      </w:r>
    </w:p>
    <w:p w14:paraId="3693FD2C" w14:textId="77777777" w:rsidR="003734EC" w:rsidRDefault="000E364E">
      <w:pPr>
        <w:spacing w:before="240" w:after="120"/>
        <w:jc w:val="both"/>
      </w:pPr>
      <w:r>
        <w:rPr>
          <w:rFonts w:ascii="sans-serif" w:eastAsia="sans-serif" w:hAnsi="sans-serif" w:cs="sans-serif"/>
          <w:b/>
          <w:bCs/>
          <w:color w:val="76B900"/>
          <w:sz w:val="22"/>
          <w:szCs w:val="22"/>
        </w:rPr>
        <w:t>ITEM 3. QUANTITATIVE AND QUALITATIVE DISCLOSURES ABOUT MARKET RISK</w:t>
      </w:r>
    </w:p>
    <w:p w14:paraId="3693FD2D" w14:textId="77777777" w:rsidR="003734EC" w:rsidRDefault="000E364E">
      <w:pPr>
        <w:spacing w:before="240" w:after="60"/>
        <w:jc w:val="both"/>
      </w:pPr>
      <w:r>
        <w:rPr>
          <w:rFonts w:ascii="sans-serif" w:eastAsia="sans-serif" w:hAnsi="sans-serif" w:cs="sans-serif"/>
          <w:b/>
          <w:bCs/>
          <w:color w:val="76B900"/>
          <w:sz w:val="20"/>
          <w:szCs w:val="20"/>
        </w:rPr>
        <w:t>Investment and Interest Rate Risk</w:t>
      </w:r>
    </w:p>
    <w:p w14:paraId="3693FD2E" w14:textId="77777777" w:rsidR="003734EC" w:rsidRDefault="000E364E">
      <w:pPr>
        <w:spacing w:after="180"/>
        <w:jc w:val="both"/>
      </w:pPr>
      <w:r>
        <w:rPr>
          <w:rFonts w:ascii="sans-serif" w:eastAsia="sans-serif" w:hAnsi="sans-serif" w:cs="sans-serif"/>
          <w:color w:val="000000"/>
          <w:sz w:val="20"/>
          <w:szCs w:val="20"/>
        </w:rPr>
        <w:t xml:space="preserve">Financial market risks related to investment and interest rate risk are described in our Annual Report on Form 10-K </w:t>
      </w:r>
      <w:r>
        <w:rPr>
          <w:rFonts w:ascii="sans-serif" w:eastAsia="sans-serif" w:hAnsi="sans-serif" w:cs="sans-serif"/>
          <w:color w:val="000000"/>
          <w:sz w:val="20"/>
          <w:szCs w:val="20"/>
        </w:rPr>
        <w:t>for the fiscal year ended January 26, 2020. As of April 26, 2020, there have been no material changes as a result of the COVID-19 pandemic to the financial market risks described as of January 26, 2020.</w:t>
      </w:r>
    </w:p>
    <w:p w14:paraId="3693FD2F" w14:textId="77777777" w:rsidR="003734EC" w:rsidRDefault="000E364E">
      <w:pPr>
        <w:spacing w:before="240" w:after="60"/>
        <w:jc w:val="both"/>
      </w:pPr>
      <w:r>
        <w:rPr>
          <w:rFonts w:ascii="sans-serif" w:eastAsia="sans-serif" w:hAnsi="sans-serif" w:cs="sans-serif"/>
          <w:b/>
          <w:bCs/>
          <w:color w:val="76B900"/>
          <w:sz w:val="20"/>
          <w:szCs w:val="20"/>
        </w:rPr>
        <w:t xml:space="preserve">Foreign Exchange Rate Risk </w:t>
      </w:r>
    </w:p>
    <w:p w14:paraId="3693FD30" w14:textId="77777777" w:rsidR="003734EC" w:rsidRDefault="000E364E">
      <w:pPr>
        <w:spacing w:after="180"/>
        <w:jc w:val="both"/>
      </w:pPr>
      <w:r>
        <w:rPr>
          <w:rFonts w:ascii="sans-serif" w:eastAsia="sans-serif" w:hAnsi="sans-serif" w:cs="sans-serif"/>
          <w:color w:val="000000"/>
          <w:sz w:val="20"/>
          <w:szCs w:val="20"/>
        </w:rPr>
        <w:t>The impact of foreign cur</w:t>
      </w:r>
      <w:r>
        <w:rPr>
          <w:rFonts w:ascii="sans-serif" w:eastAsia="sans-serif" w:hAnsi="sans-serif" w:cs="sans-serif"/>
          <w:color w:val="000000"/>
          <w:sz w:val="20"/>
          <w:szCs w:val="20"/>
        </w:rPr>
        <w:t>rency transactions related to foreign exchange rate risk is described in our Annual Report on Form 10-K for the fiscal year ended January 26, 2020. As of April 26, 2020, there have been no material changes as a result of the COVID-19 pandemic to the foreig</w:t>
      </w:r>
      <w:r>
        <w:rPr>
          <w:rFonts w:ascii="sans-serif" w:eastAsia="sans-serif" w:hAnsi="sans-serif" w:cs="sans-serif"/>
          <w:color w:val="000000"/>
          <w:sz w:val="20"/>
          <w:szCs w:val="20"/>
        </w:rPr>
        <w:t>n exchange rate risks described as of January 26, 2020.</w:t>
      </w:r>
    </w:p>
    <w:p w14:paraId="3693FD31" w14:textId="77777777" w:rsidR="003734EC" w:rsidRDefault="000E364E">
      <w:pPr>
        <w:spacing w:after="180"/>
        <w:jc w:val="both"/>
      </w:pPr>
      <w:r>
        <w:rPr>
          <w:rFonts w:ascii="sans-serif" w:eastAsia="sans-serif" w:hAnsi="sans-serif" w:cs="sans-serif"/>
          <w:color w:val="000000"/>
          <w:sz w:val="20"/>
          <w:szCs w:val="20"/>
        </w:rPr>
        <w:t>Refer to Note 11 of the Notes to Condensed Consolidated Financial Statements for additional information.</w:t>
      </w:r>
    </w:p>
    <w:p w14:paraId="3693FD32" w14:textId="77777777" w:rsidR="003734EC" w:rsidRDefault="003734EC">
      <w:pPr>
        <w:spacing w:before="240" w:after="120"/>
        <w:jc w:val="both"/>
      </w:pPr>
    </w:p>
    <w:p w14:paraId="3693FD33" w14:textId="77777777" w:rsidR="003734EC" w:rsidRDefault="000E364E">
      <w:pPr>
        <w:spacing w:after="180"/>
        <w:jc w:val="center"/>
      </w:pPr>
      <w:r>
        <w:rPr>
          <w:rFonts w:ascii="sans-serif" w:eastAsia="sans-serif" w:hAnsi="sans-serif" w:cs="sans-serif"/>
          <w:color w:val="000000"/>
          <w:sz w:val="20"/>
          <w:szCs w:val="20"/>
        </w:rPr>
        <w:t>28</w:t>
      </w:r>
    </w:p>
    <w:p w14:paraId="3693FD34" w14:textId="77777777" w:rsidR="003734EC" w:rsidRDefault="000E364E">
      <w:r>
        <w:pict w14:anchorId="3693FF65">
          <v:rect id="_x0000_i1051" style="width:415.3pt;height:1.5pt" o:hralign="center" o:hrstd="t" o:hr="t" fillcolor="#a0a0a0" stroked="f"/>
        </w:pict>
      </w:r>
    </w:p>
    <w:p w14:paraId="3693FD35" w14:textId="77777777" w:rsidR="003734EC" w:rsidRDefault="003734EC">
      <w:pPr>
        <w:spacing w:after="180"/>
        <w:jc w:val="both"/>
      </w:pPr>
    </w:p>
    <w:p w14:paraId="3693FD36" w14:textId="77777777" w:rsidR="003734EC" w:rsidRDefault="000E364E">
      <w:pPr>
        <w:spacing w:before="240" w:after="120"/>
        <w:jc w:val="both"/>
      </w:pPr>
      <w:r>
        <w:rPr>
          <w:rFonts w:ascii="sans-serif" w:eastAsia="sans-serif" w:hAnsi="sans-serif" w:cs="sans-serif"/>
          <w:b/>
          <w:bCs/>
          <w:color w:val="76B900"/>
          <w:sz w:val="22"/>
          <w:szCs w:val="22"/>
        </w:rPr>
        <w:t>ITEM 4. CONTROLS AND PROCEDURES</w:t>
      </w:r>
    </w:p>
    <w:p w14:paraId="3693FD37" w14:textId="77777777" w:rsidR="003734EC" w:rsidRDefault="000E364E">
      <w:pPr>
        <w:spacing w:before="240" w:after="60"/>
        <w:jc w:val="both"/>
      </w:pPr>
      <w:r>
        <w:rPr>
          <w:rFonts w:ascii="sans-serif" w:eastAsia="sans-serif" w:hAnsi="sans-serif" w:cs="sans-serif"/>
          <w:b/>
          <w:bCs/>
          <w:color w:val="76B900"/>
          <w:sz w:val="20"/>
          <w:szCs w:val="20"/>
        </w:rPr>
        <w:t>Controls and Procedures</w:t>
      </w:r>
    </w:p>
    <w:p w14:paraId="3693FD38" w14:textId="77777777" w:rsidR="003734EC" w:rsidRDefault="000E364E">
      <w:pPr>
        <w:spacing w:before="120" w:after="120"/>
        <w:jc w:val="both"/>
      </w:pPr>
      <w:r>
        <w:rPr>
          <w:rFonts w:ascii="sans-serif" w:eastAsia="sans-serif" w:hAnsi="sans-serif" w:cs="sans-serif"/>
          <w:b/>
          <w:bCs/>
          <w:color w:val="000000"/>
          <w:sz w:val="20"/>
          <w:szCs w:val="20"/>
        </w:rPr>
        <w:t xml:space="preserve">Disclosure Controls and </w:t>
      </w:r>
      <w:r>
        <w:rPr>
          <w:rFonts w:ascii="sans-serif" w:eastAsia="sans-serif" w:hAnsi="sans-serif" w:cs="sans-serif"/>
          <w:b/>
          <w:bCs/>
          <w:color w:val="000000"/>
          <w:sz w:val="20"/>
          <w:szCs w:val="20"/>
        </w:rPr>
        <w:t>Procedures</w:t>
      </w:r>
    </w:p>
    <w:p w14:paraId="3693FD39" w14:textId="77777777" w:rsidR="003734EC" w:rsidRDefault="000E364E">
      <w:pPr>
        <w:spacing w:after="180"/>
        <w:jc w:val="both"/>
      </w:pPr>
      <w:r>
        <w:rPr>
          <w:rFonts w:ascii="sans-serif" w:eastAsia="sans-serif" w:hAnsi="sans-serif" w:cs="sans-serif"/>
          <w:color w:val="000000"/>
          <w:sz w:val="20"/>
          <w:szCs w:val="20"/>
        </w:rPr>
        <w:t>Based on their evaluation as of April 26, 2020, our management, including our Chief Executive Officer and Chief Financial Officer, has concluded that our disclosure controls and procedures (as defined in Rule 13a-15(e) under the Securities Excha</w:t>
      </w:r>
      <w:r>
        <w:rPr>
          <w:rFonts w:ascii="sans-serif" w:eastAsia="sans-serif" w:hAnsi="sans-serif" w:cs="sans-serif"/>
          <w:color w:val="000000"/>
          <w:sz w:val="20"/>
          <w:szCs w:val="20"/>
        </w:rPr>
        <w:t>nge Act of 1934, as amended) were effective to provide reasonable assurance.</w:t>
      </w:r>
    </w:p>
    <w:p w14:paraId="3693FD3A" w14:textId="77777777" w:rsidR="003734EC" w:rsidRDefault="000E364E">
      <w:pPr>
        <w:spacing w:before="120" w:after="120"/>
        <w:jc w:val="both"/>
      </w:pPr>
      <w:r>
        <w:rPr>
          <w:rFonts w:ascii="sans-serif" w:eastAsia="sans-serif" w:hAnsi="sans-serif" w:cs="sans-serif"/>
          <w:b/>
          <w:bCs/>
          <w:color w:val="000000"/>
          <w:sz w:val="20"/>
          <w:szCs w:val="20"/>
        </w:rPr>
        <w:t>Changes in Internal Control Over Financial Reporting</w:t>
      </w:r>
    </w:p>
    <w:p w14:paraId="3693FD3B" w14:textId="77777777" w:rsidR="003734EC" w:rsidRDefault="000E364E">
      <w:pPr>
        <w:spacing w:after="180"/>
        <w:jc w:val="both"/>
      </w:pPr>
      <w:r>
        <w:rPr>
          <w:rFonts w:ascii="sans-serif" w:eastAsia="sans-serif" w:hAnsi="sans-serif" w:cs="sans-serif"/>
          <w:color w:val="000000"/>
          <w:sz w:val="20"/>
          <w:szCs w:val="20"/>
        </w:rPr>
        <w:t xml:space="preserve">There were no changes in our internal control over financial reporting during the first quarter of fiscal year 2021 that have </w:t>
      </w:r>
      <w:r>
        <w:rPr>
          <w:rFonts w:ascii="sans-serif" w:eastAsia="sans-serif" w:hAnsi="sans-serif" w:cs="sans-serif"/>
          <w:color w:val="000000"/>
          <w:sz w:val="20"/>
          <w:szCs w:val="20"/>
        </w:rPr>
        <w:t>materially affected, or are reasonably likely to materially affect, our internal control over financial reporting despite the fact that virtually all of our employees are working remotely due to the COVID-19 pandemic. We are continually monitoring and asse</w:t>
      </w:r>
      <w:r>
        <w:rPr>
          <w:rFonts w:ascii="sans-serif" w:eastAsia="sans-serif" w:hAnsi="sans-serif" w:cs="sans-serif"/>
          <w:color w:val="000000"/>
          <w:sz w:val="20"/>
          <w:szCs w:val="20"/>
        </w:rPr>
        <w:t>ssing the COVID-19 situation on our internal controls to minimize the impact on their operating effectiveness.</w:t>
      </w:r>
    </w:p>
    <w:p w14:paraId="3693FD3C" w14:textId="77777777" w:rsidR="003734EC" w:rsidRDefault="000E364E">
      <w:pPr>
        <w:spacing w:before="120" w:after="120"/>
        <w:jc w:val="both"/>
      </w:pPr>
      <w:r>
        <w:rPr>
          <w:rFonts w:ascii="sans-serif" w:eastAsia="sans-serif" w:hAnsi="sans-serif" w:cs="sans-serif"/>
          <w:b/>
          <w:bCs/>
          <w:color w:val="000000"/>
          <w:sz w:val="20"/>
          <w:szCs w:val="20"/>
        </w:rPr>
        <w:t>Inherent Limitations on Effectiveness of Controls</w:t>
      </w:r>
    </w:p>
    <w:p w14:paraId="3693FD3D" w14:textId="77777777" w:rsidR="003734EC" w:rsidRDefault="000E364E">
      <w:pPr>
        <w:spacing w:after="180"/>
        <w:jc w:val="both"/>
      </w:pPr>
      <w:r>
        <w:rPr>
          <w:rFonts w:ascii="sans-serif" w:eastAsia="sans-serif" w:hAnsi="sans-serif" w:cs="sans-serif"/>
          <w:color w:val="000000"/>
          <w:sz w:val="20"/>
          <w:szCs w:val="20"/>
        </w:rPr>
        <w:t>Our management, including our Chief Executive Officer and Chief Financial Officer, does not exp</w:t>
      </w:r>
      <w:r>
        <w:rPr>
          <w:rFonts w:ascii="sans-serif" w:eastAsia="sans-serif" w:hAnsi="sans-serif" w:cs="sans-serif"/>
          <w:color w:val="000000"/>
          <w:sz w:val="20"/>
          <w:szCs w:val="20"/>
        </w:rPr>
        <w:t>ect that our disclosure controls and procedures or our internal controls, will prevent all error and all fraud. A control system, no matter how well conceived and operated, can provide only reasonable, not absolute, assurance that the objectives of the con</w:t>
      </w:r>
      <w:r>
        <w:rPr>
          <w:rFonts w:ascii="sans-serif" w:eastAsia="sans-serif" w:hAnsi="sans-serif" w:cs="sans-serif"/>
          <w:color w:val="000000"/>
          <w:sz w:val="20"/>
          <w:szCs w:val="20"/>
        </w:rPr>
        <w:t xml:space="preserve">trol system are met. Further, the design of a control system must reflect the fact that there are resource constraints, and the benefits of controls must be considered relative to their costs. Because of the inherent limitations in all control systems, no </w:t>
      </w:r>
      <w:r>
        <w:rPr>
          <w:rFonts w:ascii="sans-serif" w:eastAsia="sans-serif" w:hAnsi="sans-serif" w:cs="sans-serif"/>
          <w:color w:val="000000"/>
          <w:sz w:val="20"/>
          <w:szCs w:val="20"/>
        </w:rPr>
        <w:t>evaluation of controls can provide absolute assurance that all control issues and instances of fraud, if any, within NVIDIA have been detected.</w:t>
      </w:r>
    </w:p>
    <w:p w14:paraId="3693FD3E" w14:textId="77777777" w:rsidR="003734EC" w:rsidRDefault="000E364E">
      <w:pPr>
        <w:spacing w:before="240" w:after="120"/>
        <w:jc w:val="both"/>
      </w:pPr>
      <w:r>
        <w:rPr>
          <w:rFonts w:ascii="sans-serif" w:eastAsia="sans-serif" w:hAnsi="sans-serif" w:cs="sans-serif"/>
          <w:b/>
          <w:bCs/>
          <w:color w:val="76B900"/>
          <w:sz w:val="22"/>
          <w:szCs w:val="22"/>
        </w:rPr>
        <w:t>PART II. OTHER INFORMATION</w:t>
      </w:r>
    </w:p>
    <w:p w14:paraId="3693FD3F" w14:textId="77777777" w:rsidR="003734EC" w:rsidRDefault="000E364E">
      <w:pPr>
        <w:spacing w:before="240" w:after="120"/>
        <w:jc w:val="both"/>
      </w:pPr>
      <w:r>
        <w:rPr>
          <w:rFonts w:ascii="sans-serif" w:eastAsia="sans-serif" w:hAnsi="sans-serif" w:cs="sans-serif"/>
          <w:b/>
          <w:bCs/>
          <w:color w:val="76B900"/>
          <w:sz w:val="22"/>
          <w:szCs w:val="22"/>
        </w:rPr>
        <w:t>ITEM 1. LEGAL PROCEEDINGS</w:t>
      </w:r>
    </w:p>
    <w:p w14:paraId="3693FD40" w14:textId="77777777" w:rsidR="003734EC" w:rsidRDefault="000E364E">
      <w:pPr>
        <w:spacing w:after="180"/>
        <w:jc w:val="both"/>
      </w:pPr>
      <w:r>
        <w:rPr>
          <w:rFonts w:ascii="sans-serif" w:eastAsia="sans-serif" w:hAnsi="sans-serif" w:cs="sans-serif"/>
          <w:color w:val="000000"/>
          <w:sz w:val="20"/>
          <w:szCs w:val="20"/>
        </w:rPr>
        <w:t xml:space="preserve">Refer to Part I, Item 1, Note 13 of the Notes to Condensed </w:t>
      </w:r>
      <w:r>
        <w:rPr>
          <w:rFonts w:ascii="sans-serif" w:eastAsia="sans-serif" w:hAnsi="sans-serif" w:cs="sans-serif"/>
          <w:color w:val="000000"/>
          <w:sz w:val="20"/>
          <w:szCs w:val="20"/>
        </w:rPr>
        <w:t>Consolidated Financial Statements for a discussion of significant developments in our legal proceedings since January 26, 2020. Also refer to Item 3, “Legal Proceedings” in our Annual Report on Form 10-K for the fiscal year ended January 26, 2020 for a pri</w:t>
      </w:r>
      <w:r>
        <w:rPr>
          <w:rFonts w:ascii="sans-serif" w:eastAsia="sans-serif" w:hAnsi="sans-serif" w:cs="sans-serif"/>
          <w:color w:val="000000"/>
          <w:sz w:val="20"/>
          <w:szCs w:val="20"/>
        </w:rPr>
        <w:t>or discussion of our legal proceedings.</w:t>
      </w:r>
    </w:p>
    <w:p w14:paraId="3693FD41" w14:textId="77777777" w:rsidR="003734EC" w:rsidRDefault="000E364E">
      <w:pPr>
        <w:spacing w:before="240" w:after="120"/>
        <w:jc w:val="both"/>
      </w:pPr>
      <w:r>
        <w:rPr>
          <w:rFonts w:ascii="sans-serif" w:eastAsia="sans-serif" w:hAnsi="sans-serif" w:cs="sans-serif"/>
          <w:b/>
          <w:bCs/>
          <w:color w:val="76B900"/>
          <w:sz w:val="22"/>
          <w:szCs w:val="22"/>
        </w:rPr>
        <w:t>ITEM 1A. RISK FACTORS</w:t>
      </w:r>
    </w:p>
    <w:p w14:paraId="3693FD42" w14:textId="77777777" w:rsidR="003734EC" w:rsidRDefault="000E364E">
      <w:pPr>
        <w:spacing w:after="180"/>
        <w:jc w:val="both"/>
      </w:pPr>
      <w:r>
        <w:rPr>
          <w:rFonts w:ascii="sans-serif" w:eastAsia="sans-serif" w:hAnsi="sans-serif" w:cs="sans-serif"/>
          <w:color w:val="000000"/>
          <w:sz w:val="20"/>
          <w:szCs w:val="20"/>
        </w:rPr>
        <w:t>Refer to the description of the risk factors associated with our business previously disclosed in Item 1A of our Annual Report on Form 10-K for the fiscal year ended January 26, 2020. Other than</w:t>
      </w:r>
      <w:r>
        <w:rPr>
          <w:rFonts w:ascii="sans-serif" w:eastAsia="sans-serif" w:hAnsi="sans-serif" w:cs="sans-serif"/>
          <w:color w:val="000000"/>
          <w:sz w:val="20"/>
          <w:szCs w:val="20"/>
        </w:rPr>
        <w:t xml:space="preserve"> the risk factors listed below, there have been no material changes from the risk factors previously described under Item 1A of our Annual Report on Form 10-K for the fiscal year ended January 26, 2020.</w:t>
      </w:r>
    </w:p>
    <w:p w14:paraId="3693FD43" w14:textId="77777777" w:rsidR="003734EC" w:rsidRDefault="000E364E">
      <w:pPr>
        <w:spacing w:after="180"/>
        <w:jc w:val="both"/>
      </w:pPr>
      <w:r>
        <w:rPr>
          <w:rFonts w:ascii="sans-serif" w:eastAsia="sans-serif" w:hAnsi="sans-serif" w:cs="sans-serif"/>
          <w:color w:val="000000"/>
          <w:sz w:val="20"/>
          <w:szCs w:val="20"/>
        </w:rPr>
        <w:t>Before you buy our common stock, you should know that</w:t>
      </w:r>
      <w:r>
        <w:rPr>
          <w:rFonts w:ascii="sans-serif" w:eastAsia="sans-serif" w:hAnsi="sans-serif" w:cs="sans-serif"/>
          <w:color w:val="000000"/>
          <w:sz w:val="20"/>
          <w:szCs w:val="20"/>
        </w:rPr>
        <w:t xml:space="preserve"> making such an investment involves some risks including, but not limited to, the risks described in Item 1A of our Annual Report on Form 10-K for the fiscal year ended January 26, 2020. Additionally, any one of those risks could harm our business, financi</w:t>
      </w:r>
      <w:r>
        <w:rPr>
          <w:rFonts w:ascii="sans-serif" w:eastAsia="sans-serif" w:hAnsi="sans-serif" w:cs="sans-serif"/>
          <w:color w:val="000000"/>
          <w:sz w:val="20"/>
          <w:szCs w:val="20"/>
        </w:rPr>
        <w:t>al condition and results of operations, which could cause our stock price to decline. Additional risks and uncertainties not presently known to us or that we currently deem immaterial may also impair our business operations.</w:t>
      </w:r>
    </w:p>
    <w:p w14:paraId="3693FD44" w14:textId="77777777" w:rsidR="003734EC" w:rsidRDefault="000E364E">
      <w:pPr>
        <w:spacing w:before="120" w:after="120"/>
        <w:jc w:val="both"/>
      </w:pPr>
      <w:r>
        <w:rPr>
          <w:rFonts w:ascii="sans-serif" w:eastAsia="sans-serif" w:hAnsi="sans-serif" w:cs="sans-serif"/>
          <w:b/>
          <w:bCs/>
          <w:color w:val="000000"/>
          <w:sz w:val="20"/>
          <w:szCs w:val="20"/>
        </w:rPr>
        <w:t>The recent novel coronavirus (C</w:t>
      </w:r>
      <w:r>
        <w:rPr>
          <w:rFonts w:ascii="sans-serif" w:eastAsia="sans-serif" w:hAnsi="sans-serif" w:cs="sans-serif"/>
          <w:b/>
          <w:bCs/>
          <w:color w:val="000000"/>
          <w:sz w:val="20"/>
          <w:szCs w:val="20"/>
        </w:rPr>
        <w:t>OVID-19) pandemic could materially adversely affect our financial condition and results of operations.</w:t>
      </w:r>
    </w:p>
    <w:p w14:paraId="3693FD45" w14:textId="77777777" w:rsidR="003734EC" w:rsidRDefault="000E364E">
      <w:pPr>
        <w:spacing w:after="180"/>
        <w:jc w:val="both"/>
      </w:pPr>
      <w:r>
        <w:rPr>
          <w:rFonts w:ascii="sans-serif" w:eastAsia="sans-serif" w:hAnsi="sans-serif" w:cs="sans-serif"/>
          <w:color w:val="000000"/>
          <w:sz w:val="20"/>
          <w:szCs w:val="20"/>
        </w:rPr>
        <w:t>The novel strain of the coronavirus identified in late calendar 2019 (COVID-19) has spread worldwide, resulting in shutdowns of manufacturing and commerce in the months that followed. Since then, COVID-19 has resulted in government authorities implementing</w:t>
      </w:r>
      <w:r>
        <w:rPr>
          <w:rFonts w:ascii="sans-serif" w:eastAsia="sans-serif" w:hAnsi="sans-serif" w:cs="sans-serif"/>
          <w:color w:val="000000"/>
          <w:sz w:val="20"/>
          <w:szCs w:val="20"/>
        </w:rPr>
        <w:t xml:space="preserve"> numerous measures to try to contain the disease, such as travel bans and restrictions, quarantines, shelter-in-place orders and shutdowns. Our corporate headquarters, and a portion of our research and development activities and data center capacity, are l</w:t>
      </w:r>
      <w:r>
        <w:rPr>
          <w:rFonts w:ascii="sans-serif" w:eastAsia="sans-serif" w:hAnsi="sans-serif" w:cs="sans-serif"/>
          <w:color w:val="000000"/>
          <w:sz w:val="20"/>
          <w:szCs w:val="20"/>
        </w:rPr>
        <w:t>ocated in California, and other critical business operations, including most of our finished goods inventory, and many of our key suppliers, are located in the Asia Pacific Region. We have development, operations and employees in China, Hong Kong, India an</w:t>
      </w:r>
      <w:r>
        <w:rPr>
          <w:rFonts w:ascii="sans-serif" w:eastAsia="sans-serif" w:hAnsi="sans-serif" w:cs="sans-serif"/>
          <w:color w:val="000000"/>
          <w:sz w:val="20"/>
          <w:szCs w:val="20"/>
        </w:rPr>
        <w:t>d Taiwan, and the Asia Pacific region represents an important end market for our products. Our customers and suppliers within the Asia Pacific region are also affected by COVID-19 related restrictions and closures. These measures have impacted, and may fur</w:t>
      </w:r>
      <w:r>
        <w:rPr>
          <w:rFonts w:ascii="sans-serif" w:eastAsia="sans-serif" w:hAnsi="sans-serif" w:cs="sans-serif"/>
          <w:color w:val="000000"/>
          <w:sz w:val="20"/>
          <w:szCs w:val="20"/>
        </w:rPr>
        <w:t xml:space="preserve">ther </w:t>
      </w:r>
    </w:p>
    <w:p w14:paraId="3693FD46" w14:textId="77777777" w:rsidR="003734EC" w:rsidRDefault="000E364E">
      <w:pPr>
        <w:spacing w:after="180"/>
        <w:jc w:val="center"/>
      </w:pPr>
      <w:r>
        <w:rPr>
          <w:rFonts w:ascii="sans-serif" w:eastAsia="sans-serif" w:hAnsi="sans-serif" w:cs="sans-serif"/>
          <w:color w:val="000000"/>
          <w:sz w:val="20"/>
          <w:szCs w:val="20"/>
        </w:rPr>
        <w:t>29</w:t>
      </w:r>
    </w:p>
    <w:p w14:paraId="3693FD47" w14:textId="77777777" w:rsidR="003734EC" w:rsidRDefault="000E364E">
      <w:r>
        <w:pict w14:anchorId="3693FF66">
          <v:rect id="_x0000_i1052" style="width:415.3pt;height:1.5pt" o:hralign="center" o:hrstd="t" o:hr="t" fillcolor="#a0a0a0" stroked="f"/>
        </w:pict>
      </w:r>
    </w:p>
    <w:p w14:paraId="3693FD48" w14:textId="77777777" w:rsidR="003734EC" w:rsidRDefault="003734EC">
      <w:pPr>
        <w:spacing w:after="180"/>
        <w:jc w:val="both"/>
      </w:pPr>
    </w:p>
    <w:p w14:paraId="3693FD49" w14:textId="77777777" w:rsidR="003734EC" w:rsidRDefault="000E364E">
      <w:pPr>
        <w:spacing w:after="180"/>
        <w:jc w:val="both"/>
      </w:pPr>
      <w:r>
        <w:rPr>
          <w:rFonts w:ascii="sans-serif" w:eastAsia="sans-serif" w:hAnsi="sans-serif" w:cs="sans-serif"/>
          <w:color w:val="000000"/>
          <w:sz w:val="20"/>
          <w:szCs w:val="20"/>
        </w:rPr>
        <w:t>impact, our workforce and operations, the operations of our customers and our partners, and those of our respective vendors and suppliers (including our subcontractors and third-party contract manufacturers). For example, during the first quart</w:t>
      </w:r>
      <w:r>
        <w:rPr>
          <w:rFonts w:ascii="sans-serif" w:eastAsia="sans-serif" w:hAnsi="sans-serif" w:cs="sans-serif"/>
          <w:color w:val="000000"/>
          <w:sz w:val="20"/>
          <w:szCs w:val="20"/>
        </w:rPr>
        <w:t>er of fiscal year 2021, we experienced disruptions to our supply chain and logistical services provided by outsourcing partners and component supply, primarily based in Asia. The shelter-in-place or similar global orders have impacted demand for our gaming</w:t>
      </w:r>
      <w:r>
        <w:rPr>
          <w:rFonts w:ascii="sans-serif" w:eastAsia="sans-serif" w:hAnsi="sans-serif" w:cs="sans-serif"/>
          <w:color w:val="000000"/>
          <w:sz w:val="20"/>
          <w:szCs w:val="20"/>
        </w:rPr>
        <w:t xml:space="preserve"> products in many jurisdictions that rely on purchases at physical retailers due to temporary store closures, and demand from iCafes located in China which have temporarily closed. In addition, the global demand for automobiles has decreased during this ti</w:t>
      </w:r>
      <w:r>
        <w:rPr>
          <w:rFonts w:ascii="sans-serif" w:eastAsia="sans-serif" w:hAnsi="sans-serif" w:cs="sans-serif"/>
          <w:color w:val="000000"/>
          <w:sz w:val="20"/>
          <w:szCs w:val="20"/>
        </w:rPr>
        <w:t>me which negatively impacts demand for our automotive products and solutions. In some regions, the shelter-in-place orders have driven a temporary increase in demand, that may not be sustainable, for gaming, OEM platforms and compute infrastructure as a re</w:t>
      </w:r>
      <w:r>
        <w:rPr>
          <w:rFonts w:ascii="sans-serif" w:eastAsia="sans-serif" w:hAnsi="sans-serif" w:cs="sans-serif"/>
          <w:color w:val="000000"/>
          <w:sz w:val="20"/>
          <w:szCs w:val="20"/>
        </w:rPr>
        <w:t>sult of work from home, learn at home, and gaming.</w:t>
      </w:r>
    </w:p>
    <w:p w14:paraId="3693FD4A" w14:textId="77777777" w:rsidR="003734EC" w:rsidRDefault="000E364E">
      <w:pPr>
        <w:jc w:val="both"/>
      </w:pPr>
      <w:r>
        <w:rPr>
          <w:rFonts w:ascii="sans-serif" w:eastAsia="sans-serif" w:hAnsi="sans-serif" w:cs="sans-serif"/>
          <w:color w:val="000000"/>
          <w:sz w:val="20"/>
          <w:szCs w:val="20"/>
        </w:rPr>
        <w:t>The manufacture of product components, the final assembly of our products and other critical operations are concentrated in certain geographic locations, including Taiwan, China, Hong Kong and Korea. Addit</w:t>
      </w:r>
      <w:r>
        <w:rPr>
          <w:rFonts w:ascii="sans-serif" w:eastAsia="sans-serif" w:hAnsi="sans-serif" w:cs="sans-serif"/>
          <w:color w:val="000000"/>
          <w:sz w:val="20"/>
          <w:szCs w:val="20"/>
        </w:rPr>
        <w:t>ionally, a significant portion of our finished goods product distribution occurs through Hong Kong. Each of these countries has been affected by the pandemic and has taken measures to try to contain it. There is considerable uncertainty regarding the impac</w:t>
      </w:r>
      <w:r>
        <w:rPr>
          <w:rFonts w:ascii="sans-serif" w:eastAsia="sans-serif" w:hAnsi="sans-serif" w:cs="sans-serif"/>
          <w:color w:val="000000"/>
          <w:sz w:val="20"/>
          <w:szCs w:val="20"/>
        </w:rPr>
        <w:t>t of such measures and potential future measures, including restrictions on manufacturing facilities, on our support operations or workforce, or on our customers, partners, vendors and suppliers. Such measures, as well as restrictions or disruptions of tra</w:t>
      </w:r>
      <w:r>
        <w:rPr>
          <w:rFonts w:ascii="sans-serif" w:eastAsia="sans-serif" w:hAnsi="sans-serif" w:cs="sans-serif"/>
          <w:color w:val="000000"/>
          <w:sz w:val="20"/>
          <w:szCs w:val="20"/>
        </w:rPr>
        <w:t>nsportation, such as reduced availability or increased cost of air transport, port closures and increased border controls or closures, could limit our capacity to meet customer demand and have a material adverse effect on our financial condition and result</w:t>
      </w:r>
      <w:r>
        <w:rPr>
          <w:rFonts w:ascii="sans-serif" w:eastAsia="sans-serif" w:hAnsi="sans-serif" w:cs="sans-serif"/>
          <w:color w:val="000000"/>
          <w:sz w:val="20"/>
          <w:szCs w:val="20"/>
        </w:rPr>
        <w:t>s of operations.</w:t>
      </w:r>
    </w:p>
    <w:p w14:paraId="3693FD4B" w14:textId="77777777" w:rsidR="003734EC" w:rsidRDefault="003734EC"/>
    <w:p w14:paraId="3693FD4C" w14:textId="77777777" w:rsidR="003734EC" w:rsidRDefault="000E364E">
      <w:pPr>
        <w:spacing w:after="180"/>
        <w:jc w:val="both"/>
      </w:pPr>
      <w:r>
        <w:rPr>
          <w:rFonts w:ascii="sans-serif" w:eastAsia="sans-serif" w:hAnsi="sans-serif" w:cs="sans-serif"/>
          <w:color w:val="000000"/>
          <w:sz w:val="20"/>
          <w:szCs w:val="20"/>
        </w:rPr>
        <w:t>The spread of COVID-19 has caused us to modify our business practices (including employee travel, mandatory work-from-home policies and cancellation of physical participation in meetings, events and conferences), and we may take further a</w:t>
      </w:r>
      <w:r>
        <w:rPr>
          <w:rFonts w:ascii="sans-serif" w:eastAsia="sans-serif" w:hAnsi="sans-serif" w:cs="sans-serif"/>
          <w:color w:val="000000"/>
          <w:sz w:val="20"/>
          <w:szCs w:val="20"/>
        </w:rPr>
        <w:t>ctions as required by government authorities or that we determine are in the best interests of our employees, customers, partners and suppliers. There is no certainty that such measures will be sufficient to mitigate the risks posed by the disease, and our</w:t>
      </w:r>
      <w:r>
        <w:rPr>
          <w:rFonts w:ascii="sans-serif" w:eastAsia="sans-serif" w:hAnsi="sans-serif" w:cs="sans-serif"/>
          <w:color w:val="000000"/>
          <w:sz w:val="20"/>
          <w:szCs w:val="20"/>
        </w:rPr>
        <w:t xml:space="preserve"> ability to perform critical functions could be harmed.</w:t>
      </w:r>
    </w:p>
    <w:p w14:paraId="3693FD4D" w14:textId="77777777" w:rsidR="003734EC" w:rsidRDefault="000E364E">
      <w:pPr>
        <w:spacing w:after="180"/>
        <w:jc w:val="both"/>
      </w:pPr>
      <w:r>
        <w:rPr>
          <w:rFonts w:ascii="sans-serif" w:eastAsia="sans-serif" w:hAnsi="sans-serif" w:cs="sans-serif"/>
          <w:color w:val="000000"/>
          <w:sz w:val="20"/>
          <w:szCs w:val="20"/>
        </w:rPr>
        <w:t>In addition, while the extent and duration of the COVID-19 pandemic on the global economy and our business in particular is difficult to assess or predict, the pandemic has resulted in, and may contin</w:t>
      </w:r>
      <w:r>
        <w:rPr>
          <w:rFonts w:ascii="sans-serif" w:eastAsia="sans-serif" w:hAnsi="sans-serif" w:cs="sans-serif"/>
          <w:color w:val="000000"/>
          <w:sz w:val="20"/>
          <w:szCs w:val="20"/>
        </w:rPr>
        <w:t>ue to result in, significant disruption of global financial markets, which may reduce our ability to access capital or our customers’ ability to pay us for past or future purchases, which could negatively affect our liquidity. The COVID-19 pandemic could a</w:t>
      </w:r>
      <w:r>
        <w:rPr>
          <w:rFonts w:ascii="sans-serif" w:eastAsia="sans-serif" w:hAnsi="sans-serif" w:cs="sans-serif"/>
          <w:color w:val="000000"/>
          <w:sz w:val="20"/>
          <w:szCs w:val="20"/>
        </w:rPr>
        <w:t>lso reduce the demand for our products. In addition, a recession or financial market correction resulting from the spread of COVID-19 could decrease overall technology spending, adversely affecting demand for our products, our business and the value of our</w:t>
      </w:r>
      <w:r>
        <w:rPr>
          <w:rFonts w:ascii="sans-serif" w:eastAsia="sans-serif" w:hAnsi="sans-serif" w:cs="sans-serif"/>
          <w:color w:val="000000"/>
          <w:sz w:val="20"/>
          <w:szCs w:val="20"/>
        </w:rPr>
        <w:t xml:space="preserve"> common stock.</w:t>
      </w:r>
    </w:p>
    <w:p w14:paraId="3693FD4E" w14:textId="77777777" w:rsidR="003734EC" w:rsidRDefault="000E364E">
      <w:pPr>
        <w:spacing w:after="180"/>
        <w:jc w:val="both"/>
      </w:pPr>
      <w:r>
        <w:rPr>
          <w:rFonts w:ascii="sans-serif" w:eastAsia="sans-serif" w:hAnsi="sans-serif" w:cs="sans-serif"/>
          <w:color w:val="000000"/>
          <w:sz w:val="20"/>
          <w:szCs w:val="20"/>
        </w:rPr>
        <w:t>The global pandemic of COVID-19 continues to rapidly evolve, and we will continue to monitor the COVID-19 situation closely. The ultimate impact of the COVID-19 pandemic or a similar health epidemic is highly uncertain and subject to change.</w:t>
      </w:r>
      <w:r>
        <w:rPr>
          <w:rFonts w:ascii="sans-serif" w:eastAsia="sans-serif" w:hAnsi="sans-serif" w:cs="sans-serif"/>
          <w:color w:val="000000"/>
          <w:sz w:val="20"/>
          <w:szCs w:val="20"/>
        </w:rPr>
        <w:t xml:space="preserve"> The extent of the impact of the COVID-19 pandemic on our operational and financial performance, including our ability to execute our business strategies and initiatives in the expected time frame, will depend on future developments, including, but not lim</w:t>
      </w:r>
      <w:r>
        <w:rPr>
          <w:rFonts w:ascii="sans-serif" w:eastAsia="sans-serif" w:hAnsi="sans-serif" w:cs="sans-serif"/>
          <w:color w:val="000000"/>
          <w:sz w:val="20"/>
          <w:szCs w:val="20"/>
        </w:rPr>
        <w:t>ited to, the duration and spread of the pandemic, its severity, the actions to contain the disease or treat its impact, related restrictions on travel, and the duration, timing and severity of the impact on customer spending, including any recession result</w:t>
      </w:r>
      <w:r>
        <w:rPr>
          <w:rFonts w:ascii="sans-serif" w:eastAsia="sans-serif" w:hAnsi="sans-serif" w:cs="sans-serif"/>
          <w:color w:val="000000"/>
          <w:sz w:val="20"/>
          <w:szCs w:val="20"/>
        </w:rPr>
        <w:t xml:space="preserve">ing from the pandemic, all of which are uncertain and cannot be predicted. An extended period of global supply chain and economic disruption as a result of the COVID-19 pandemic could have a material negative impact on our business, results of operations, </w:t>
      </w:r>
      <w:r>
        <w:rPr>
          <w:rFonts w:ascii="sans-serif" w:eastAsia="sans-serif" w:hAnsi="sans-serif" w:cs="sans-serif"/>
          <w:color w:val="000000"/>
          <w:sz w:val="20"/>
          <w:szCs w:val="20"/>
        </w:rPr>
        <w:t>access to sources of liquidity and financial condition, though the full extent and duration is uncertain.</w:t>
      </w:r>
    </w:p>
    <w:p w14:paraId="3693FD4F" w14:textId="77777777" w:rsidR="003734EC" w:rsidRDefault="000E364E">
      <w:pPr>
        <w:spacing w:before="120" w:after="180"/>
      </w:pPr>
      <w:r>
        <w:rPr>
          <w:rFonts w:ascii="sans-serif" w:eastAsia="sans-serif" w:hAnsi="sans-serif" w:cs="sans-serif"/>
          <w:b/>
          <w:bCs/>
          <w:color w:val="000000"/>
          <w:sz w:val="20"/>
          <w:szCs w:val="20"/>
        </w:rPr>
        <w:t>Business disruptions could harm our business, lead to a decline in revenue and increase our costs.</w:t>
      </w:r>
    </w:p>
    <w:p w14:paraId="3693FD50" w14:textId="77777777" w:rsidR="003734EC" w:rsidRDefault="000E364E">
      <w:pPr>
        <w:spacing w:after="180"/>
        <w:jc w:val="both"/>
      </w:pPr>
      <w:r>
        <w:rPr>
          <w:rFonts w:ascii="sans-serif" w:eastAsia="sans-serif" w:hAnsi="sans-serif" w:cs="sans-serif"/>
          <w:color w:val="000000"/>
          <w:sz w:val="20"/>
          <w:szCs w:val="20"/>
        </w:rPr>
        <w:t>Our worldwide operations could be disrupted by eart</w:t>
      </w:r>
      <w:r>
        <w:rPr>
          <w:rFonts w:ascii="sans-serif" w:eastAsia="sans-serif" w:hAnsi="sans-serif" w:cs="sans-serif"/>
          <w:color w:val="000000"/>
          <w:sz w:val="20"/>
          <w:szCs w:val="20"/>
        </w:rPr>
        <w:t xml:space="preserve">hquakes, telecommunications failures, power or water shortages, outages at cloud service providers, tsunamis, floods, hurricanes, typhoons, fires, extreme weather conditions, cyber-attacks, terrorist attacks, medical epidemics or pandemics (including, but </w:t>
      </w:r>
      <w:r>
        <w:rPr>
          <w:rFonts w:ascii="sans-serif" w:eastAsia="sans-serif" w:hAnsi="sans-serif" w:cs="sans-serif"/>
          <w:color w:val="000000"/>
          <w:sz w:val="20"/>
          <w:szCs w:val="20"/>
        </w:rPr>
        <w:t>not limited to, COVID-19) and other natural or man-made disasters, catastrophic events or climate change. The occurrence of any of these disruptions could harm our business and result in significant losses, a decline in revenue and an increase in our costs</w:t>
      </w:r>
      <w:r>
        <w:rPr>
          <w:rFonts w:ascii="sans-serif" w:eastAsia="sans-serif" w:hAnsi="sans-serif" w:cs="sans-serif"/>
          <w:color w:val="000000"/>
          <w:sz w:val="20"/>
          <w:szCs w:val="20"/>
        </w:rPr>
        <w:t xml:space="preserve"> and expenses. Any of these business disruptions could require substantial expenditures and recovery time in order to fully resume operations. Such risks are discussed further in the risk factor “The recent novel coronavirus (COVID-19) pandemic could mater</w:t>
      </w:r>
      <w:r>
        <w:rPr>
          <w:rFonts w:ascii="sans-serif" w:eastAsia="sans-serif" w:hAnsi="sans-serif" w:cs="sans-serif"/>
          <w:color w:val="000000"/>
          <w:sz w:val="20"/>
          <w:szCs w:val="20"/>
        </w:rPr>
        <w:t>ially adversely affect our financial condition and results of operations.” Our corporate headquarters, and a portion of our research and development activities, are located in California, and other critical business operations, finished goods inventory, an</w:t>
      </w:r>
      <w:r>
        <w:rPr>
          <w:rFonts w:ascii="sans-serif" w:eastAsia="sans-serif" w:hAnsi="sans-serif" w:cs="sans-serif"/>
          <w:color w:val="000000"/>
          <w:sz w:val="20"/>
          <w:szCs w:val="20"/>
        </w:rPr>
        <w:t xml:space="preserve">d some of our suppliers are located in Asia, near major earthquake faults known for seismic activity. In addition, a large portion of our current data center capacity is located in California, making our operations vulnerable to natural disasters or other </w:t>
      </w:r>
      <w:r>
        <w:rPr>
          <w:rFonts w:ascii="sans-serif" w:eastAsia="sans-serif" w:hAnsi="sans-serif" w:cs="sans-serif"/>
          <w:color w:val="000000"/>
          <w:sz w:val="20"/>
          <w:szCs w:val="20"/>
        </w:rPr>
        <w:t xml:space="preserve">business disruptions occurring in these geographical areas. The manufacture of product </w:t>
      </w:r>
    </w:p>
    <w:p w14:paraId="3693FD51" w14:textId="77777777" w:rsidR="003734EC" w:rsidRDefault="000E364E">
      <w:pPr>
        <w:spacing w:after="180"/>
        <w:jc w:val="center"/>
      </w:pPr>
      <w:r>
        <w:rPr>
          <w:rFonts w:ascii="sans-serif" w:eastAsia="sans-serif" w:hAnsi="sans-serif" w:cs="sans-serif"/>
          <w:color w:val="000000"/>
          <w:sz w:val="20"/>
          <w:szCs w:val="20"/>
        </w:rPr>
        <w:t>30</w:t>
      </w:r>
    </w:p>
    <w:p w14:paraId="3693FD52" w14:textId="77777777" w:rsidR="003734EC" w:rsidRDefault="000E364E">
      <w:r>
        <w:pict w14:anchorId="3693FF67">
          <v:rect id="_x0000_i1053" style="width:415.3pt;height:1.5pt" o:hralign="center" o:hrstd="t" o:hr="t" fillcolor="#a0a0a0" stroked="f"/>
        </w:pict>
      </w:r>
    </w:p>
    <w:p w14:paraId="3693FD53" w14:textId="77777777" w:rsidR="003734EC" w:rsidRDefault="003734EC">
      <w:pPr>
        <w:spacing w:after="180"/>
        <w:jc w:val="both"/>
      </w:pPr>
    </w:p>
    <w:p w14:paraId="3693FD54" w14:textId="77777777" w:rsidR="003734EC" w:rsidRDefault="000E364E">
      <w:pPr>
        <w:spacing w:after="180"/>
        <w:jc w:val="both"/>
      </w:pPr>
      <w:r>
        <w:rPr>
          <w:rFonts w:ascii="sans-serif" w:eastAsia="sans-serif" w:hAnsi="sans-serif" w:cs="sans-serif"/>
          <w:color w:val="000000"/>
          <w:sz w:val="20"/>
          <w:szCs w:val="20"/>
        </w:rPr>
        <w:t>components, the final assembly of our products and other critical operations are concentrated in certain geographic locations, including Taiwan, China, Hong Kong,</w:t>
      </w:r>
      <w:r>
        <w:rPr>
          <w:rFonts w:ascii="sans-serif" w:eastAsia="sans-serif" w:hAnsi="sans-serif" w:cs="sans-serif"/>
          <w:color w:val="000000"/>
          <w:sz w:val="20"/>
          <w:szCs w:val="20"/>
        </w:rPr>
        <w:t xml:space="preserve"> and Korea. Additionally, a significant portion of our finished goods product distribution occurs through Hong Kong. Geopolitical change or changes in government regulations and policies in the United States or abroad may result in changing regulatory requ</w:t>
      </w:r>
      <w:r>
        <w:rPr>
          <w:rFonts w:ascii="sans-serif" w:eastAsia="sans-serif" w:hAnsi="sans-serif" w:cs="sans-serif"/>
          <w:color w:val="000000"/>
          <w:sz w:val="20"/>
          <w:szCs w:val="20"/>
        </w:rPr>
        <w:t>irements, trade policies, import duties and economic disruptions that could impact our operating strategies, product demand, access to global markets, hiring, and profitability. In particular, revisions to laws or regulations or their interpretation and en</w:t>
      </w:r>
      <w:r>
        <w:rPr>
          <w:rFonts w:ascii="sans-serif" w:eastAsia="sans-serif" w:hAnsi="sans-serif" w:cs="sans-serif"/>
          <w:color w:val="000000"/>
          <w:sz w:val="20"/>
          <w:szCs w:val="20"/>
        </w:rPr>
        <w:t>forcement could result in increased taxation, trade sanctions, the imposition of import duties or tariffs, restrictions and controls on imports or exports, or other retaliatory actions, which could have an adverse effect on our business plans. For example,</w:t>
      </w:r>
      <w:r>
        <w:rPr>
          <w:rFonts w:ascii="sans-serif" w:eastAsia="sans-serif" w:hAnsi="sans-serif" w:cs="sans-serif"/>
          <w:color w:val="000000"/>
          <w:sz w:val="20"/>
          <w:szCs w:val="20"/>
        </w:rPr>
        <w:t xml:space="preserve"> regulations to implement the Export Control Reform Act of 2018 could have an adverse effect on our business plans. Catastrophic events can also have an impact on third-party vendors who provide us critical infrastructure services for IT and research and d</w:t>
      </w:r>
      <w:r>
        <w:rPr>
          <w:rFonts w:ascii="sans-serif" w:eastAsia="sans-serif" w:hAnsi="sans-serif" w:cs="sans-serif"/>
          <w:color w:val="000000"/>
          <w:sz w:val="20"/>
          <w:szCs w:val="20"/>
        </w:rPr>
        <w:t>evelopment systems and personnel. Our operations could be harmed if manufacturing, logistics or other operations in these locations are disrupted for any reason, including natural disasters, high heat events or water shortages, information technology syste</w:t>
      </w:r>
      <w:r>
        <w:rPr>
          <w:rFonts w:ascii="sans-serif" w:eastAsia="sans-serif" w:hAnsi="sans-serif" w:cs="sans-serif"/>
          <w:color w:val="000000"/>
          <w:sz w:val="20"/>
          <w:szCs w:val="20"/>
        </w:rPr>
        <w:t>m failures, military actions or economic, business, labor, environmental, public health, regulatory or political issues. The ultimate impact on us, our third-party foundries and other suppliers and our general infrastructure of being located near major ear</w:t>
      </w:r>
      <w:r>
        <w:rPr>
          <w:rFonts w:ascii="sans-serif" w:eastAsia="sans-serif" w:hAnsi="sans-serif" w:cs="sans-serif"/>
          <w:color w:val="000000"/>
          <w:sz w:val="20"/>
          <w:szCs w:val="20"/>
        </w:rPr>
        <w:t>thquake faults and being consolidated in certain geographical areas is unknown. In the event a major earthquake or other disaster or catastrophic event affects us or the third-party systems on which we rely, our business could be harmed as a result of decl</w:t>
      </w:r>
      <w:r>
        <w:rPr>
          <w:rFonts w:ascii="sans-serif" w:eastAsia="sans-serif" w:hAnsi="sans-serif" w:cs="sans-serif"/>
          <w:color w:val="000000"/>
          <w:sz w:val="20"/>
          <w:szCs w:val="20"/>
        </w:rPr>
        <w:t>ines in revenue, increases in expenses, substantial expenditures and time spent to fully resume operations.</w:t>
      </w:r>
    </w:p>
    <w:p w14:paraId="3693FD55" w14:textId="77777777" w:rsidR="003734EC" w:rsidRDefault="000E364E">
      <w:pPr>
        <w:spacing w:before="120" w:after="120"/>
        <w:jc w:val="both"/>
      </w:pPr>
      <w:r>
        <w:rPr>
          <w:rFonts w:ascii="sans-serif" w:eastAsia="sans-serif" w:hAnsi="sans-serif" w:cs="sans-serif"/>
          <w:b/>
          <w:bCs/>
          <w:color w:val="000000"/>
          <w:sz w:val="20"/>
          <w:szCs w:val="20"/>
        </w:rPr>
        <w:t>We are subject to risks and uncertainties associated with international operations, which may harm our business.</w:t>
      </w:r>
    </w:p>
    <w:p w14:paraId="3693FD56" w14:textId="77777777" w:rsidR="003734EC" w:rsidRDefault="000E364E">
      <w:pPr>
        <w:spacing w:after="180"/>
        <w:jc w:val="both"/>
      </w:pPr>
      <w:r>
        <w:rPr>
          <w:rFonts w:ascii="sans-serif" w:eastAsia="sans-serif" w:hAnsi="sans-serif" w:cs="sans-serif"/>
          <w:color w:val="000000"/>
          <w:sz w:val="20"/>
          <w:szCs w:val="20"/>
        </w:rPr>
        <w:t xml:space="preserve">We conduct our business </w:t>
      </w:r>
      <w:r>
        <w:rPr>
          <w:rFonts w:ascii="sans-serif" w:eastAsia="sans-serif" w:hAnsi="sans-serif" w:cs="sans-serif"/>
          <w:color w:val="000000"/>
          <w:sz w:val="20"/>
          <w:szCs w:val="20"/>
        </w:rPr>
        <w:t xml:space="preserve">worldwide and we have offices in various countries outside of the United States. Our semiconductor wafers are manufactured, assembled, tested and packaged by third parties located outside of the United States. We also generate a significant portion of our </w:t>
      </w:r>
      <w:r>
        <w:rPr>
          <w:rFonts w:ascii="sans-serif" w:eastAsia="sans-serif" w:hAnsi="sans-serif" w:cs="sans-serif"/>
          <w:color w:val="000000"/>
          <w:sz w:val="20"/>
          <w:szCs w:val="20"/>
        </w:rPr>
        <w:t>revenue from sales outside the United States. We allocate revenue to individual countries based on the location to which the products are initially billed even if our customers’ revenue is attributable to end customers that are located in a different locat</w:t>
      </w:r>
      <w:r>
        <w:rPr>
          <w:rFonts w:ascii="sans-serif" w:eastAsia="sans-serif" w:hAnsi="sans-serif" w:cs="sans-serif"/>
          <w:color w:val="000000"/>
          <w:sz w:val="20"/>
          <w:szCs w:val="20"/>
        </w:rPr>
        <w:t>ion. Revenue from sales outside of the United States accounted for 84% and 93% of total revenue for the first quarter of fiscal years 2021 and 2020, respectively Revenue from billings to China, including Hong Kong, was 25% of our revenue for the first quar</w:t>
      </w:r>
      <w:r>
        <w:rPr>
          <w:rFonts w:ascii="sans-serif" w:eastAsia="sans-serif" w:hAnsi="sans-serif" w:cs="sans-serif"/>
          <w:color w:val="000000"/>
          <w:sz w:val="20"/>
          <w:szCs w:val="20"/>
        </w:rPr>
        <w:t xml:space="preserve">ter of fiscal year 2021, even if our customers' revenue is attributable to end customers that are located in a different location. Additionally, as of April 26, 2020, approximately 46% of our employees were located outside of the United States. The global </w:t>
      </w:r>
      <w:r>
        <w:rPr>
          <w:rFonts w:ascii="sans-serif" w:eastAsia="sans-serif" w:hAnsi="sans-serif" w:cs="sans-serif"/>
          <w:color w:val="000000"/>
          <w:sz w:val="20"/>
          <w:szCs w:val="20"/>
        </w:rPr>
        <w:t>nature of our business subjects us to a number of risks and uncertainties, which could have a material adverse effect on our business, financial condition and results of operations, including:</w:t>
      </w:r>
    </w:p>
    <w:p w14:paraId="3693FD57" w14:textId="77777777" w:rsidR="003734EC" w:rsidRDefault="000E364E">
      <w:pPr>
        <w:spacing w:after="180"/>
        <w:ind w:hanging="360"/>
        <w:jc w:val="both"/>
      </w:pPr>
      <w:r>
        <w:rPr>
          <w:rFonts w:ascii="sans-serif" w:eastAsia="sans-serif" w:hAnsi="sans-serif" w:cs="sans-serif"/>
          <w:color w:val="000000"/>
          <w:sz w:val="20"/>
          <w:szCs w:val="20"/>
        </w:rPr>
        <w:t xml:space="preserve">•international economic and political conditions, including as </w:t>
      </w:r>
      <w:r>
        <w:rPr>
          <w:rFonts w:ascii="sans-serif" w:eastAsia="sans-serif" w:hAnsi="sans-serif" w:cs="sans-serif"/>
          <w:color w:val="000000"/>
          <w:sz w:val="20"/>
          <w:szCs w:val="20"/>
        </w:rPr>
        <w:t>a result of the United Kingdom's vote to withdraw from the European Union, and other political tensions between countries in which we do business;</w:t>
      </w:r>
    </w:p>
    <w:p w14:paraId="3693FD58" w14:textId="77777777" w:rsidR="003734EC" w:rsidRDefault="000E364E">
      <w:pPr>
        <w:spacing w:after="180"/>
        <w:ind w:hanging="360"/>
        <w:jc w:val="both"/>
      </w:pPr>
      <w:r>
        <w:rPr>
          <w:rFonts w:ascii="sans-serif" w:eastAsia="sans-serif" w:hAnsi="sans-serif" w:cs="sans-serif"/>
          <w:color w:val="000000"/>
          <w:sz w:val="20"/>
          <w:szCs w:val="20"/>
        </w:rPr>
        <w:t>•unexpected changes in, or impositions of, legislative or regulatory requirements, including changes in tax l</w:t>
      </w:r>
      <w:r>
        <w:rPr>
          <w:rFonts w:ascii="sans-serif" w:eastAsia="sans-serif" w:hAnsi="sans-serif" w:cs="sans-serif"/>
          <w:color w:val="000000"/>
          <w:sz w:val="20"/>
          <w:szCs w:val="20"/>
        </w:rPr>
        <w:t>aws;</w:t>
      </w:r>
    </w:p>
    <w:p w14:paraId="3693FD59" w14:textId="77777777" w:rsidR="003734EC" w:rsidRDefault="000E364E">
      <w:pPr>
        <w:spacing w:after="180"/>
        <w:ind w:hanging="360"/>
        <w:jc w:val="both"/>
      </w:pPr>
      <w:r>
        <w:rPr>
          <w:rFonts w:ascii="sans-serif" w:eastAsia="sans-serif" w:hAnsi="sans-serif" w:cs="sans-serif"/>
          <w:color w:val="000000"/>
          <w:sz w:val="20"/>
          <w:szCs w:val="20"/>
        </w:rPr>
        <w:t>•differing legal standards with respect to protection of intellectual property and employment practices;</w:t>
      </w:r>
    </w:p>
    <w:p w14:paraId="3693FD5A" w14:textId="77777777" w:rsidR="003734EC" w:rsidRDefault="000E364E">
      <w:pPr>
        <w:spacing w:after="180"/>
        <w:ind w:hanging="360"/>
        <w:jc w:val="both"/>
      </w:pPr>
      <w:r>
        <w:rPr>
          <w:rFonts w:ascii="sans-serif" w:eastAsia="sans-serif" w:hAnsi="sans-serif" w:cs="sans-serif"/>
          <w:color w:val="000000"/>
          <w:sz w:val="20"/>
          <w:szCs w:val="20"/>
        </w:rPr>
        <w:t>•local business and cultural factors that differ from our normal standards and practices, including business practices that we are prohibited from</w:t>
      </w:r>
      <w:r>
        <w:rPr>
          <w:rFonts w:ascii="sans-serif" w:eastAsia="sans-serif" w:hAnsi="sans-serif" w:cs="sans-serif"/>
          <w:color w:val="000000"/>
          <w:sz w:val="20"/>
          <w:szCs w:val="20"/>
        </w:rPr>
        <w:t xml:space="preserve"> engaging in by the Foreign Corrupt Practices Act and other anticorruption laws and regulations;</w:t>
      </w:r>
    </w:p>
    <w:p w14:paraId="3693FD5B" w14:textId="77777777" w:rsidR="003734EC" w:rsidRDefault="000E364E">
      <w:pPr>
        <w:spacing w:after="180"/>
        <w:ind w:hanging="360"/>
        <w:jc w:val="both"/>
      </w:pPr>
      <w:r>
        <w:rPr>
          <w:rFonts w:ascii="sans-serif" w:eastAsia="sans-serif" w:hAnsi="sans-serif" w:cs="sans-serif"/>
          <w:color w:val="000000"/>
          <w:sz w:val="20"/>
          <w:szCs w:val="20"/>
        </w:rPr>
        <w:t>•exporting or importing issues related to export or import restrictions, including deemed export restrictions, tariffs, quotas and other trade barriers and res</w:t>
      </w:r>
      <w:r>
        <w:rPr>
          <w:rFonts w:ascii="sans-serif" w:eastAsia="sans-serif" w:hAnsi="sans-serif" w:cs="sans-serif"/>
          <w:color w:val="000000"/>
          <w:sz w:val="20"/>
          <w:szCs w:val="20"/>
        </w:rPr>
        <w:t>trictions;</w:t>
      </w:r>
    </w:p>
    <w:p w14:paraId="3693FD5C" w14:textId="77777777" w:rsidR="003734EC" w:rsidRDefault="000E364E">
      <w:pPr>
        <w:spacing w:after="180"/>
        <w:ind w:hanging="360"/>
        <w:jc w:val="both"/>
      </w:pPr>
      <w:r>
        <w:rPr>
          <w:rFonts w:ascii="sans-serif" w:eastAsia="sans-serif" w:hAnsi="sans-serif" w:cs="sans-serif"/>
          <w:color w:val="000000"/>
          <w:sz w:val="20"/>
          <w:szCs w:val="20"/>
        </w:rPr>
        <w:t>•disruptions of capital and trading markets and currency fluctuations;</w:t>
      </w:r>
    </w:p>
    <w:p w14:paraId="3693FD5D" w14:textId="77777777" w:rsidR="003734EC" w:rsidRDefault="000E364E">
      <w:pPr>
        <w:spacing w:after="180"/>
        <w:ind w:hanging="360"/>
        <w:jc w:val="both"/>
      </w:pPr>
      <w:r>
        <w:rPr>
          <w:rFonts w:ascii="sans-serif" w:eastAsia="sans-serif" w:hAnsi="sans-serif" w:cs="sans-serif"/>
          <w:color w:val="000000"/>
          <w:sz w:val="20"/>
          <w:szCs w:val="20"/>
        </w:rPr>
        <w:t>•increased costs due to imposition of climate change regulations, such as carbon taxes, fuel or energy taxes, and pollution limits; and</w:t>
      </w:r>
    </w:p>
    <w:p w14:paraId="3693FD5E" w14:textId="77777777" w:rsidR="003734EC" w:rsidRDefault="000E364E">
      <w:pPr>
        <w:spacing w:after="180"/>
        <w:ind w:hanging="360"/>
        <w:jc w:val="both"/>
      </w:pPr>
      <w:r>
        <w:rPr>
          <w:rFonts w:ascii="sans-serif" w:eastAsia="sans-serif" w:hAnsi="sans-serif" w:cs="sans-serif"/>
          <w:color w:val="000000"/>
          <w:sz w:val="20"/>
          <w:szCs w:val="20"/>
        </w:rPr>
        <w:t xml:space="preserve">•natural disasters, public </w:t>
      </w:r>
      <w:r>
        <w:rPr>
          <w:rFonts w:ascii="sans-serif" w:eastAsia="sans-serif" w:hAnsi="sans-serif" w:cs="sans-serif"/>
          <w:color w:val="000000"/>
          <w:sz w:val="20"/>
          <w:szCs w:val="20"/>
        </w:rPr>
        <w:t>health issues (including the COVID-19 pandemic discussed further in the risk factor “The recent novel coronavirus (COVID-19) pandemic could materially adversely affect our financial condition and results of operations,” above), and other catastrophic event</w:t>
      </w:r>
      <w:r>
        <w:rPr>
          <w:rFonts w:ascii="sans-serif" w:eastAsia="sans-serif" w:hAnsi="sans-serif" w:cs="sans-serif"/>
          <w:color w:val="000000"/>
          <w:sz w:val="20"/>
          <w:szCs w:val="20"/>
        </w:rPr>
        <w:t>s.</w:t>
      </w:r>
    </w:p>
    <w:p w14:paraId="3693FD5F" w14:textId="77777777" w:rsidR="003734EC" w:rsidRDefault="000E364E">
      <w:pPr>
        <w:spacing w:after="180"/>
        <w:jc w:val="both"/>
      </w:pPr>
      <w:r>
        <w:rPr>
          <w:rFonts w:ascii="sans-serif" w:eastAsia="sans-serif" w:hAnsi="sans-serif" w:cs="sans-serif"/>
          <w:color w:val="000000"/>
          <w:sz w:val="20"/>
          <w:szCs w:val="20"/>
        </w:rPr>
        <w:t>If our sales outside of the United States are delayed or cancelled because of any of the above factors, our revenue may be negatively impacted.</w:t>
      </w:r>
    </w:p>
    <w:p w14:paraId="3693FD60" w14:textId="77777777" w:rsidR="003734EC" w:rsidRDefault="000E364E">
      <w:pPr>
        <w:spacing w:after="180"/>
        <w:jc w:val="both"/>
      </w:pPr>
      <w:r>
        <w:rPr>
          <w:rFonts w:ascii="sans-serif" w:eastAsia="sans-serif" w:hAnsi="sans-serif" w:cs="sans-serif"/>
          <w:color w:val="000000"/>
          <w:sz w:val="20"/>
          <w:szCs w:val="20"/>
        </w:rPr>
        <w:t xml:space="preserve">Adverse changes in global or regional economic conditions, including recession or slowing growth, changes or </w:t>
      </w:r>
      <w:r>
        <w:rPr>
          <w:rFonts w:ascii="sans-serif" w:eastAsia="sans-serif" w:hAnsi="sans-serif" w:cs="sans-serif"/>
          <w:color w:val="000000"/>
          <w:sz w:val="20"/>
          <w:szCs w:val="20"/>
        </w:rPr>
        <w:t xml:space="preserve">uncertainty in fiscal, monetary, or trade policy, higher interest rates, tighter credit, inflation, lower capital expenditures </w:t>
      </w:r>
    </w:p>
    <w:p w14:paraId="3693FD61" w14:textId="77777777" w:rsidR="003734EC" w:rsidRDefault="000E364E">
      <w:pPr>
        <w:spacing w:after="180"/>
        <w:jc w:val="center"/>
      </w:pPr>
      <w:r>
        <w:rPr>
          <w:rFonts w:ascii="sans-serif" w:eastAsia="sans-serif" w:hAnsi="sans-serif" w:cs="sans-serif"/>
          <w:color w:val="000000"/>
          <w:sz w:val="20"/>
          <w:szCs w:val="20"/>
        </w:rPr>
        <w:t>31</w:t>
      </w:r>
    </w:p>
    <w:p w14:paraId="3693FD62" w14:textId="77777777" w:rsidR="003734EC" w:rsidRDefault="000E364E">
      <w:r>
        <w:pict w14:anchorId="3693FF68">
          <v:rect id="_x0000_i1054" style="width:415.3pt;height:1.5pt" o:hralign="center" o:hrstd="t" o:hr="t" fillcolor="#a0a0a0" stroked="f"/>
        </w:pict>
      </w:r>
    </w:p>
    <w:p w14:paraId="3693FD63" w14:textId="77777777" w:rsidR="003734EC" w:rsidRDefault="003734EC">
      <w:pPr>
        <w:spacing w:after="180"/>
        <w:jc w:val="both"/>
      </w:pPr>
    </w:p>
    <w:p w14:paraId="3693FD64" w14:textId="77777777" w:rsidR="003734EC" w:rsidRDefault="000E364E">
      <w:pPr>
        <w:spacing w:after="180"/>
        <w:jc w:val="both"/>
      </w:pPr>
      <w:r>
        <w:rPr>
          <w:rFonts w:ascii="sans-serif" w:eastAsia="sans-serif" w:hAnsi="sans-serif" w:cs="sans-serif"/>
          <w:color w:val="000000"/>
          <w:sz w:val="20"/>
          <w:szCs w:val="20"/>
        </w:rPr>
        <w:t>by businesses including on IT infrastructure, increases in unemployment, and lower consumer confidence and spending, perio</w:t>
      </w:r>
      <w:r>
        <w:rPr>
          <w:rFonts w:ascii="sans-serif" w:eastAsia="sans-serif" w:hAnsi="sans-serif" w:cs="sans-serif"/>
          <w:color w:val="000000"/>
          <w:sz w:val="20"/>
          <w:szCs w:val="20"/>
        </w:rPr>
        <w:t>dically occur. The COVID-19 pandemic has significantly increased economic and demand uncertainty. It is likely that the continued spread of COVID-19 will cause an economic slowdown, and it is possible that it could cause a global recession. Adverse changes</w:t>
      </w:r>
      <w:r>
        <w:rPr>
          <w:rFonts w:ascii="sans-serif" w:eastAsia="sans-serif" w:hAnsi="sans-serif" w:cs="sans-serif"/>
          <w:color w:val="000000"/>
          <w:sz w:val="20"/>
          <w:szCs w:val="20"/>
        </w:rPr>
        <w:t xml:space="preserve"> in economic conditions, including as a result of the pandemic, can significantly harm demand for our products and make it more challenging to forecast our operating results and make business decisions, including regarding prioritization of investments in </w:t>
      </w:r>
      <w:r>
        <w:rPr>
          <w:rFonts w:ascii="sans-serif" w:eastAsia="sans-serif" w:hAnsi="sans-serif" w:cs="sans-serif"/>
          <w:color w:val="000000"/>
          <w:sz w:val="20"/>
          <w:szCs w:val="20"/>
        </w:rPr>
        <w:t>our business. An economic downturn or increased uncertainty may also lead to increased credit and collectability risks, higher borrowing costs or reduced availability of capital markets, reduced liquidity, adverse impacts on our suppliers, failures of coun</w:t>
      </w:r>
      <w:r>
        <w:rPr>
          <w:rFonts w:ascii="sans-serif" w:eastAsia="sans-serif" w:hAnsi="sans-serif" w:cs="sans-serif"/>
          <w:color w:val="000000"/>
          <w:sz w:val="20"/>
          <w:szCs w:val="20"/>
        </w:rPr>
        <w:t>terparties including financial institutions and insurers, asset impairments, and declines in the value of our financial instruments.</w:t>
      </w:r>
    </w:p>
    <w:p w14:paraId="3693FD65" w14:textId="77777777" w:rsidR="003734EC" w:rsidRDefault="000E364E">
      <w:pPr>
        <w:spacing w:before="120"/>
        <w:jc w:val="both"/>
      </w:pPr>
      <w:r>
        <w:rPr>
          <w:rFonts w:ascii="sans-serif" w:eastAsia="sans-serif" w:hAnsi="sans-serif" w:cs="sans-serif"/>
          <w:b/>
          <w:bCs/>
          <w:color w:val="000000"/>
          <w:sz w:val="20"/>
          <w:szCs w:val="20"/>
        </w:rPr>
        <w:t>We may not be able to realize the potential financial or strategic benefits of business acquisitions or strategic investmen</w:t>
      </w:r>
      <w:r>
        <w:rPr>
          <w:rFonts w:ascii="sans-serif" w:eastAsia="sans-serif" w:hAnsi="sans-serif" w:cs="sans-serif"/>
          <w:b/>
          <w:bCs/>
          <w:color w:val="000000"/>
          <w:sz w:val="20"/>
          <w:szCs w:val="20"/>
        </w:rPr>
        <w:t>ts, including the Mellanox acquisition, and we may not be able to successfully integrate acquisition targets, which could hurt our ability to grow our business, develop new products or sell our products.</w:t>
      </w:r>
    </w:p>
    <w:p w14:paraId="3693FD66" w14:textId="77777777" w:rsidR="003734EC" w:rsidRDefault="000E364E">
      <w:pPr>
        <w:spacing w:before="180" w:after="180"/>
        <w:jc w:val="both"/>
      </w:pPr>
      <w:r>
        <w:rPr>
          <w:rFonts w:ascii="sans-serif" w:eastAsia="sans-serif" w:hAnsi="sans-serif" w:cs="sans-serif"/>
          <w:color w:val="000000"/>
          <w:sz w:val="20"/>
          <w:szCs w:val="20"/>
        </w:rPr>
        <w:t>We have in the past acquired and invested in, and ma</w:t>
      </w:r>
      <w:r>
        <w:rPr>
          <w:rFonts w:ascii="sans-serif" w:eastAsia="sans-serif" w:hAnsi="sans-serif" w:cs="sans-serif"/>
          <w:color w:val="000000"/>
          <w:sz w:val="20"/>
          <w:szCs w:val="20"/>
        </w:rPr>
        <w:t>y continue to acquire and invest in, other businesses that offer products, services and technologies that we believe will help expand or enhance our existing products, strategic objectives and business. We completed our acquisition of Mellanox for approxim</w:t>
      </w:r>
      <w:r>
        <w:rPr>
          <w:rFonts w:ascii="sans-serif" w:eastAsia="sans-serif" w:hAnsi="sans-serif" w:cs="sans-serif"/>
          <w:color w:val="000000"/>
          <w:sz w:val="20"/>
          <w:szCs w:val="20"/>
        </w:rPr>
        <w:t xml:space="preserve">ately $7.0 billion on April 27, 2020. The Mellanox acquisition and other past or future acquisitions or investments involve significant challenges and risks, and could impair our ability to grow our business, develop new products or sell our products, and </w:t>
      </w:r>
      <w:r>
        <w:rPr>
          <w:rFonts w:ascii="sans-serif" w:eastAsia="sans-serif" w:hAnsi="sans-serif" w:cs="sans-serif"/>
          <w:color w:val="000000"/>
          <w:sz w:val="20"/>
          <w:szCs w:val="20"/>
        </w:rPr>
        <w:t>ultimately could have a negative impact on our growth or our financial results. Given that our resources are limited, our decision to pursue a transaction has opportunity costs; accordingly, if we pursue a particular transaction, we may need to forgo the p</w:t>
      </w:r>
      <w:r>
        <w:rPr>
          <w:rFonts w:ascii="sans-serif" w:eastAsia="sans-serif" w:hAnsi="sans-serif" w:cs="sans-serif"/>
          <w:color w:val="000000"/>
          <w:sz w:val="20"/>
          <w:szCs w:val="20"/>
        </w:rPr>
        <w:t>rospect of entering into other transactions that could help us achieve our strategic objectives. Additional risks related to the Mellanox acquisition, and other acquisitions or strategic investments include, but are not limited to:</w:t>
      </w:r>
    </w:p>
    <w:p w14:paraId="3693FD67" w14:textId="77777777" w:rsidR="003734EC" w:rsidRDefault="000E364E">
      <w:pPr>
        <w:spacing w:after="180"/>
        <w:ind w:hanging="360"/>
        <w:jc w:val="both"/>
      </w:pPr>
      <w:r>
        <w:rPr>
          <w:rFonts w:ascii="sans-serif" w:eastAsia="sans-serif" w:hAnsi="sans-serif" w:cs="sans-serif"/>
          <w:color w:val="000000"/>
          <w:sz w:val="20"/>
          <w:szCs w:val="20"/>
        </w:rPr>
        <w:t>•difficulty in combining</w:t>
      </w:r>
      <w:r>
        <w:rPr>
          <w:rFonts w:ascii="sans-serif" w:eastAsia="sans-serif" w:hAnsi="sans-serif" w:cs="sans-serif"/>
          <w:color w:val="000000"/>
          <w:sz w:val="20"/>
          <w:szCs w:val="20"/>
        </w:rPr>
        <w:t xml:space="preserve"> the technology, products, operations or workforce of the acquired business with our business;</w:t>
      </w:r>
    </w:p>
    <w:p w14:paraId="3693FD68" w14:textId="77777777" w:rsidR="003734EC" w:rsidRDefault="000E364E">
      <w:pPr>
        <w:spacing w:after="180"/>
        <w:ind w:hanging="360"/>
        <w:jc w:val="both"/>
      </w:pPr>
      <w:r>
        <w:rPr>
          <w:rFonts w:ascii="sans-serif" w:eastAsia="sans-serif" w:hAnsi="sans-serif" w:cs="sans-serif"/>
          <w:color w:val="000000"/>
          <w:sz w:val="20"/>
          <w:szCs w:val="20"/>
        </w:rPr>
        <w:t>•diversion of capital and other resources, including management’s attention;</w:t>
      </w:r>
    </w:p>
    <w:p w14:paraId="3693FD69" w14:textId="77777777" w:rsidR="003734EC" w:rsidRDefault="000E364E">
      <w:pPr>
        <w:spacing w:after="180"/>
        <w:ind w:hanging="360"/>
        <w:jc w:val="both"/>
      </w:pPr>
      <w:r>
        <w:rPr>
          <w:rFonts w:ascii="sans-serif" w:eastAsia="sans-serif" w:hAnsi="sans-serif" w:cs="sans-serif"/>
          <w:color w:val="000000"/>
          <w:sz w:val="20"/>
          <w:szCs w:val="20"/>
        </w:rPr>
        <w:t>•assumption of liabilities and incurring amortization expenses, impairment charges t</w:t>
      </w:r>
      <w:r>
        <w:rPr>
          <w:rFonts w:ascii="sans-serif" w:eastAsia="sans-serif" w:hAnsi="sans-serif" w:cs="sans-serif"/>
          <w:color w:val="000000"/>
          <w:sz w:val="20"/>
          <w:szCs w:val="20"/>
        </w:rPr>
        <w:t>o goodwill or write-downs of acquired assets;</w:t>
      </w:r>
    </w:p>
    <w:p w14:paraId="3693FD6A" w14:textId="77777777" w:rsidR="003734EC" w:rsidRDefault="000E364E">
      <w:pPr>
        <w:spacing w:after="180"/>
        <w:ind w:hanging="360"/>
        <w:jc w:val="both"/>
      </w:pPr>
      <w:r>
        <w:rPr>
          <w:rFonts w:ascii="sans-serif" w:eastAsia="sans-serif" w:hAnsi="sans-serif" w:cs="sans-serif"/>
          <w:color w:val="000000"/>
          <w:sz w:val="20"/>
          <w:szCs w:val="20"/>
        </w:rPr>
        <w:t>•integrating financial forecasting and controls, procedures and reporting cycles;</w:t>
      </w:r>
    </w:p>
    <w:p w14:paraId="3693FD6B" w14:textId="77777777" w:rsidR="003734EC" w:rsidRDefault="000E364E">
      <w:pPr>
        <w:spacing w:after="180"/>
        <w:ind w:hanging="360"/>
        <w:jc w:val="both"/>
      </w:pPr>
      <w:r>
        <w:rPr>
          <w:rFonts w:ascii="sans-serif" w:eastAsia="sans-serif" w:hAnsi="sans-serif" w:cs="sans-serif"/>
          <w:color w:val="000000"/>
          <w:sz w:val="20"/>
          <w:szCs w:val="20"/>
        </w:rPr>
        <w:t>•coordinating and integrating operations in countries in which we have not previously operated;</w:t>
      </w:r>
    </w:p>
    <w:p w14:paraId="3693FD6C" w14:textId="77777777" w:rsidR="003734EC" w:rsidRDefault="000E364E">
      <w:pPr>
        <w:spacing w:after="180"/>
        <w:ind w:hanging="360"/>
        <w:jc w:val="both"/>
      </w:pPr>
      <w:r>
        <w:rPr>
          <w:rFonts w:ascii="sans-serif" w:eastAsia="sans-serif" w:hAnsi="sans-serif" w:cs="sans-serif"/>
          <w:color w:val="000000"/>
          <w:sz w:val="20"/>
          <w:szCs w:val="20"/>
        </w:rPr>
        <w:t>•difficulty in realizing a satis</w:t>
      </w:r>
      <w:r>
        <w:rPr>
          <w:rFonts w:ascii="sans-serif" w:eastAsia="sans-serif" w:hAnsi="sans-serif" w:cs="sans-serif"/>
          <w:color w:val="000000"/>
          <w:sz w:val="20"/>
          <w:szCs w:val="20"/>
        </w:rPr>
        <w:t>factory return, if at all;</w:t>
      </w:r>
    </w:p>
    <w:p w14:paraId="3693FD6D" w14:textId="77777777" w:rsidR="003734EC" w:rsidRDefault="000E364E">
      <w:pPr>
        <w:spacing w:after="180"/>
        <w:ind w:hanging="360"/>
        <w:jc w:val="both"/>
      </w:pPr>
      <w:r>
        <w:rPr>
          <w:rFonts w:ascii="sans-serif" w:eastAsia="sans-serif" w:hAnsi="sans-serif" w:cs="sans-serif"/>
          <w:color w:val="000000"/>
          <w:sz w:val="20"/>
          <w:szCs w:val="20"/>
        </w:rPr>
        <w:t>•difficulty in obtaining regulatory, other approvals or financing;</w:t>
      </w:r>
    </w:p>
    <w:p w14:paraId="3693FD6E" w14:textId="77777777" w:rsidR="003734EC" w:rsidRDefault="000E364E">
      <w:pPr>
        <w:spacing w:after="180"/>
        <w:ind w:hanging="360"/>
        <w:jc w:val="both"/>
      </w:pPr>
      <w:r>
        <w:rPr>
          <w:rFonts w:ascii="sans-serif" w:eastAsia="sans-serif" w:hAnsi="sans-serif" w:cs="sans-serif"/>
          <w:color w:val="000000"/>
          <w:sz w:val="20"/>
          <w:szCs w:val="20"/>
        </w:rPr>
        <w:t>•failure and costs associated with the failure to consummate a proposed acquisition or other strategic investment;</w:t>
      </w:r>
    </w:p>
    <w:p w14:paraId="3693FD6F" w14:textId="77777777" w:rsidR="003734EC" w:rsidRDefault="000E364E">
      <w:pPr>
        <w:spacing w:after="180"/>
        <w:ind w:hanging="360"/>
        <w:jc w:val="both"/>
      </w:pPr>
      <w:r>
        <w:rPr>
          <w:rFonts w:ascii="sans-serif" w:eastAsia="sans-serif" w:hAnsi="sans-serif" w:cs="sans-serif"/>
          <w:color w:val="000000"/>
          <w:sz w:val="20"/>
          <w:szCs w:val="20"/>
        </w:rPr>
        <w:t xml:space="preserve">•legal proceedings initiated as a result of an </w:t>
      </w:r>
      <w:r>
        <w:rPr>
          <w:rFonts w:ascii="sans-serif" w:eastAsia="sans-serif" w:hAnsi="sans-serif" w:cs="sans-serif"/>
          <w:color w:val="000000"/>
          <w:sz w:val="20"/>
          <w:szCs w:val="20"/>
        </w:rPr>
        <w:t>acquisition or investment;</w:t>
      </w:r>
    </w:p>
    <w:p w14:paraId="3693FD70" w14:textId="77777777" w:rsidR="003734EC" w:rsidRDefault="000E364E">
      <w:pPr>
        <w:spacing w:after="180"/>
        <w:ind w:hanging="360"/>
        <w:jc w:val="both"/>
      </w:pPr>
      <w:r>
        <w:rPr>
          <w:rFonts w:ascii="sans-serif" w:eastAsia="sans-serif" w:hAnsi="sans-serif" w:cs="sans-serif"/>
          <w:color w:val="000000"/>
          <w:sz w:val="20"/>
          <w:szCs w:val="20"/>
        </w:rPr>
        <w:t>•uncertainties and time needed to realize the benefits of an acquisition or strategic investment, if at all;</w:t>
      </w:r>
    </w:p>
    <w:p w14:paraId="3693FD71" w14:textId="77777777" w:rsidR="003734EC" w:rsidRDefault="000E364E">
      <w:pPr>
        <w:spacing w:after="180"/>
        <w:ind w:hanging="360"/>
        <w:jc w:val="both"/>
      </w:pPr>
      <w:r>
        <w:rPr>
          <w:rFonts w:ascii="sans-serif" w:eastAsia="sans-serif" w:hAnsi="sans-serif" w:cs="sans-serif"/>
          <w:color w:val="000000"/>
          <w:sz w:val="20"/>
          <w:szCs w:val="20"/>
        </w:rPr>
        <w:t>•negative changes in general economic conditions in the regions or the industries in which we or our target operate;</w:t>
      </w:r>
    </w:p>
    <w:p w14:paraId="3693FD72" w14:textId="77777777" w:rsidR="003734EC" w:rsidRDefault="000E364E">
      <w:pPr>
        <w:spacing w:after="180"/>
        <w:ind w:hanging="360"/>
        <w:jc w:val="both"/>
      </w:pPr>
      <w:r>
        <w:rPr>
          <w:rFonts w:ascii="sans-serif" w:eastAsia="sans-serif" w:hAnsi="sans-serif" w:cs="sans-serif"/>
          <w:color w:val="000000"/>
          <w:sz w:val="20"/>
          <w:szCs w:val="20"/>
        </w:rPr>
        <w:t>•th</w:t>
      </w:r>
      <w:r>
        <w:rPr>
          <w:rFonts w:ascii="sans-serif" w:eastAsia="sans-serif" w:hAnsi="sans-serif" w:cs="sans-serif"/>
          <w:color w:val="000000"/>
          <w:sz w:val="20"/>
          <w:szCs w:val="20"/>
        </w:rPr>
        <w:t>e need to later divest acquired assets if an acquisition does not meet our expectations;</w:t>
      </w:r>
    </w:p>
    <w:p w14:paraId="3693FD73" w14:textId="77777777" w:rsidR="003734EC" w:rsidRDefault="000E364E">
      <w:pPr>
        <w:spacing w:after="180"/>
        <w:ind w:hanging="360"/>
        <w:jc w:val="both"/>
      </w:pPr>
      <w:r>
        <w:rPr>
          <w:rFonts w:ascii="sans-serif" w:eastAsia="sans-serif" w:hAnsi="sans-serif" w:cs="sans-serif"/>
          <w:color w:val="000000"/>
          <w:sz w:val="20"/>
          <w:szCs w:val="20"/>
        </w:rPr>
        <w:t>•potential failure of our due diligence processes to identify significant issues with the acquired assets or company; and</w:t>
      </w:r>
    </w:p>
    <w:p w14:paraId="3693FD74" w14:textId="77777777" w:rsidR="003734EC" w:rsidRDefault="000E364E">
      <w:pPr>
        <w:spacing w:after="180"/>
        <w:ind w:hanging="360"/>
        <w:jc w:val="both"/>
      </w:pPr>
      <w:r>
        <w:rPr>
          <w:rFonts w:ascii="sans-serif" w:eastAsia="sans-serif" w:hAnsi="sans-serif" w:cs="sans-serif"/>
          <w:color w:val="000000"/>
          <w:sz w:val="20"/>
          <w:szCs w:val="20"/>
        </w:rPr>
        <w:t>•impairment of relationships with, or loss of</w:t>
      </w:r>
      <w:r>
        <w:rPr>
          <w:rFonts w:ascii="sans-serif" w:eastAsia="sans-serif" w:hAnsi="sans-serif" w:cs="sans-serif"/>
          <w:color w:val="000000"/>
          <w:sz w:val="20"/>
          <w:szCs w:val="20"/>
        </w:rPr>
        <w:t xml:space="preserve"> our or our target’s, employees, vendors and customers, as a result of our acquisition or investment.</w:t>
      </w:r>
    </w:p>
    <w:p w14:paraId="3693FD75" w14:textId="77777777" w:rsidR="003734EC" w:rsidRDefault="000E364E">
      <w:pPr>
        <w:spacing w:before="120"/>
        <w:jc w:val="both"/>
      </w:pPr>
      <w:r>
        <w:rPr>
          <w:rFonts w:ascii="sans-serif" w:eastAsia="sans-serif" w:hAnsi="sans-serif" w:cs="sans-serif"/>
          <w:b/>
          <w:bCs/>
          <w:color w:val="000000"/>
          <w:sz w:val="20"/>
          <w:szCs w:val="20"/>
        </w:rPr>
        <w:t xml:space="preserve">Our indebtedness could adversely affect our financial position and prevent us from implementing our strategy or fulfilling our contractual </w:t>
      </w:r>
      <w:r>
        <w:rPr>
          <w:rFonts w:ascii="sans-serif" w:eastAsia="sans-serif" w:hAnsi="sans-serif" w:cs="sans-serif"/>
          <w:b/>
          <w:bCs/>
          <w:color w:val="000000"/>
          <w:sz w:val="20"/>
          <w:szCs w:val="20"/>
        </w:rPr>
        <w:t>obligations.</w:t>
      </w:r>
    </w:p>
    <w:p w14:paraId="3693FD76" w14:textId="77777777" w:rsidR="003734EC" w:rsidRDefault="000E364E">
      <w:pPr>
        <w:spacing w:before="180" w:after="180"/>
        <w:jc w:val="both"/>
      </w:pPr>
      <w:r>
        <w:rPr>
          <w:rFonts w:ascii="sans-serif" w:eastAsia="sans-serif" w:hAnsi="sans-serif" w:cs="sans-serif"/>
          <w:color w:val="000000"/>
          <w:sz w:val="20"/>
          <w:szCs w:val="20"/>
        </w:rPr>
        <w:t>In September 2016, we issued $2.00 billion of the September 2016 Notes. In March 2020, we issued $5.00 billion of the March 2020 Notes.</w:t>
      </w:r>
    </w:p>
    <w:p w14:paraId="3693FD77" w14:textId="77777777" w:rsidR="003734EC" w:rsidRDefault="000E364E">
      <w:pPr>
        <w:spacing w:after="180"/>
        <w:jc w:val="center"/>
      </w:pPr>
      <w:r>
        <w:rPr>
          <w:rFonts w:ascii="sans-serif" w:eastAsia="sans-serif" w:hAnsi="sans-serif" w:cs="sans-serif"/>
          <w:color w:val="000000"/>
          <w:sz w:val="20"/>
          <w:szCs w:val="20"/>
        </w:rPr>
        <w:t>32</w:t>
      </w:r>
    </w:p>
    <w:p w14:paraId="3693FD78" w14:textId="77777777" w:rsidR="003734EC" w:rsidRDefault="000E364E">
      <w:r>
        <w:pict w14:anchorId="3693FF69">
          <v:rect id="_x0000_i1055" style="width:415.3pt;height:1.5pt" o:hralign="center" o:hrstd="t" o:hr="t" fillcolor="#a0a0a0" stroked="f"/>
        </w:pict>
      </w:r>
    </w:p>
    <w:p w14:paraId="3693FD79" w14:textId="77777777" w:rsidR="003734EC" w:rsidRDefault="003734EC">
      <w:pPr>
        <w:spacing w:after="180"/>
        <w:jc w:val="both"/>
      </w:pPr>
    </w:p>
    <w:p w14:paraId="3693FD7A" w14:textId="77777777" w:rsidR="003734EC" w:rsidRDefault="000E364E">
      <w:pPr>
        <w:spacing w:before="180" w:after="180"/>
        <w:jc w:val="both"/>
      </w:pPr>
      <w:r>
        <w:rPr>
          <w:rFonts w:ascii="sans-serif" w:eastAsia="sans-serif" w:hAnsi="sans-serif" w:cs="sans-serif"/>
          <w:color w:val="000000"/>
          <w:sz w:val="20"/>
          <w:szCs w:val="20"/>
        </w:rPr>
        <w:t>Our indebtedness may limit our ability to use our cash flow or borrow additional funds for working ca</w:t>
      </w:r>
      <w:r>
        <w:rPr>
          <w:rFonts w:ascii="sans-serif" w:eastAsia="sans-serif" w:hAnsi="sans-serif" w:cs="sans-serif"/>
          <w:color w:val="000000"/>
          <w:sz w:val="20"/>
          <w:szCs w:val="20"/>
        </w:rPr>
        <w:t>pital, capital expenditures, acquisitions and general corporate and other purposes. Additionally, our obligation to make payments related to the Notes could impact our cash balance and limit our ability to use our cash for our capital return program and ou</w:t>
      </w:r>
      <w:r>
        <w:rPr>
          <w:rFonts w:ascii="sans-serif" w:eastAsia="sans-serif" w:hAnsi="sans-serif" w:cs="sans-serif"/>
          <w:color w:val="000000"/>
          <w:sz w:val="20"/>
          <w:szCs w:val="20"/>
        </w:rPr>
        <w:t>r other liquidity needs, including working capital, capital expenditures, acquisitions, investments and other general corporate purposes.</w:t>
      </w:r>
    </w:p>
    <w:p w14:paraId="3693FD7B" w14:textId="77777777" w:rsidR="003734EC" w:rsidRDefault="000E364E">
      <w:pPr>
        <w:spacing w:before="240" w:after="120"/>
        <w:jc w:val="both"/>
      </w:pPr>
      <w:r>
        <w:rPr>
          <w:rFonts w:ascii="sans-serif" w:eastAsia="sans-serif" w:hAnsi="sans-serif" w:cs="sans-serif"/>
          <w:b/>
          <w:bCs/>
          <w:color w:val="76B900"/>
          <w:sz w:val="22"/>
          <w:szCs w:val="22"/>
        </w:rPr>
        <w:t>ITEM 2. UNREGISTERED SALES OF EQUITY SECURITIES AND USE OF PROCEEDS</w:t>
      </w:r>
    </w:p>
    <w:p w14:paraId="3693FD7C" w14:textId="77777777" w:rsidR="003734EC" w:rsidRDefault="000E364E">
      <w:pPr>
        <w:spacing w:before="240" w:after="60"/>
        <w:jc w:val="both"/>
      </w:pPr>
      <w:r>
        <w:rPr>
          <w:rFonts w:ascii="sans-serif" w:eastAsia="sans-serif" w:hAnsi="sans-serif" w:cs="sans-serif"/>
          <w:b/>
          <w:bCs/>
          <w:color w:val="76B900"/>
          <w:sz w:val="20"/>
          <w:szCs w:val="20"/>
        </w:rPr>
        <w:t>Issuer Purchases of Equity Securities</w:t>
      </w:r>
    </w:p>
    <w:p w14:paraId="3693FD7D" w14:textId="77777777" w:rsidR="003734EC" w:rsidRDefault="000E364E">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3693FD7E" w14:textId="77777777" w:rsidR="003734EC" w:rsidRDefault="000E364E">
      <w:pPr>
        <w:spacing w:after="180"/>
        <w:jc w:val="both"/>
      </w:pPr>
      <w:r>
        <w:rPr>
          <w:rFonts w:ascii="sans-serif" w:eastAsia="sans-serif" w:hAnsi="sans-serif" w:cs="sans-serif"/>
          <w:color w:val="000000"/>
          <w:sz w:val="20"/>
          <w:szCs w:val="20"/>
        </w:rPr>
        <w:t xml:space="preserve">Since the inception of our share repurchase program, we have repurchased an aggregate of 260 million shares for a total cost of $7.08 billion through April 26, 2020. All </w:t>
      </w:r>
      <w:r>
        <w:rPr>
          <w:rFonts w:ascii="sans-serif" w:eastAsia="sans-serif" w:hAnsi="sans-serif" w:cs="sans-serif"/>
          <w:color w:val="000000"/>
          <w:sz w:val="20"/>
          <w:szCs w:val="20"/>
        </w:rPr>
        <w:t>shares delivered from these repurchases have been placed into treasury stock.</w:t>
      </w:r>
    </w:p>
    <w:p w14:paraId="3693FD7F" w14:textId="77777777" w:rsidR="003734EC" w:rsidRDefault="000E364E">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made in one or more larger repurchase</w:t>
      </w:r>
      <w:r>
        <w:rPr>
          <w:rFonts w:ascii="sans-serif" w:eastAsia="sans-serif" w:hAnsi="sans-serif" w:cs="sans-serif"/>
          <w:color w:val="000000"/>
          <w:sz w:val="20"/>
          <w:szCs w:val="20"/>
        </w:rPr>
        <w:t>s. The program does not obligate NVIDIA to acquire any particular amount of common stock and the program may be suspended at any time at our discretion.</w:t>
      </w:r>
    </w:p>
    <w:p w14:paraId="3693FD80" w14:textId="77777777" w:rsidR="003734EC" w:rsidRDefault="000E364E">
      <w:pPr>
        <w:spacing w:after="180"/>
        <w:jc w:val="both"/>
      </w:pPr>
      <w:r>
        <w:rPr>
          <w:rFonts w:ascii="sans-serif" w:eastAsia="sans-serif" w:hAnsi="sans-serif" w:cs="sans-serif"/>
          <w:color w:val="000000"/>
          <w:sz w:val="20"/>
          <w:szCs w:val="20"/>
        </w:rPr>
        <w:t>In the first quarter of fiscal year 2021, we returned $98 million in quarterly cash dividends. As of Ap</w:t>
      </w:r>
      <w:r>
        <w:rPr>
          <w:rFonts w:ascii="sans-serif" w:eastAsia="sans-serif" w:hAnsi="sans-serif" w:cs="sans-serif"/>
          <w:color w:val="000000"/>
          <w:sz w:val="20"/>
          <w:szCs w:val="20"/>
        </w:rPr>
        <w:t>ril 26, 2020, we were authorized, subject to certain specifications, to repurchase additional shares of our common stock up to $7.24 billion through December 2022. We did not repurchase any shares during the first quarter of fiscal year 2021. Due to the cu</w:t>
      </w:r>
      <w:r>
        <w:rPr>
          <w:rFonts w:ascii="sans-serif" w:eastAsia="sans-serif" w:hAnsi="sans-serif" w:cs="sans-serif"/>
          <w:color w:val="000000"/>
          <w:sz w:val="20"/>
          <w:szCs w:val="20"/>
        </w:rPr>
        <w:t xml:space="preserve">rrent market uncertainties, we are evaluating the timing of resuming share repurchases and will remain nimble based on market conditions. We remain committed to paying quarterly dividends. </w:t>
      </w:r>
    </w:p>
    <w:p w14:paraId="3693FD81" w14:textId="77777777" w:rsidR="003734EC" w:rsidRDefault="000E364E">
      <w:pPr>
        <w:spacing w:before="120" w:after="120"/>
        <w:jc w:val="both"/>
      </w:pPr>
      <w:r>
        <w:rPr>
          <w:rFonts w:ascii="sans-serif" w:eastAsia="sans-serif" w:hAnsi="sans-serif" w:cs="sans-serif"/>
          <w:b/>
          <w:bCs/>
          <w:color w:val="000000"/>
          <w:sz w:val="20"/>
          <w:szCs w:val="20"/>
        </w:rPr>
        <w:t>Restricted Stock Unit Share Withholding</w:t>
      </w:r>
    </w:p>
    <w:p w14:paraId="3693FD82" w14:textId="77777777" w:rsidR="003734EC" w:rsidRDefault="000E364E">
      <w:pPr>
        <w:spacing w:after="180"/>
        <w:jc w:val="both"/>
      </w:pPr>
      <w:r>
        <w:rPr>
          <w:rFonts w:ascii="sans-serif" w:eastAsia="sans-serif" w:hAnsi="sans-serif" w:cs="sans-serif"/>
          <w:color w:val="000000"/>
          <w:sz w:val="20"/>
          <w:szCs w:val="20"/>
        </w:rPr>
        <w:t>We also withhold common st</w:t>
      </w:r>
      <w:r>
        <w:rPr>
          <w:rFonts w:ascii="sans-serif" w:eastAsia="sans-serif" w:hAnsi="sans-serif" w:cs="sans-serif"/>
          <w:color w:val="000000"/>
          <w:sz w:val="20"/>
          <w:szCs w:val="20"/>
        </w:rPr>
        <w:t>ock shares associated with net share settlements to cover tax withholding obligations upon the vesting of restricted stock unit awards under our employee equity incentive program. During the first quarter of fiscal year 2021, we withheld approximately 1 mi</w:t>
      </w:r>
      <w:r>
        <w:rPr>
          <w:rFonts w:ascii="sans-serif" w:eastAsia="sans-serif" w:hAnsi="sans-serif" w:cs="sans-serif"/>
          <w:color w:val="000000"/>
          <w:sz w:val="20"/>
          <w:szCs w:val="20"/>
        </w:rPr>
        <w:t>llion shares at a total cost of $222 million through net share settlements. Refer to Note 4 of the Notes to Condensed Consolidated Financial Statements for further discussion regarding our equity incentive plans.</w:t>
      </w:r>
    </w:p>
    <w:p w14:paraId="3693FD83" w14:textId="77777777" w:rsidR="003734EC" w:rsidRDefault="000E364E">
      <w:pPr>
        <w:spacing w:after="180"/>
        <w:jc w:val="center"/>
      </w:pPr>
      <w:r>
        <w:rPr>
          <w:rFonts w:ascii="sans-serif" w:eastAsia="sans-serif" w:hAnsi="sans-serif" w:cs="sans-serif"/>
          <w:color w:val="000000"/>
          <w:sz w:val="20"/>
          <w:szCs w:val="20"/>
        </w:rPr>
        <w:t>33</w:t>
      </w:r>
    </w:p>
    <w:p w14:paraId="3693FD84" w14:textId="77777777" w:rsidR="003734EC" w:rsidRDefault="000E364E">
      <w:r>
        <w:pict w14:anchorId="3693FF6A">
          <v:rect id="_x0000_i1056" style="width:415.3pt;height:1.5pt" o:hralign="center" o:hrstd="t" o:hr="t" fillcolor="#a0a0a0" stroked="f"/>
        </w:pict>
      </w:r>
    </w:p>
    <w:p w14:paraId="3693FD85" w14:textId="77777777" w:rsidR="003734EC" w:rsidRDefault="003734EC">
      <w:pPr>
        <w:spacing w:after="180"/>
        <w:jc w:val="both"/>
      </w:pPr>
    </w:p>
    <w:p w14:paraId="3693FD86" w14:textId="77777777" w:rsidR="003734EC" w:rsidRDefault="000E364E">
      <w:pPr>
        <w:spacing w:before="240" w:after="120"/>
        <w:jc w:val="both"/>
      </w:pPr>
      <w:r>
        <w:rPr>
          <w:rFonts w:ascii="sans-serif" w:eastAsia="sans-serif" w:hAnsi="sans-serif" w:cs="sans-serif"/>
          <w:b/>
          <w:bCs/>
          <w:color w:val="76B900"/>
          <w:sz w:val="22"/>
          <w:szCs w:val="22"/>
        </w:rPr>
        <w:t>ITEM 6. EXHIBITS</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652"/>
        <w:gridCol w:w="84"/>
        <w:gridCol w:w="36"/>
        <w:gridCol w:w="58"/>
        <w:gridCol w:w="36"/>
        <w:gridCol w:w="50"/>
        <w:gridCol w:w="2666"/>
        <w:gridCol w:w="51"/>
        <w:gridCol w:w="36"/>
        <w:gridCol w:w="48"/>
        <w:gridCol w:w="36"/>
        <w:gridCol w:w="71"/>
        <w:gridCol w:w="722"/>
        <w:gridCol w:w="70"/>
        <w:gridCol w:w="36"/>
        <w:gridCol w:w="41"/>
        <w:gridCol w:w="36"/>
        <w:gridCol w:w="88"/>
        <w:gridCol w:w="738"/>
        <w:gridCol w:w="88"/>
        <w:gridCol w:w="36"/>
        <w:gridCol w:w="59"/>
        <w:gridCol w:w="36"/>
        <w:gridCol w:w="93"/>
        <w:gridCol w:w="965"/>
        <w:gridCol w:w="92"/>
        <w:gridCol w:w="36"/>
        <w:gridCol w:w="60"/>
        <w:gridCol w:w="36"/>
        <w:gridCol w:w="60"/>
        <w:gridCol w:w="1051"/>
        <w:gridCol w:w="60"/>
      </w:tblGrid>
      <w:tr w:rsidR="003734EC" w14:paraId="3693FDA8" w14:textId="77777777">
        <w:trPr>
          <w:jc w:val="center"/>
        </w:trPr>
        <w:tc>
          <w:tcPr>
            <w:tcW w:w="50" w:type="pct"/>
            <w:shd w:val="clear" w:color="auto" w:fill="auto"/>
            <w:vAlign w:val="center"/>
          </w:tcPr>
          <w:p w14:paraId="3693FD87" w14:textId="77777777" w:rsidR="003734EC" w:rsidRDefault="003734EC">
            <w:pPr>
              <w:rPr>
                <w:rFonts w:ascii="宋体"/>
              </w:rPr>
            </w:pPr>
          </w:p>
        </w:tc>
        <w:tc>
          <w:tcPr>
            <w:tcW w:w="391" w:type="pct"/>
            <w:shd w:val="clear" w:color="auto" w:fill="auto"/>
            <w:vAlign w:val="center"/>
          </w:tcPr>
          <w:p w14:paraId="3693FD88" w14:textId="77777777" w:rsidR="003734EC" w:rsidRDefault="003734EC">
            <w:pPr>
              <w:rPr>
                <w:rFonts w:ascii="宋体"/>
              </w:rPr>
            </w:pPr>
          </w:p>
        </w:tc>
        <w:tc>
          <w:tcPr>
            <w:tcW w:w="50" w:type="pct"/>
            <w:shd w:val="clear" w:color="auto" w:fill="auto"/>
            <w:vAlign w:val="center"/>
          </w:tcPr>
          <w:p w14:paraId="3693FD89" w14:textId="77777777" w:rsidR="003734EC" w:rsidRDefault="003734EC">
            <w:pPr>
              <w:rPr>
                <w:rFonts w:ascii="宋体"/>
              </w:rPr>
            </w:pPr>
          </w:p>
        </w:tc>
        <w:tc>
          <w:tcPr>
            <w:tcW w:w="5" w:type="pct"/>
            <w:shd w:val="clear" w:color="auto" w:fill="auto"/>
            <w:vAlign w:val="center"/>
          </w:tcPr>
          <w:p w14:paraId="3693FD8A" w14:textId="77777777" w:rsidR="003734EC" w:rsidRDefault="003734EC">
            <w:pPr>
              <w:rPr>
                <w:rFonts w:ascii="宋体"/>
              </w:rPr>
            </w:pPr>
          </w:p>
        </w:tc>
        <w:tc>
          <w:tcPr>
            <w:tcW w:w="55" w:type="pct"/>
            <w:shd w:val="clear" w:color="auto" w:fill="auto"/>
            <w:vAlign w:val="center"/>
          </w:tcPr>
          <w:p w14:paraId="3693FD8B" w14:textId="77777777" w:rsidR="003734EC" w:rsidRDefault="003734EC">
            <w:pPr>
              <w:rPr>
                <w:rFonts w:ascii="宋体"/>
              </w:rPr>
            </w:pPr>
          </w:p>
        </w:tc>
        <w:tc>
          <w:tcPr>
            <w:tcW w:w="5" w:type="pct"/>
            <w:shd w:val="clear" w:color="auto" w:fill="auto"/>
            <w:vAlign w:val="center"/>
          </w:tcPr>
          <w:p w14:paraId="3693FD8C" w14:textId="77777777" w:rsidR="003734EC" w:rsidRDefault="003734EC">
            <w:pPr>
              <w:rPr>
                <w:rFonts w:ascii="宋体"/>
              </w:rPr>
            </w:pPr>
          </w:p>
        </w:tc>
        <w:tc>
          <w:tcPr>
            <w:tcW w:w="50" w:type="pct"/>
            <w:shd w:val="clear" w:color="auto" w:fill="auto"/>
            <w:vAlign w:val="center"/>
          </w:tcPr>
          <w:p w14:paraId="3693FD8D" w14:textId="77777777" w:rsidR="003734EC" w:rsidRDefault="003734EC">
            <w:pPr>
              <w:rPr>
                <w:rFonts w:ascii="宋体"/>
              </w:rPr>
            </w:pPr>
          </w:p>
        </w:tc>
        <w:tc>
          <w:tcPr>
            <w:tcW w:w="1622" w:type="pct"/>
            <w:shd w:val="clear" w:color="auto" w:fill="auto"/>
            <w:vAlign w:val="center"/>
          </w:tcPr>
          <w:p w14:paraId="3693FD8E" w14:textId="77777777" w:rsidR="003734EC" w:rsidRDefault="003734EC">
            <w:pPr>
              <w:rPr>
                <w:rFonts w:ascii="宋体"/>
              </w:rPr>
            </w:pPr>
          </w:p>
        </w:tc>
        <w:tc>
          <w:tcPr>
            <w:tcW w:w="50" w:type="pct"/>
            <w:shd w:val="clear" w:color="auto" w:fill="auto"/>
            <w:vAlign w:val="center"/>
          </w:tcPr>
          <w:p w14:paraId="3693FD8F" w14:textId="77777777" w:rsidR="003734EC" w:rsidRDefault="003734EC">
            <w:pPr>
              <w:rPr>
                <w:rFonts w:ascii="宋体"/>
              </w:rPr>
            </w:pPr>
          </w:p>
        </w:tc>
        <w:tc>
          <w:tcPr>
            <w:tcW w:w="5" w:type="pct"/>
            <w:shd w:val="clear" w:color="auto" w:fill="auto"/>
            <w:vAlign w:val="center"/>
          </w:tcPr>
          <w:p w14:paraId="3693FD90" w14:textId="77777777" w:rsidR="003734EC" w:rsidRDefault="003734EC">
            <w:pPr>
              <w:rPr>
                <w:rFonts w:ascii="宋体"/>
              </w:rPr>
            </w:pPr>
          </w:p>
        </w:tc>
        <w:tc>
          <w:tcPr>
            <w:tcW w:w="48" w:type="pct"/>
            <w:shd w:val="clear" w:color="auto" w:fill="auto"/>
            <w:vAlign w:val="center"/>
          </w:tcPr>
          <w:p w14:paraId="3693FD91" w14:textId="77777777" w:rsidR="003734EC" w:rsidRDefault="003734EC">
            <w:pPr>
              <w:rPr>
                <w:rFonts w:ascii="宋体"/>
              </w:rPr>
            </w:pPr>
          </w:p>
        </w:tc>
        <w:tc>
          <w:tcPr>
            <w:tcW w:w="5" w:type="pct"/>
            <w:shd w:val="clear" w:color="auto" w:fill="auto"/>
            <w:vAlign w:val="center"/>
          </w:tcPr>
          <w:p w14:paraId="3693FD92" w14:textId="77777777" w:rsidR="003734EC" w:rsidRDefault="003734EC">
            <w:pPr>
              <w:rPr>
                <w:rFonts w:ascii="宋体"/>
              </w:rPr>
            </w:pPr>
          </w:p>
        </w:tc>
        <w:tc>
          <w:tcPr>
            <w:tcW w:w="50" w:type="pct"/>
            <w:shd w:val="clear" w:color="auto" w:fill="auto"/>
            <w:vAlign w:val="center"/>
          </w:tcPr>
          <w:p w14:paraId="3693FD93" w14:textId="77777777" w:rsidR="003734EC" w:rsidRDefault="003734EC">
            <w:pPr>
              <w:rPr>
                <w:rFonts w:ascii="宋体"/>
              </w:rPr>
            </w:pPr>
          </w:p>
        </w:tc>
        <w:tc>
          <w:tcPr>
            <w:tcW w:w="464" w:type="pct"/>
            <w:shd w:val="clear" w:color="auto" w:fill="auto"/>
            <w:vAlign w:val="center"/>
          </w:tcPr>
          <w:p w14:paraId="3693FD94" w14:textId="77777777" w:rsidR="003734EC" w:rsidRDefault="003734EC">
            <w:pPr>
              <w:rPr>
                <w:rFonts w:ascii="宋体"/>
              </w:rPr>
            </w:pPr>
          </w:p>
        </w:tc>
        <w:tc>
          <w:tcPr>
            <w:tcW w:w="50" w:type="pct"/>
            <w:shd w:val="clear" w:color="auto" w:fill="auto"/>
            <w:vAlign w:val="center"/>
          </w:tcPr>
          <w:p w14:paraId="3693FD95" w14:textId="77777777" w:rsidR="003734EC" w:rsidRDefault="003734EC">
            <w:pPr>
              <w:rPr>
                <w:rFonts w:ascii="宋体"/>
              </w:rPr>
            </w:pPr>
          </w:p>
        </w:tc>
        <w:tc>
          <w:tcPr>
            <w:tcW w:w="5" w:type="pct"/>
            <w:shd w:val="clear" w:color="auto" w:fill="auto"/>
            <w:vAlign w:val="center"/>
          </w:tcPr>
          <w:p w14:paraId="3693FD96" w14:textId="77777777" w:rsidR="003734EC" w:rsidRDefault="003734EC">
            <w:pPr>
              <w:rPr>
                <w:rFonts w:ascii="宋体"/>
              </w:rPr>
            </w:pPr>
          </w:p>
        </w:tc>
        <w:tc>
          <w:tcPr>
            <w:tcW w:w="55" w:type="pct"/>
            <w:shd w:val="clear" w:color="auto" w:fill="auto"/>
            <w:vAlign w:val="center"/>
          </w:tcPr>
          <w:p w14:paraId="3693FD97" w14:textId="77777777" w:rsidR="003734EC" w:rsidRDefault="003734EC">
            <w:pPr>
              <w:rPr>
                <w:rFonts w:ascii="宋体"/>
              </w:rPr>
            </w:pPr>
          </w:p>
        </w:tc>
        <w:tc>
          <w:tcPr>
            <w:tcW w:w="5" w:type="pct"/>
            <w:shd w:val="clear" w:color="auto" w:fill="auto"/>
            <w:vAlign w:val="center"/>
          </w:tcPr>
          <w:p w14:paraId="3693FD98" w14:textId="77777777" w:rsidR="003734EC" w:rsidRDefault="003734EC">
            <w:pPr>
              <w:rPr>
                <w:rFonts w:ascii="宋体"/>
              </w:rPr>
            </w:pPr>
          </w:p>
        </w:tc>
        <w:tc>
          <w:tcPr>
            <w:tcW w:w="50" w:type="pct"/>
            <w:shd w:val="clear" w:color="auto" w:fill="auto"/>
            <w:vAlign w:val="center"/>
          </w:tcPr>
          <w:p w14:paraId="3693FD99" w14:textId="77777777" w:rsidR="003734EC" w:rsidRDefault="003734EC">
            <w:pPr>
              <w:rPr>
                <w:rFonts w:ascii="宋体"/>
              </w:rPr>
            </w:pPr>
          </w:p>
        </w:tc>
        <w:tc>
          <w:tcPr>
            <w:tcW w:w="420" w:type="pct"/>
            <w:shd w:val="clear" w:color="auto" w:fill="auto"/>
            <w:vAlign w:val="center"/>
          </w:tcPr>
          <w:p w14:paraId="3693FD9A" w14:textId="77777777" w:rsidR="003734EC" w:rsidRDefault="003734EC">
            <w:pPr>
              <w:rPr>
                <w:rFonts w:ascii="宋体"/>
              </w:rPr>
            </w:pPr>
          </w:p>
        </w:tc>
        <w:tc>
          <w:tcPr>
            <w:tcW w:w="50" w:type="pct"/>
            <w:shd w:val="clear" w:color="auto" w:fill="auto"/>
            <w:vAlign w:val="center"/>
          </w:tcPr>
          <w:p w14:paraId="3693FD9B" w14:textId="77777777" w:rsidR="003734EC" w:rsidRDefault="003734EC">
            <w:pPr>
              <w:rPr>
                <w:rFonts w:ascii="宋体"/>
              </w:rPr>
            </w:pPr>
          </w:p>
        </w:tc>
        <w:tc>
          <w:tcPr>
            <w:tcW w:w="5" w:type="pct"/>
            <w:shd w:val="clear" w:color="auto" w:fill="auto"/>
            <w:vAlign w:val="center"/>
          </w:tcPr>
          <w:p w14:paraId="3693FD9C" w14:textId="77777777" w:rsidR="003734EC" w:rsidRDefault="003734EC">
            <w:pPr>
              <w:rPr>
                <w:rFonts w:ascii="宋体"/>
              </w:rPr>
            </w:pPr>
          </w:p>
        </w:tc>
        <w:tc>
          <w:tcPr>
            <w:tcW w:w="55" w:type="pct"/>
            <w:shd w:val="clear" w:color="auto" w:fill="auto"/>
            <w:vAlign w:val="center"/>
          </w:tcPr>
          <w:p w14:paraId="3693FD9D" w14:textId="77777777" w:rsidR="003734EC" w:rsidRDefault="003734EC">
            <w:pPr>
              <w:rPr>
                <w:rFonts w:ascii="宋体"/>
              </w:rPr>
            </w:pPr>
          </w:p>
        </w:tc>
        <w:tc>
          <w:tcPr>
            <w:tcW w:w="5" w:type="pct"/>
            <w:shd w:val="clear" w:color="auto" w:fill="auto"/>
            <w:vAlign w:val="center"/>
          </w:tcPr>
          <w:p w14:paraId="3693FD9E" w14:textId="77777777" w:rsidR="003734EC" w:rsidRDefault="003734EC">
            <w:pPr>
              <w:rPr>
                <w:rFonts w:ascii="宋体"/>
              </w:rPr>
            </w:pPr>
          </w:p>
        </w:tc>
        <w:tc>
          <w:tcPr>
            <w:tcW w:w="50" w:type="pct"/>
            <w:shd w:val="clear" w:color="auto" w:fill="auto"/>
            <w:vAlign w:val="center"/>
          </w:tcPr>
          <w:p w14:paraId="3693FD9F" w14:textId="77777777" w:rsidR="003734EC" w:rsidRDefault="003734EC">
            <w:pPr>
              <w:rPr>
                <w:rFonts w:ascii="宋体"/>
              </w:rPr>
            </w:pPr>
          </w:p>
        </w:tc>
        <w:tc>
          <w:tcPr>
            <w:tcW w:w="523" w:type="pct"/>
            <w:shd w:val="clear" w:color="auto" w:fill="auto"/>
            <w:vAlign w:val="center"/>
          </w:tcPr>
          <w:p w14:paraId="3693FDA0" w14:textId="77777777" w:rsidR="003734EC" w:rsidRDefault="003734EC">
            <w:pPr>
              <w:rPr>
                <w:rFonts w:ascii="宋体"/>
              </w:rPr>
            </w:pPr>
          </w:p>
        </w:tc>
        <w:tc>
          <w:tcPr>
            <w:tcW w:w="50" w:type="pct"/>
            <w:shd w:val="clear" w:color="auto" w:fill="auto"/>
            <w:vAlign w:val="center"/>
          </w:tcPr>
          <w:p w14:paraId="3693FDA1" w14:textId="77777777" w:rsidR="003734EC" w:rsidRDefault="003734EC">
            <w:pPr>
              <w:rPr>
                <w:rFonts w:ascii="宋体"/>
              </w:rPr>
            </w:pPr>
          </w:p>
        </w:tc>
        <w:tc>
          <w:tcPr>
            <w:tcW w:w="5" w:type="pct"/>
            <w:shd w:val="clear" w:color="auto" w:fill="auto"/>
            <w:vAlign w:val="center"/>
          </w:tcPr>
          <w:p w14:paraId="3693FDA2" w14:textId="77777777" w:rsidR="003734EC" w:rsidRDefault="003734EC">
            <w:pPr>
              <w:rPr>
                <w:rFonts w:ascii="宋体"/>
              </w:rPr>
            </w:pPr>
          </w:p>
        </w:tc>
        <w:tc>
          <w:tcPr>
            <w:tcW w:w="55" w:type="pct"/>
            <w:shd w:val="clear" w:color="auto" w:fill="auto"/>
            <w:vAlign w:val="center"/>
          </w:tcPr>
          <w:p w14:paraId="3693FDA3" w14:textId="77777777" w:rsidR="003734EC" w:rsidRDefault="003734EC">
            <w:pPr>
              <w:rPr>
                <w:rFonts w:ascii="宋体"/>
              </w:rPr>
            </w:pPr>
          </w:p>
        </w:tc>
        <w:tc>
          <w:tcPr>
            <w:tcW w:w="5" w:type="pct"/>
            <w:shd w:val="clear" w:color="auto" w:fill="auto"/>
            <w:vAlign w:val="center"/>
          </w:tcPr>
          <w:p w14:paraId="3693FDA4" w14:textId="77777777" w:rsidR="003734EC" w:rsidRDefault="003734EC">
            <w:pPr>
              <w:rPr>
                <w:rFonts w:ascii="宋体"/>
              </w:rPr>
            </w:pPr>
          </w:p>
        </w:tc>
        <w:tc>
          <w:tcPr>
            <w:tcW w:w="50" w:type="pct"/>
            <w:shd w:val="clear" w:color="auto" w:fill="auto"/>
            <w:vAlign w:val="center"/>
          </w:tcPr>
          <w:p w14:paraId="3693FDA5" w14:textId="77777777" w:rsidR="003734EC" w:rsidRDefault="003734EC">
            <w:pPr>
              <w:rPr>
                <w:rFonts w:ascii="宋体"/>
              </w:rPr>
            </w:pPr>
          </w:p>
        </w:tc>
        <w:tc>
          <w:tcPr>
            <w:tcW w:w="655" w:type="pct"/>
            <w:shd w:val="clear" w:color="auto" w:fill="auto"/>
            <w:vAlign w:val="center"/>
          </w:tcPr>
          <w:p w14:paraId="3693FDA6" w14:textId="77777777" w:rsidR="003734EC" w:rsidRDefault="003734EC">
            <w:pPr>
              <w:rPr>
                <w:rFonts w:ascii="宋体"/>
              </w:rPr>
            </w:pPr>
          </w:p>
        </w:tc>
        <w:tc>
          <w:tcPr>
            <w:tcW w:w="50" w:type="pct"/>
            <w:shd w:val="clear" w:color="auto" w:fill="auto"/>
            <w:vAlign w:val="center"/>
          </w:tcPr>
          <w:p w14:paraId="3693FDA7" w14:textId="77777777" w:rsidR="003734EC" w:rsidRDefault="003734EC">
            <w:pPr>
              <w:rPr>
                <w:rFonts w:ascii="宋体"/>
              </w:rPr>
            </w:pPr>
          </w:p>
        </w:tc>
      </w:tr>
      <w:tr w:rsidR="003734EC" w14:paraId="3693FDB4" w14:textId="77777777">
        <w:trPr>
          <w:jc w:val="center"/>
        </w:trPr>
        <w:tc>
          <w:tcPr>
            <w:tcW w:w="0" w:type="auto"/>
            <w:gridSpan w:val="3"/>
            <w:shd w:val="clear" w:color="auto" w:fill="auto"/>
            <w:tcMar>
              <w:top w:w="40" w:type="dxa"/>
              <w:left w:w="20" w:type="dxa"/>
              <w:bottom w:w="40" w:type="dxa"/>
              <w:right w:w="20" w:type="dxa"/>
            </w:tcMar>
            <w:vAlign w:val="bottom"/>
          </w:tcPr>
          <w:p w14:paraId="3693FDA9" w14:textId="77777777" w:rsidR="003734EC" w:rsidRDefault="000E364E">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left w:w="20" w:type="dxa"/>
              <w:right w:w="20" w:type="dxa"/>
            </w:tcMar>
            <w:vAlign w:val="bottom"/>
          </w:tcPr>
          <w:p w14:paraId="3693FDA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DAB" w14:textId="77777777" w:rsidR="003734EC" w:rsidRDefault="000E364E">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left w:w="20" w:type="dxa"/>
              <w:right w:w="20" w:type="dxa"/>
            </w:tcMar>
            <w:vAlign w:val="bottom"/>
          </w:tcPr>
          <w:p w14:paraId="3693FDA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DAD" w14:textId="77777777" w:rsidR="003734EC" w:rsidRDefault="000E364E">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left w:w="20" w:type="dxa"/>
              <w:right w:w="20" w:type="dxa"/>
            </w:tcMar>
            <w:vAlign w:val="bottom"/>
          </w:tcPr>
          <w:p w14:paraId="3693FDAE"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DAF" w14:textId="77777777" w:rsidR="003734EC" w:rsidRDefault="000E364E">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left w:w="20" w:type="dxa"/>
              <w:right w:w="20" w:type="dxa"/>
            </w:tcMar>
            <w:vAlign w:val="bottom"/>
          </w:tcPr>
          <w:p w14:paraId="3693FDB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DB1" w14:textId="77777777" w:rsidR="003734EC" w:rsidRDefault="000E364E">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left w:w="20" w:type="dxa"/>
              <w:right w:w="20" w:type="dxa"/>
            </w:tcMar>
            <w:vAlign w:val="bottom"/>
          </w:tcPr>
          <w:p w14:paraId="3693FDB2"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DB3" w14:textId="77777777" w:rsidR="003734EC" w:rsidRDefault="000E364E">
            <w:pPr>
              <w:jc w:val="center"/>
              <w:textAlignment w:val="bottom"/>
            </w:pPr>
            <w:r>
              <w:rPr>
                <w:rFonts w:ascii="sans-serif" w:eastAsia="sans-serif" w:hAnsi="sans-serif" w:cs="sans-serif"/>
                <w:b/>
                <w:bCs/>
                <w:color w:val="000000"/>
                <w:sz w:val="20"/>
                <w:szCs w:val="20"/>
              </w:rPr>
              <w:t>Filing Date</w:t>
            </w:r>
          </w:p>
        </w:tc>
      </w:tr>
      <w:tr w:rsidR="003734EC" w14:paraId="3693FDC0" w14:textId="77777777">
        <w:trPr>
          <w:jc w:val="center"/>
        </w:trPr>
        <w:tc>
          <w:tcPr>
            <w:tcW w:w="0" w:type="auto"/>
            <w:gridSpan w:val="3"/>
            <w:shd w:val="clear" w:color="auto" w:fill="auto"/>
            <w:tcMar>
              <w:top w:w="40" w:type="dxa"/>
              <w:left w:w="20" w:type="dxa"/>
              <w:bottom w:w="40" w:type="dxa"/>
              <w:right w:w="20" w:type="dxa"/>
            </w:tcMar>
          </w:tcPr>
          <w:p w14:paraId="3693FDB5" w14:textId="77777777" w:rsidR="003734EC" w:rsidRDefault="000E364E">
            <w:pPr>
              <w:jc w:val="center"/>
              <w:textAlignment w:val="top"/>
            </w:pPr>
            <w:r>
              <w:rPr>
                <w:rFonts w:ascii="sans-serif" w:eastAsia="sans-serif" w:hAnsi="sans-serif" w:cs="sans-serif"/>
                <w:color w:val="000000"/>
                <w:sz w:val="20"/>
                <w:szCs w:val="20"/>
              </w:rPr>
              <w:t>2.1^</w:t>
            </w:r>
          </w:p>
        </w:tc>
        <w:tc>
          <w:tcPr>
            <w:tcW w:w="0" w:type="auto"/>
            <w:gridSpan w:val="3"/>
            <w:shd w:val="clear" w:color="auto" w:fill="auto"/>
            <w:tcMar>
              <w:left w:w="20" w:type="dxa"/>
              <w:right w:w="20" w:type="dxa"/>
            </w:tcMar>
            <w:vAlign w:val="bottom"/>
          </w:tcPr>
          <w:p w14:paraId="3693FDB6"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B7" w14:textId="77777777" w:rsidR="003734EC" w:rsidRDefault="000E364E">
            <w:pPr>
              <w:textAlignment w:val="top"/>
            </w:pPr>
            <w:hyperlink r:id="rId32" w:history="1">
              <w:r>
                <w:rPr>
                  <w:rStyle w:val="a5"/>
                  <w:rFonts w:ascii="sans-serif" w:eastAsia="sans-serif" w:hAnsi="sans-serif" w:cs="sans-serif"/>
                  <w:sz w:val="20"/>
                  <w:szCs w:val="20"/>
                </w:rPr>
                <w:t xml:space="preserve">Agreement and Plan of Merger, dated March 10, 2019, by and among NVIDIA Corporation, NVIDIA International Holdings Inc., Mellanox Technologies Ltd., and </w:t>
              </w:r>
              <w:r>
                <w:rPr>
                  <w:rStyle w:val="a5"/>
                  <w:rFonts w:ascii="sans-serif" w:eastAsia="sans-serif" w:hAnsi="sans-serif" w:cs="sans-serif"/>
                  <w:sz w:val="20"/>
                  <w:szCs w:val="20"/>
                </w:rPr>
                <w:t>Teal Barvaz Ltd.^</w:t>
              </w:r>
            </w:hyperlink>
          </w:p>
        </w:tc>
        <w:tc>
          <w:tcPr>
            <w:tcW w:w="0" w:type="auto"/>
            <w:gridSpan w:val="3"/>
            <w:shd w:val="clear" w:color="auto" w:fill="auto"/>
            <w:tcMar>
              <w:left w:w="20" w:type="dxa"/>
              <w:right w:w="20" w:type="dxa"/>
            </w:tcMar>
            <w:vAlign w:val="bottom"/>
          </w:tcPr>
          <w:p w14:paraId="3693FDB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B9"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vAlign w:val="bottom"/>
          </w:tcPr>
          <w:p w14:paraId="3693FDB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BB"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vAlign w:val="bottom"/>
          </w:tcPr>
          <w:p w14:paraId="3693FDB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BD" w14:textId="77777777" w:rsidR="003734EC" w:rsidRDefault="000E364E">
            <w:pPr>
              <w:jc w:val="center"/>
              <w:textAlignment w:val="top"/>
            </w:pPr>
            <w:r>
              <w:rPr>
                <w:rFonts w:ascii="sans-serif" w:eastAsia="sans-serif" w:hAnsi="sans-serif" w:cs="sans-serif"/>
                <w:color w:val="000000"/>
                <w:sz w:val="20"/>
                <w:szCs w:val="20"/>
              </w:rPr>
              <w:t>2.1</w:t>
            </w:r>
          </w:p>
        </w:tc>
        <w:tc>
          <w:tcPr>
            <w:tcW w:w="0" w:type="auto"/>
            <w:gridSpan w:val="3"/>
            <w:shd w:val="clear" w:color="auto" w:fill="auto"/>
            <w:tcMar>
              <w:left w:w="20" w:type="dxa"/>
              <w:right w:w="20" w:type="dxa"/>
            </w:tcMar>
            <w:vAlign w:val="bottom"/>
          </w:tcPr>
          <w:p w14:paraId="3693FDBE"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BF" w14:textId="77777777" w:rsidR="003734EC" w:rsidRDefault="000E364E">
            <w:pPr>
              <w:jc w:val="center"/>
              <w:textAlignment w:val="top"/>
            </w:pPr>
            <w:r>
              <w:rPr>
                <w:rFonts w:ascii="sans-serif" w:eastAsia="sans-serif" w:hAnsi="sans-serif" w:cs="sans-serif"/>
                <w:color w:val="000000"/>
                <w:sz w:val="20"/>
                <w:szCs w:val="20"/>
              </w:rPr>
              <w:t>3/11/2019</w:t>
            </w:r>
          </w:p>
        </w:tc>
      </w:tr>
      <w:tr w:rsidR="003734EC" w14:paraId="3693FDCE" w14:textId="77777777">
        <w:trPr>
          <w:jc w:val="center"/>
        </w:trPr>
        <w:tc>
          <w:tcPr>
            <w:tcW w:w="0" w:type="auto"/>
            <w:gridSpan w:val="3"/>
            <w:shd w:val="clear" w:color="auto" w:fill="auto"/>
            <w:tcMar>
              <w:top w:w="40" w:type="dxa"/>
              <w:left w:w="20" w:type="dxa"/>
              <w:bottom w:w="40" w:type="dxa"/>
              <w:right w:w="20" w:type="dxa"/>
            </w:tcMar>
          </w:tcPr>
          <w:p w14:paraId="3693FDC1" w14:textId="77777777" w:rsidR="003734EC" w:rsidRDefault="000E364E">
            <w:pPr>
              <w:jc w:val="center"/>
              <w:textAlignment w:val="top"/>
            </w:pPr>
            <w:r>
              <w:rPr>
                <w:rFonts w:ascii="sans-serif" w:eastAsia="sans-serif" w:hAnsi="sans-serif" w:cs="sans-serif"/>
                <w:color w:val="000000"/>
                <w:sz w:val="20"/>
                <w:szCs w:val="20"/>
              </w:rPr>
              <w:t>4.1</w:t>
            </w:r>
          </w:p>
        </w:tc>
        <w:tc>
          <w:tcPr>
            <w:tcW w:w="0" w:type="auto"/>
            <w:gridSpan w:val="3"/>
            <w:shd w:val="clear" w:color="auto" w:fill="auto"/>
            <w:tcMar>
              <w:left w:w="20" w:type="dxa"/>
              <w:right w:w="20" w:type="dxa"/>
            </w:tcMar>
            <w:vAlign w:val="bottom"/>
          </w:tcPr>
          <w:p w14:paraId="3693FDC2"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C3" w14:textId="77777777" w:rsidR="003734EC" w:rsidRDefault="000E364E">
            <w:pPr>
              <w:textAlignment w:val="top"/>
            </w:pPr>
            <w:hyperlink r:id="rId33" w:history="1">
              <w:r>
                <w:rPr>
                  <w:rStyle w:val="a5"/>
                  <w:rFonts w:ascii="sans-serif" w:eastAsia="sans-serif" w:hAnsi="sans-serif" w:cs="sans-serif"/>
                  <w:sz w:val="20"/>
                  <w:szCs w:val="20"/>
                </w:rPr>
                <w:t xml:space="preserve">Indenture, dated as of September 16, 2016, by and between the Company and Wells Fargo Bank, </w:t>
              </w:r>
              <w:r>
                <w:rPr>
                  <w:rStyle w:val="a5"/>
                  <w:rFonts w:ascii="sans-serif" w:eastAsia="sans-serif" w:hAnsi="sans-serif" w:cs="sans-serif"/>
                  <w:sz w:val="20"/>
                  <w:szCs w:val="20"/>
                </w:rPr>
                <w:t>National Association, as Trustee.</w:t>
              </w:r>
            </w:hyperlink>
          </w:p>
          <w:p w14:paraId="3693FDC4" w14:textId="77777777" w:rsidR="003734EC" w:rsidRDefault="003734EC">
            <w:pPr>
              <w:textAlignment w:val="top"/>
            </w:pPr>
          </w:p>
          <w:p w14:paraId="3693FDC5" w14:textId="77777777" w:rsidR="003734EC" w:rsidRDefault="003734EC">
            <w:pPr>
              <w:textAlignment w:val="top"/>
            </w:pPr>
          </w:p>
        </w:tc>
        <w:tc>
          <w:tcPr>
            <w:tcW w:w="0" w:type="auto"/>
            <w:gridSpan w:val="3"/>
            <w:shd w:val="clear" w:color="auto" w:fill="auto"/>
            <w:tcMar>
              <w:left w:w="20" w:type="dxa"/>
              <w:right w:w="20" w:type="dxa"/>
            </w:tcMar>
            <w:vAlign w:val="bottom"/>
          </w:tcPr>
          <w:p w14:paraId="3693FDC6"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C7"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vAlign w:val="bottom"/>
          </w:tcPr>
          <w:p w14:paraId="3693FDC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C9"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vAlign w:val="bottom"/>
          </w:tcPr>
          <w:p w14:paraId="3693FDC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CB" w14:textId="77777777" w:rsidR="003734EC" w:rsidRDefault="000E364E">
            <w:pPr>
              <w:jc w:val="center"/>
              <w:textAlignment w:val="top"/>
            </w:pPr>
            <w:r>
              <w:rPr>
                <w:rFonts w:ascii="sans-serif" w:eastAsia="sans-serif" w:hAnsi="sans-serif" w:cs="sans-serif"/>
                <w:color w:val="000000"/>
                <w:sz w:val="20"/>
                <w:szCs w:val="20"/>
              </w:rPr>
              <w:t>4.1 (filed as Exhibit 4.1 to NVIDIA Corporation’s Current Report on Form 8-K filed on September 16, 2016 (File No. 000-23985))</w:t>
            </w:r>
          </w:p>
        </w:tc>
        <w:tc>
          <w:tcPr>
            <w:tcW w:w="0" w:type="auto"/>
            <w:gridSpan w:val="3"/>
            <w:shd w:val="clear" w:color="auto" w:fill="auto"/>
            <w:tcMar>
              <w:left w:w="20" w:type="dxa"/>
              <w:right w:w="20" w:type="dxa"/>
            </w:tcMar>
            <w:vAlign w:val="bottom"/>
          </w:tcPr>
          <w:p w14:paraId="3693FDC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CD"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DDA" w14:textId="77777777">
        <w:trPr>
          <w:jc w:val="center"/>
        </w:trPr>
        <w:tc>
          <w:tcPr>
            <w:tcW w:w="0" w:type="auto"/>
            <w:gridSpan w:val="3"/>
            <w:shd w:val="clear" w:color="auto" w:fill="auto"/>
            <w:tcMar>
              <w:top w:w="40" w:type="dxa"/>
              <w:left w:w="20" w:type="dxa"/>
              <w:bottom w:w="40" w:type="dxa"/>
              <w:right w:w="20" w:type="dxa"/>
            </w:tcMar>
          </w:tcPr>
          <w:p w14:paraId="3693FDCF" w14:textId="77777777" w:rsidR="003734EC" w:rsidRDefault="000E364E">
            <w:pPr>
              <w:jc w:val="center"/>
              <w:textAlignment w:val="top"/>
            </w:pPr>
            <w:r>
              <w:rPr>
                <w:rFonts w:ascii="sans-serif" w:eastAsia="sans-serif" w:hAnsi="sans-serif" w:cs="sans-serif"/>
                <w:color w:val="000000"/>
                <w:sz w:val="20"/>
                <w:szCs w:val="20"/>
              </w:rPr>
              <w:t>4.2</w:t>
            </w:r>
          </w:p>
        </w:tc>
        <w:tc>
          <w:tcPr>
            <w:tcW w:w="0" w:type="auto"/>
            <w:gridSpan w:val="3"/>
            <w:shd w:val="clear" w:color="auto" w:fill="auto"/>
            <w:tcMar>
              <w:left w:w="20" w:type="dxa"/>
              <w:right w:w="20" w:type="dxa"/>
            </w:tcMar>
            <w:vAlign w:val="bottom"/>
          </w:tcPr>
          <w:p w14:paraId="3693FDD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1" w14:textId="77777777" w:rsidR="003734EC" w:rsidRDefault="000E364E">
            <w:pPr>
              <w:textAlignment w:val="top"/>
            </w:pPr>
            <w:hyperlink r:id="rId34" w:history="1">
              <w:r>
                <w:rPr>
                  <w:rStyle w:val="a5"/>
                  <w:rFonts w:ascii="sans-serif" w:eastAsia="sans-serif" w:hAnsi="sans-serif" w:cs="sans-serif"/>
                  <w:sz w:val="20"/>
                  <w:szCs w:val="20"/>
                </w:rPr>
                <w:t>Officers’ Certificate, dated as of March 31, 2020.</w:t>
              </w:r>
            </w:hyperlink>
          </w:p>
        </w:tc>
        <w:tc>
          <w:tcPr>
            <w:tcW w:w="0" w:type="auto"/>
            <w:gridSpan w:val="3"/>
            <w:shd w:val="clear" w:color="auto" w:fill="auto"/>
            <w:tcMar>
              <w:left w:w="20" w:type="dxa"/>
              <w:right w:w="20" w:type="dxa"/>
            </w:tcMar>
            <w:vAlign w:val="bottom"/>
          </w:tcPr>
          <w:p w14:paraId="3693FDD2"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3"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DD4"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D5"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vAlign w:val="bottom"/>
          </w:tcPr>
          <w:p w14:paraId="3693FDD6"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7" w14:textId="77777777" w:rsidR="003734EC" w:rsidRDefault="000E364E">
            <w:pPr>
              <w:jc w:val="center"/>
              <w:textAlignment w:val="top"/>
            </w:pPr>
            <w:r>
              <w:rPr>
                <w:rFonts w:ascii="sans-serif" w:eastAsia="sans-serif" w:hAnsi="sans-serif" w:cs="sans-serif"/>
                <w:color w:val="000000"/>
                <w:sz w:val="20"/>
                <w:szCs w:val="20"/>
              </w:rPr>
              <w:t>4.2</w:t>
            </w:r>
          </w:p>
        </w:tc>
        <w:tc>
          <w:tcPr>
            <w:tcW w:w="0" w:type="auto"/>
            <w:gridSpan w:val="3"/>
            <w:shd w:val="clear" w:color="auto" w:fill="auto"/>
            <w:tcMar>
              <w:left w:w="20" w:type="dxa"/>
              <w:right w:w="20" w:type="dxa"/>
            </w:tcMar>
            <w:vAlign w:val="bottom"/>
          </w:tcPr>
          <w:p w14:paraId="3693FDD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9"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DE6" w14:textId="77777777">
        <w:trPr>
          <w:jc w:val="center"/>
        </w:trPr>
        <w:tc>
          <w:tcPr>
            <w:tcW w:w="0" w:type="auto"/>
            <w:gridSpan w:val="3"/>
            <w:shd w:val="clear" w:color="auto" w:fill="auto"/>
            <w:tcMar>
              <w:top w:w="40" w:type="dxa"/>
              <w:left w:w="20" w:type="dxa"/>
              <w:bottom w:w="40" w:type="dxa"/>
              <w:right w:w="20" w:type="dxa"/>
            </w:tcMar>
          </w:tcPr>
          <w:p w14:paraId="3693FDDB" w14:textId="77777777" w:rsidR="003734EC" w:rsidRDefault="000E364E">
            <w:pPr>
              <w:jc w:val="center"/>
              <w:textAlignment w:val="top"/>
            </w:pPr>
            <w:r>
              <w:rPr>
                <w:rFonts w:ascii="sans-serif" w:eastAsia="sans-serif" w:hAnsi="sans-serif" w:cs="sans-serif"/>
                <w:color w:val="000000"/>
                <w:sz w:val="20"/>
                <w:szCs w:val="20"/>
              </w:rPr>
              <w:t>4.3</w:t>
            </w:r>
          </w:p>
        </w:tc>
        <w:tc>
          <w:tcPr>
            <w:tcW w:w="0" w:type="auto"/>
            <w:gridSpan w:val="3"/>
            <w:shd w:val="clear" w:color="auto" w:fill="auto"/>
            <w:tcMar>
              <w:left w:w="20" w:type="dxa"/>
              <w:right w:w="20" w:type="dxa"/>
            </w:tcMar>
            <w:vAlign w:val="bottom"/>
          </w:tcPr>
          <w:p w14:paraId="3693FDD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D" w14:textId="77777777" w:rsidR="003734EC" w:rsidRDefault="000E364E">
            <w:pPr>
              <w:textAlignment w:val="top"/>
            </w:pPr>
            <w:hyperlink r:id="rId35" w:history="1">
              <w:r>
                <w:rPr>
                  <w:rStyle w:val="a5"/>
                  <w:rFonts w:ascii="sans-serif" w:eastAsia="sans-serif" w:hAnsi="sans-serif" w:cs="sans-serif"/>
                  <w:sz w:val="20"/>
                  <w:szCs w:val="20"/>
                </w:rPr>
                <w:t>Form of 2030 Note</w:t>
              </w:r>
            </w:hyperlink>
          </w:p>
        </w:tc>
        <w:tc>
          <w:tcPr>
            <w:tcW w:w="0" w:type="auto"/>
            <w:gridSpan w:val="3"/>
            <w:shd w:val="clear" w:color="auto" w:fill="auto"/>
            <w:tcMar>
              <w:left w:w="20" w:type="dxa"/>
              <w:right w:w="20" w:type="dxa"/>
            </w:tcMar>
          </w:tcPr>
          <w:p w14:paraId="3693FDDE"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DF"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DE0"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E1"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tcPr>
          <w:p w14:paraId="3693FDE2"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E3" w14:textId="77777777" w:rsidR="003734EC" w:rsidRDefault="000E364E">
            <w:pPr>
              <w:jc w:val="center"/>
              <w:textAlignment w:val="top"/>
            </w:pPr>
            <w:r>
              <w:rPr>
                <w:rFonts w:ascii="sans-serif" w:eastAsia="sans-serif" w:hAnsi="sans-serif" w:cs="sans-serif"/>
                <w:color w:val="000000"/>
                <w:sz w:val="20"/>
                <w:szCs w:val="20"/>
              </w:rPr>
              <w:t>4.3 (included in Exhibit 4.2)</w:t>
            </w:r>
          </w:p>
        </w:tc>
        <w:tc>
          <w:tcPr>
            <w:tcW w:w="0" w:type="auto"/>
            <w:gridSpan w:val="3"/>
            <w:shd w:val="clear" w:color="auto" w:fill="auto"/>
            <w:tcMar>
              <w:left w:w="20" w:type="dxa"/>
              <w:right w:w="20" w:type="dxa"/>
            </w:tcMar>
          </w:tcPr>
          <w:p w14:paraId="3693FDE4"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E5"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DF2" w14:textId="77777777">
        <w:trPr>
          <w:jc w:val="center"/>
        </w:trPr>
        <w:tc>
          <w:tcPr>
            <w:tcW w:w="0" w:type="auto"/>
            <w:gridSpan w:val="3"/>
            <w:shd w:val="clear" w:color="auto" w:fill="auto"/>
            <w:tcMar>
              <w:top w:w="40" w:type="dxa"/>
              <w:left w:w="20" w:type="dxa"/>
              <w:bottom w:w="40" w:type="dxa"/>
              <w:right w:w="20" w:type="dxa"/>
            </w:tcMar>
          </w:tcPr>
          <w:p w14:paraId="3693FDE7" w14:textId="77777777" w:rsidR="003734EC" w:rsidRDefault="000E364E">
            <w:pPr>
              <w:jc w:val="center"/>
              <w:textAlignment w:val="top"/>
            </w:pPr>
            <w:r>
              <w:rPr>
                <w:rFonts w:ascii="sans-serif" w:eastAsia="sans-serif" w:hAnsi="sans-serif" w:cs="sans-serif"/>
                <w:color w:val="000000"/>
                <w:sz w:val="20"/>
                <w:szCs w:val="20"/>
              </w:rPr>
              <w:t>4.4</w:t>
            </w:r>
          </w:p>
        </w:tc>
        <w:tc>
          <w:tcPr>
            <w:tcW w:w="0" w:type="auto"/>
            <w:gridSpan w:val="3"/>
            <w:shd w:val="clear" w:color="auto" w:fill="auto"/>
            <w:tcMar>
              <w:left w:w="20" w:type="dxa"/>
              <w:right w:w="20" w:type="dxa"/>
            </w:tcMar>
            <w:vAlign w:val="bottom"/>
          </w:tcPr>
          <w:p w14:paraId="3693FDE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E9" w14:textId="77777777" w:rsidR="003734EC" w:rsidRDefault="000E364E">
            <w:pPr>
              <w:textAlignment w:val="top"/>
            </w:pPr>
            <w:hyperlink r:id="rId36" w:history="1">
              <w:r>
                <w:rPr>
                  <w:rStyle w:val="a5"/>
                  <w:rFonts w:ascii="sans-serif" w:eastAsia="sans-serif" w:hAnsi="sans-serif" w:cs="sans-serif"/>
                  <w:sz w:val="20"/>
                  <w:szCs w:val="20"/>
                </w:rPr>
                <w:t>Form of 2040 Note</w:t>
              </w:r>
            </w:hyperlink>
          </w:p>
        </w:tc>
        <w:tc>
          <w:tcPr>
            <w:tcW w:w="0" w:type="auto"/>
            <w:gridSpan w:val="3"/>
            <w:shd w:val="clear" w:color="auto" w:fill="auto"/>
            <w:tcMar>
              <w:left w:w="20" w:type="dxa"/>
              <w:right w:w="20" w:type="dxa"/>
            </w:tcMar>
          </w:tcPr>
          <w:p w14:paraId="3693FDEA"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EB"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DEC"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ED"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tcPr>
          <w:p w14:paraId="3693FDEE"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EF" w14:textId="77777777" w:rsidR="003734EC" w:rsidRDefault="000E364E">
            <w:pPr>
              <w:jc w:val="center"/>
              <w:textAlignment w:val="top"/>
            </w:pPr>
            <w:r>
              <w:rPr>
                <w:rFonts w:ascii="sans-serif" w:eastAsia="sans-serif" w:hAnsi="sans-serif" w:cs="sans-serif"/>
                <w:color w:val="000000"/>
                <w:sz w:val="20"/>
                <w:szCs w:val="20"/>
              </w:rPr>
              <w:t>4.4 (included in Exhibit 4.2)</w:t>
            </w:r>
          </w:p>
        </w:tc>
        <w:tc>
          <w:tcPr>
            <w:tcW w:w="0" w:type="auto"/>
            <w:gridSpan w:val="3"/>
            <w:shd w:val="clear" w:color="auto" w:fill="auto"/>
            <w:tcMar>
              <w:left w:w="20" w:type="dxa"/>
              <w:right w:w="20" w:type="dxa"/>
            </w:tcMar>
          </w:tcPr>
          <w:p w14:paraId="3693FDF0"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F1"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DFE" w14:textId="77777777">
        <w:trPr>
          <w:jc w:val="center"/>
        </w:trPr>
        <w:tc>
          <w:tcPr>
            <w:tcW w:w="0" w:type="auto"/>
            <w:gridSpan w:val="3"/>
            <w:shd w:val="clear" w:color="auto" w:fill="auto"/>
            <w:tcMar>
              <w:top w:w="40" w:type="dxa"/>
              <w:left w:w="20" w:type="dxa"/>
              <w:bottom w:w="40" w:type="dxa"/>
              <w:right w:w="20" w:type="dxa"/>
            </w:tcMar>
          </w:tcPr>
          <w:p w14:paraId="3693FDF3" w14:textId="77777777" w:rsidR="003734EC" w:rsidRDefault="000E364E">
            <w:pPr>
              <w:jc w:val="center"/>
              <w:textAlignment w:val="top"/>
            </w:pPr>
            <w:r>
              <w:rPr>
                <w:rFonts w:ascii="sans-serif" w:eastAsia="sans-serif" w:hAnsi="sans-serif" w:cs="sans-serif"/>
                <w:color w:val="000000"/>
                <w:sz w:val="20"/>
                <w:szCs w:val="20"/>
              </w:rPr>
              <w:t>4.5</w:t>
            </w:r>
          </w:p>
        </w:tc>
        <w:tc>
          <w:tcPr>
            <w:tcW w:w="0" w:type="auto"/>
            <w:gridSpan w:val="3"/>
            <w:shd w:val="clear" w:color="auto" w:fill="auto"/>
            <w:tcMar>
              <w:left w:w="20" w:type="dxa"/>
              <w:right w:w="20" w:type="dxa"/>
            </w:tcMar>
            <w:vAlign w:val="bottom"/>
          </w:tcPr>
          <w:p w14:paraId="3693FDF4"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F5" w14:textId="77777777" w:rsidR="003734EC" w:rsidRDefault="000E364E">
            <w:pPr>
              <w:textAlignment w:val="top"/>
            </w:pPr>
            <w:hyperlink r:id="rId37" w:history="1">
              <w:r>
                <w:rPr>
                  <w:rStyle w:val="a5"/>
                  <w:rFonts w:ascii="sans-serif" w:eastAsia="sans-serif" w:hAnsi="sans-serif" w:cs="sans-serif"/>
                  <w:sz w:val="20"/>
                  <w:szCs w:val="20"/>
                </w:rPr>
                <w:t>Form of 2050 Note</w:t>
              </w:r>
            </w:hyperlink>
          </w:p>
        </w:tc>
        <w:tc>
          <w:tcPr>
            <w:tcW w:w="0" w:type="auto"/>
            <w:gridSpan w:val="3"/>
            <w:shd w:val="clear" w:color="auto" w:fill="auto"/>
            <w:tcMar>
              <w:left w:w="20" w:type="dxa"/>
              <w:right w:w="20" w:type="dxa"/>
            </w:tcMar>
          </w:tcPr>
          <w:p w14:paraId="3693FDF6"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DF7"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DF8"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F9"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tcPr>
          <w:p w14:paraId="3693FDFA"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FB" w14:textId="77777777" w:rsidR="003734EC" w:rsidRDefault="000E364E">
            <w:pPr>
              <w:jc w:val="center"/>
              <w:textAlignment w:val="top"/>
            </w:pPr>
            <w:r>
              <w:rPr>
                <w:rFonts w:ascii="sans-serif" w:eastAsia="sans-serif" w:hAnsi="sans-serif" w:cs="sans-serif"/>
                <w:color w:val="000000"/>
                <w:sz w:val="20"/>
                <w:szCs w:val="20"/>
              </w:rPr>
              <w:t>4.5 (included in Exhibit 4.2)</w:t>
            </w:r>
          </w:p>
        </w:tc>
        <w:tc>
          <w:tcPr>
            <w:tcW w:w="0" w:type="auto"/>
            <w:gridSpan w:val="3"/>
            <w:shd w:val="clear" w:color="auto" w:fill="auto"/>
            <w:tcMar>
              <w:left w:w="20" w:type="dxa"/>
              <w:right w:w="20" w:type="dxa"/>
            </w:tcMar>
          </w:tcPr>
          <w:p w14:paraId="3693FDFC"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DFD"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E0A" w14:textId="77777777">
        <w:trPr>
          <w:jc w:val="center"/>
        </w:trPr>
        <w:tc>
          <w:tcPr>
            <w:tcW w:w="0" w:type="auto"/>
            <w:gridSpan w:val="3"/>
            <w:shd w:val="clear" w:color="auto" w:fill="auto"/>
            <w:tcMar>
              <w:top w:w="40" w:type="dxa"/>
              <w:left w:w="20" w:type="dxa"/>
              <w:bottom w:w="40" w:type="dxa"/>
              <w:right w:w="20" w:type="dxa"/>
            </w:tcMar>
          </w:tcPr>
          <w:p w14:paraId="3693FDFF" w14:textId="77777777" w:rsidR="003734EC" w:rsidRDefault="000E364E">
            <w:pPr>
              <w:jc w:val="center"/>
              <w:textAlignment w:val="top"/>
            </w:pPr>
            <w:r>
              <w:rPr>
                <w:rFonts w:ascii="sans-serif" w:eastAsia="sans-serif" w:hAnsi="sans-serif" w:cs="sans-serif"/>
                <w:color w:val="000000"/>
                <w:sz w:val="20"/>
                <w:szCs w:val="20"/>
              </w:rPr>
              <w:t>4.6</w:t>
            </w:r>
          </w:p>
        </w:tc>
        <w:tc>
          <w:tcPr>
            <w:tcW w:w="0" w:type="auto"/>
            <w:gridSpan w:val="3"/>
            <w:shd w:val="clear" w:color="auto" w:fill="auto"/>
            <w:tcMar>
              <w:left w:w="20" w:type="dxa"/>
              <w:right w:w="20" w:type="dxa"/>
            </w:tcMar>
            <w:vAlign w:val="bottom"/>
          </w:tcPr>
          <w:p w14:paraId="3693FE0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E01" w14:textId="77777777" w:rsidR="003734EC" w:rsidRDefault="000E364E">
            <w:pPr>
              <w:textAlignment w:val="top"/>
            </w:pPr>
            <w:hyperlink r:id="rId38" w:history="1">
              <w:r>
                <w:rPr>
                  <w:rStyle w:val="a5"/>
                  <w:rFonts w:ascii="sans-serif" w:eastAsia="sans-serif" w:hAnsi="sans-serif" w:cs="sans-serif"/>
                  <w:sz w:val="20"/>
                  <w:szCs w:val="20"/>
                </w:rPr>
                <w:t>Form of 2060 Note</w:t>
              </w:r>
            </w:hyperlink>
          </w:p>
        </w:tc>
        <w:tc>
          <w:tcPr>
            <w:tcW w:w="0" w:type="auto"/>
            <w:gridSpan w:val="3"/>
            <w:shd w:val="clear" w:color="auto" w:fill="auto"/>
            <w:tcMar>
              <w:left w:w="20" w:type="dxa"/>
              <w:right w:w="20" w:type="dxa"/>
            </w:tcMar>
          </w:tcPr>
          <w:p w14:paraId="3693FE02"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E03"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E04"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05"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tcPr>
          <w:p w14:paraId="3693FE06"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07" w14:textId="77777777" w:rsidR="003734EC" w:rsidRDefault="000E364E">
            <w:pPr>
              <w:jc w:val="center"/>
              <w:textAlignment w:val="top"/>
            </w:pPr>
            <w:r>
              <w:rPr>
                <w:rFonts w:ascii="sans-serif" w:eastAsia="sans-serif" w:hAnsi="sans-serif" w:cs="sans-serif"/>
                <w:color w:val="000000"/>
                <w:sz w:val="20"/>
                <w:szCs w:val="20"/>
              </w:rPr>
              <w:t>4.6 (included in Exhibit 4.2)</w:t>
            </w:r>
          </w:p>
        </w:tc>
        <w:tc>
          <w:tcPr>
            <w:tcW w:w="0" w:type="auto"/>
            <w:gridSpan w:val="3"/>
            <w:shd w:val="clear" w:color="auto" w:fill="auto"/>
            <w:tcMar>
              <w:left w:w="20" w:type="dxa"/>
              <w:right w:w="20" w:type="dxa"/>
            </w:tcMar>
          </w:tcPr>
          <w:p w14:paraId="3693FE08"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09" w14:textId="77777777" w:rsidR="003734EC" w:rsidRDefault="000E364E">
            <w:pPr>
              <w:jc w:val="center"/>
              <w:textAlignment w:val="top"/>
            </w:pPr>
            <w:r>
              <w:rPr>
                <w:rFonts w:ascii="sans-serif" w:eastAsia="sans-serif" w:hAnsi="sans-serif" w:cs="sans-serif"/>
                <w:color w:val="000000"/>
                <w:sz w:val="20"/>
                <w:szCs w:val="20"/>
              </w:rPr>
              <w:t>3/31/2020</w:t>
            </w:r>
          </w:p>
        </w:tc>
      </w:tr>
      <w:tr w:rsidR="003734EC" w14:paraId="3693FE16" w14:textId="77777777">
        <w:trPr>
          <w:jc w:val="center"/>
        </w:trPr>
        <w:tc>
          <w:tcPr>
            <w:tcW w:w="0" w:type="auto"/>
            <w:gridSpan w:val="3"/>
            <w:shd w:val="clear" w:color="auto" w:fill="auto"/>
            <w:tcMar>
              <w:top w:w="40" w:type="dxa"/>
              <w:left w:w="20" w:type="dxa"/>
              <w:bottom w:w="40" w:type="dxa"/>
              <w:right w:w="20" w:type="dxa"/>
            </w:tcMar>
          </w:tcPr>
          <w:p w14:paraId="3693FE0B" w14:textId="77777777" w:rsidR="003734EC" w:rsidRDefault="000E364E">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left w:w="20" w:type="dxa"/>
              <w:right w:w="20" w:type="dxa"/>
            </w:tcMar>
            <w:vAlign w:val="bottom"/>
          </w:tcPr>
          <w:p w14:paraId="3693FE0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E0D" w14:textId="77777777" w:rsidR="003734EC" w:rsidRDefault="000E364E">
            <w:pPr>
              <w:textAlignment w:val="top"/>
            </w:pPr>
            <w:hyperlink r:id="rId39" w:history="1">
              <w:r>
                <w:rPr>
                  <w:rStyle w:val="a5"/>
                  <w:rFonts w:ascii="sans-serif" w:eastAsia="sans-serif" w:hAnsi="sans-serif" w:cs="sans-serif"/>
                  <w:sz w:val="20"/>
                  <w:szCs w:val="20"/>
                </w:rPr>
                <w:t>Fiscal Year 2021 Variable Compensation Plan</w:t>
              </w:r>
            </w:hyperlink>
          </w:p>
        </w:tc>
        <w:tc>
          <w:tcPr>
            <w:tcW w:w="0" w:type="auto"/>
            <w:gridSpan w:val="3"/>
            <w:shd w:val="clear" w:color="auto" w:fill="auto"/>
            <w:tcMar>
              <w:left w:w="20" w:type="dxa"/>
              <w:right w:w="20" w:type="dxa"/>
            </w:tcMar>
          </w:tcPr>
          <w:p w14:paraId="3693FE0E"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E0F" w14:textId="77777777" w:rsidR="003734EC" w:rsidRDefault="000E364E">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tcPr>
          <w:p w14:paraId="3693FE10"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11" w14:textId="77777777" w:rsidR="003734EC" w:rsidRDefault="000E364E">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tcPr>
          <w:p w14:paraId="3693FE12"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13" w14:textId="77777777" w:rsidR="003734EC" w:rsidRDefault="000E364E">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left w:w="20" w:type="dxa"/>
              <w:right w:w="20" w:type="dxa"/>
            </w:tcMar>
          </w:tcPr>
          <w:p w14:paraId="3693FE14" w14:textId="77777777" w:rsidR="003734EC" w:rsidRDefault="003734EC">
            <w:pPr>
              <w:jc w:val="center"/>
              <w:rPr>
                <w:rFonts w:ascii="宋体"/>
              </w:rPr>
            </w:pPr>
          </w:p>
        </w:tc>
        <w:tc>
          <w:tcPr>
            <w:tcW w:w="0" w:type="auto"/>
            <w:gridSpan w:val="3"/>
            <w:shd w:val="clear" w:color="auto" w:fill="auto"/>
            <w:tcMar>
              <w:top w:w="40" w:type="dxa"/>
              <w:left w:w="20" w:type="dxa"/>
              <w:bottom w:w="40" w:type="dxa"/>
              <w:right w:w="20" w:type="dxa"/>
            </w:tcMar>
          </w:tcPr>
          <w:p w14:paraId="3693FE15" w14:textId="77777777" w:rsidR="003734EC" w:rsidRDefault="000E364E">
            <w:pPr>
              <w:jc w:val="center"/>
              <w:textAlignment w:val="top"/>
            </w:pPr>
            <w:r>
              <w:rPr>
                <w:rFonts w:ascii="sans-serif" w:eastAsia="sans-serif" w:hAnsi="sans-serif" w:cs="sans-serif"/>
                <w:color w:val="000000"/>
                <w:sz w:val="20"/>
                <w:szCs w:val="20"/>
              </w:rPr>
              <w:t>3/10/2020</w:t>
            </w:r>
          </w:p>
        </w:tc>
      </w:tr>
      <w:tr w:rsidR="003734EC" w14:paraId="3693FE22" w14:textId="77777777">
        <w:trPr>
          <w:jc w:val="center"/>
        </w:trPr>
        <w:tc>
          <w:tcPr>
            <w:tcW w:w="0" w:type="auto"/>
            <w:gridSpan w:val="3"/>
            <w:shd w:val="clear" w:color="auto" w:fill="auto"/>
            <w:tcMar>
              <w:top w:w="40" w:type="dxa"/>
              <w:left w:w="20" w:type="dxa"/>
              <w:bottom w:w="40" w:type="dxa"/>
              <w:right w:w="20" w:type="dxa"/>
            </w:tcMar>
          </w:tcPr>
          <w:p w14:paraId="3693FE17" w14:textId="77777777" w:rsidR="003734EC" w:rsidRDefault="000E364E">
            <w:pPr>
              <w:jc w:val="center"/>
              <w:textAlignment w:val="top"/>
            </w:pPr>
            <w:r>
              <w:rPr>
                <w:rFonts w:ascii="sans-serif" w:eastAsia="sans-serif" w:hAnsi="sans-serif" w:cs="sans-serif"/>
                <w:color w:val="000000"/>
                <w:sz w:val="20"/>
                <w:szCs w:val="20"/>
              </w:rPr>
              <w:t>10.2*+</w:t>
            </w:r>
          </w:p>
        </w:tc>
        <w:tc>
          <w:tcPr>
            <w:tcW w:w="0" w:type="auto"/>
            <w:gridSpan w:val="3"/>
            <w:shd w:val="clear" w:color="auto" w:fill="auto"/>
            <w:tcMar>
              <w:left w:w="20" w:type="dxa"/>
              <w:right w:w="20" w:type="dxa"/>
            </w:tcMar>
            <w:vAlign w:val="bottom"/>
          </w:tcPr>
          <w:p w14:paraId="3693FE1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tcPr>
          <w:p w14:paraId="3693FE19" w14:textId="77777777" w:rsidR="003734EC" w:rsidRDefault="000E364E">
            <w:pPr>
              <w:textAlignment w:val="top"/>
            </w:pPr>
            <w:hyperlink r:id="rId40" w:history="1">
              <w:r>
                <w:rPr>
                  <w:rStyle w:val="a5"/>
                  <w:rFonts w:ascii="sans-serif" w:eastAsia="sans-serif" w:hAnsi="sans-serif" w:cs="sans-serif"/>
                  <w:sz w:val="20"/>
                  <w:szCs w:val="20"/>
                </w:rPr>
                <w:t>Amended and Restated 2007 Equity Incentive Plan – Global Restricted Stock Unit Grant Notice and Global Restricted Stock Unit Agreement (2020)</w:t>
              </w:r>
            </w:hyperlink>
            <w:hyperlink r:id="rId41" w:history="1">
              <w:r>
                <w:rPr>
                  <w:rStyle w:val="a5"/>
                  <w:rFonts w:ascii="sans-serif" w:eastAsia="sans-serif" w:hAnsi="sans-serif" w:cs="sans-serif"/>
                  <w:sz w:val="20"/>
                  <w:szCs w:val="20"/>
                </w:rPr>
                <w:t>*</w:t>
              </w:r>
            </w:hyperlink>
          </w:p>
        </w:tc>
        <w:tc>
          <w:tcPr>
            <w:tcW w:w="0" w:type="auto"/>
            <w:gridSpan w:val="3"/>
            <w:shd w:val="clear" w:color="auto" w:fill="auto"/>
            <w:tcMar>
              <w:left w:w="20" w:type="dxa"/>
              <w:right w:w="20" w:type="dxa"/>
            </w:tcMar>
            <w:vAlign w:val="bottom"/>
          </w:tcPr>
          <w:p w14:paraId="3693FE1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1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1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1D"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1E"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1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1" w14:textId="77777777" w:rsidR="003734EC" w:rsidRDefault="003734EC">
            <w:pPr>
              <w:rPr>
                <w:rFonts w:ascii="宋体"/>
              </w:rPr>
            </w:pPr>
          </w:p>
        </w:tc>
      </w:tr>
      <w:tr w:rsidR="003734EC" w14:paraId="3693FE2E" w14:textId="77777777">
        <w:trPr>
          <w:jc w:val="center"/>
        </w:trPr>
        <w:tc>
          <w:tcPr>
            <w:tcW w:w="0" w:type="auto"/>
            <w:gridSpan w:val="3"/>
            <w:shd w:val="clear" w:color="auto" w:fill="auto"/>
            <w:tcMar>
              <w:top w:w="40" w:type="dxa"/>
              <w:left w:w="20" w:type="dxa"/>
              <w:bottom w:w="40" w:type="dxa"/>
              <w:right w:w="20" w:type="dxa"/>
            </w:tcMar>
          </w:tcPr>
          <w:p w14:paraId="3693FE23" w14:textId="77777777" w:rsidR="003734EC" w:rsidRDefault="000E364E">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left w:w="20" w:type="dxa"/>
              <w:right w:w="20" w:type="dxa"/>
            </w:tcMar>
            <w:vAlign w:val="bottom"/>
          </w:tcPr>
          <w:p w14:paraId="3693FE24"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25" w14:textId="77777777" w:rsidR="003734EC" w:rsidRDefault="000E364E">
            <w:pPr>
              <w:textAlignment w:val="bottom"/>
            </w:pPr>
            <w:hyperlink r:id="rId42"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left w:w="20" w:type="dxa"/>
              <w:right w:w="20" w:type="dxa"/>
            </w:tcMar>
            <w:vAlign w:val="bottom"/>
          </w:tcPr>
          <w:p w14:paraId="3693FE2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9"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2D" w14:textId="77777777" w:rsidR="003734EC" w:rsidRDefault="003734EC">
            <w:pPr>
              <w:rPr>
                <w:rFonts w:ascii="宋体"/>
              </w:rPr>
            </w:pPr>
          </w:p>
        </w:tc>
      </w:tr>
      <w:tr w:rsidR="003734EC" w14:paraId="3693FE3A" w14:textId="77777777">
        <w:trPr>
          <w:jc w:val="center"/>
        </w:trPr>
        <w:tc>
          <w:tcPr>
            <w:tcW w:w="0" w:type="auto"/>
            <w:gridSpan w:val="3"/>
            <w:shd w:val="clear" w:color="auto" w:fill="auto"/>
            <w:tcMar>
              <w:top w:w="40" w:type="dxa"/>
              <w:left w:w="20" w:type="dxa"/>
              <w:bottom w:w="40" w:type="dxa"/>
              <w:right w:w="20" w:type="dxa"/>
            </w:tcMar>
          </w:tcPr>
          <w:p w14:paraId="3693FE2F" w14:textId="77777777" w:rsidR="003734EC" w:rsidRDefault="000E364E">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left w:w="20" w:type="dxa"/>
              <w:right w:w="20" w:type="dxa"/>
            </w:tcMar>
            <w:vAlign w:val="bottom"/>
          </w:tcPr>
          <w:p w14:paraId="3693FE3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31" w14:textId="77777777" w:rsidR="003734EC" w:rsidRDefault="000E364E">
            <w:pPr>
              <w:textAlignment w:val="bottom"/>
            </w:pPr>
            <w:hyperlink r:id="rId43"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left w:w="20" w:type="dxa"/>
              <w:right w:w="20" w:type="dxa"/>
            </w:tcMar>
            <w:vAlign w:val="bottom"/>
          </w:tcPr>
          <w:p w14:paraId="3693FE32"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9" w14:textId="77777777" w:rsidR="003734EC" w:rsidRDefault="003734EC">
            <w:pPr>
              <w:rPr>
                <w:rFonts w:ascii="宋体"/>
              </w:rPr>
            </w:pPr>
          </w:p>
        </w:tc>
      </w:tr>
      <w:tr w:rsidR="003734EC" w14:paraId="3693FE46" w14:textId="77777777">
        <w:trPr>
          <w:jc w:val="center"/>
        </w:trPr>
        <w:tc>
          <w:tcPr>
            <w:tcW w:w="0" w:type="auto"/>
            <w:gridSpan w:val="3"/>
            <w:shd w:val="clear" w:color="auto" w:fill="auto"/>
            <w:tcMar>
              <w:top w:w="40" w:type="dxa"/>
              <w:left w:w="20" w:type="dxa"/>
              <w:bottom w:w="40" w:type="dxa"/>
              <w:right w:w="20" w:type="dxa"/>
            </w:tcMar>
          </w:tcPr>
          <w:p w14:paraId="3693FE3B" w14:textId="77777777" w:rsidR="003734EC" w:rsidRDefault="000E364E">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left w:w="20" w:type="dxa"/>
              <w:right w:w="20" w:type="dxa"/>
            </w:tcMar>
            <w:vAlign w:val="bottom"/>
          </w:tcPr>
          <w:p w14:paraId="3693FE3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3D" w14:textId="77777777" w:rsidR="003734EC" w:rsidRDefault="000E364E">
            <w:pPr>
              <w:textAlignment w:val="bottom"/>
            </w:pPr>
            <w:hyperlink r:id="rId44"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left w:w="20" w:type="dxa"/>
              <w:right w:w="20" w:type="dxa"/>
            </w:tcMar>
            <w:vAlign w:val="bottom"/>
          </w:tcPr>
          <w:p w14:paraId="3693FE3E"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3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2"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5" w14:textId="77777777" w:rsidR="003734EC" w:rsidRDefault="003734EC">
            <w:pPr>
              <w:rPr>
                <w:rFonts w:ascii="宋体"/>
              </w:rPr>
            </w:pPr>
          </w:p>
        </w:tc>
      </w:tr>
      <w:tr w:rsidR="003734EC" w14:paraId="3693FE52" w14:textId="77777777">
        <w:trPr>
          <w:jc w:val="center"/>
        </w:trPr>
        <w:tc>
          <w:tcPr>
            <w:tcW w:w="0" w:type="auto"/>
            <w:gridSpan w:val="3"/>
            <w:shd w:val="clear" w:color="auto" w:fill="auto"/>
            <w:tcMar>
              <w:top w:w="40" w:type="dxa"/>
              <w:left w:w="20" w:type="dxa"/>
              <w:bottom w:w="40" w:type="dxa"/>
              <w:right w:w="20" w:type="dxa"/>
            </w:tcMar>
          </w:tcPr>
          <w:p w14:paraId="3693FE47" w14:textId="77777777" w:rsidR="003734EC" w:rsidRDefault="000E364E">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left w:w="20" w:type="dxa"/>
              <w:right w:w="20" w:type="dxa"/>
            </w:tcMar>
            <w:vAlign w:val="bottom"/>
          </w:tcPr>
          <w:p w14:paraId="3693FE48"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49" w14:textId="77777777" w:rsidR="003734EC" w:rsidRDefault="000E364E">
            <w:pPr>
              <w:textAlignment w:val="bottom"/>
            </w:pPr>
            <w:hyperlink r:id="rId45"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left w:w="20" w:type="dxa"/>
              <w:right w:w="20" w:type="dxa"/>
            </w:tcMar>
            <w:vAlign w:val="bottom"/>
          </w:tcPr>
          <w:p w14:paraId="3693FE4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D"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E"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4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1" w14:textId="77777777" w:rsidR="003734EC" w:rsidRDefault="003734EC">
            <w:pPr>
              <w:rPr>
                <w:rFonts w:ascii="宋体"/>
              </w:rPr>
            </w:pPr>
          </w:p>
        </w:tc>
      </w:tr>
      <w:tr w:rsidR="003734EC" w14:paraId="3693FE5E" w14:textId="77777777">
        <w:trPr>
          <w:jc w:val="center"/>
        </w:trPr>
        <w:tc>
          <w:tcPr>
            <w:tcW w:w="0" w:type="auto"/>
            <w:gridSpan w:val="3"/>
            <w:shd w:val="clear" w:color="auto" w:fill="auto"/>
            <w:tcMar>
              <w:top w:w="40" w:type="dxa"/>
              <w:left w:w="20" w:type="dxa"/>
              <w:bottom w:w="40" w:type="dxa"/>
              <w:right w:w="20" w:type="dxa"/>
            </w:tcMar>
          </w:tcPr>
          <w:p w14:paraId="3693FE53" w14:textId="77777777" w:rsidR="003734EC" w:rsidRDefault="000E364E">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left w:w="20" w:type="dxa"/>
              <w:right w:w="20" w:type="dxa"/>
            </w:tcMar>
            <w:vAlign w:val="bottom"/>
          </w:tcPr>
          <w:p w14:paraId="3693FE54"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55" w14:textId="77777777" w:rsidR="003734EC" w:rsidRDefault="000E364E">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left w:w="20" w:type="dxa"/>
              <w:right w:w="20" w:type="dxa"/>
            </w:tcMar>
            <w:vAlign w:val="bottom"/>
          </w:tcPr>
          <w:p w14:paraId="3693FE5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9"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5D" w14:textId="77777777" w:rsidR="003734EC" w:rsidRDefault="003734EC">
            <w:pPr>
              <w:rPr>
                <w:rFonts w:ascii="宋体"/>
              </w:rPr>
            </w:pPr>
          </w:p>
        </w:tc>
      </w:tr>
      <w:tr w:rsidR="003734EC" w14:paraId="3693FE6A" w14:textId="77777777">
        <w:trPr>
          <w:jc w:val="center"/>
        </w:trPr>
        <w:tc>
          <w:tcPr>
            <w:tcW w:w="0" w:type="auto"/>
            <w:gridSpan w:val="3"/>
            <w:shd w:val="clear" w:color="auto" w:fill="auto"/>
            <w:tcMar>
              <w:top w:w="40" w:type="dxa"/>
              <w:left w:w="20" w:type="dxa"/>
              <w:bottom w:w="40" w:type="dxa"/>
              <w:right w:w="20" w:type="dxa"/>
            </w:tcMar>
          </w:tcPr>
          <w:p w14:paraId="3693FE5F" w14:textId="77777777" w:rsidR="003734EC" w:rsidRDefault="000E364E">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left w:w="20" w:type="dxa"/>
              <w:right w:w="20" w:type="dxa"/>
            </w:tcMar>
            <w:vAlign w:val="bottom"/>
          </w:tcPr>
          <w:p w14:paraId="3693FE60"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61" w14:textId="77777777" w:rsidR="003734EC" w:rsidRDefault="000E364E">
            <w:pPr>
              <w:textAlignment w:val="bottom"/>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left w:w="20" w:type="dxa"/>
              <w:right w:w="20" w:type="dxa"/>
            </w:tcMar>
            <w:vAlign w:val="bottom"/>
          </w:tcPr>
          <w:p w14:paraId="3693FE62"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9" w14:textId="77777777" w:rsidR="003734EC" w:rsidRDefault="003734EC">
            <w:pPr>
              <w:rPr>
                <w:rFonts w:ascii="宋体"/>
              </w:rPr>
            </w:pPr>
          </w:p>
        </w:tc>
      </w:tr>
      <w:tr w:rsidR="003734EC" w14:paraId="3693FE76" w14:textId="77777777">
        <w:trPr>
          <w:jc w:val="center"/>
        </w:trPr>
        <w:tc>
          <w:tcPr>
            <w:tcW w:w="0" w:type="auto"/>
            <w:gridSpan w:val="3"/>
            <w:shd w:val="clear" w:color="auto" w:fill="auto"/>
            <w:tcMar>
              <w:top w:w="40" w:type="dxa"/>
              <w:left w:w="20" w:type="dxa"/>
              <w:bottom w:w="40" w:type="dxa"/>
              <w:right w:w="20" w:type="dxa"/>
            </w:tcMar>
          </w:tcPr>
          <w:p w14:paraId="3693FE6B" w14:textId="77777777" w:rsidR="003734EC" w:rsidRDefault="000E364E">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left w:w="20" w:type="dxa"/>
              <w:right w:w="20" w:type="dxa"/>
            </w:tcMar>
            <w:vAlign w:val="bottom"/>
          </w:tcPr>
          <w:p w14:paraId="3693FE6C"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6D" w14:textId="77777777" w:rsidR="003734EC" w:rsidRDefault="000E364E">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Calculation Linkbase Document</w:t>
            </w:r>
          </w:p>
        </w:tc>
        <w:tc>
          <w:tcPr>
            <w:tcW w:w="0" w:type="auto"/>
            <w:gridSpan w:val="3"/>
            <w:shd w:val="clear" w:color="auto" w:fill="auto"/>
            <w:tcMar>
              <w:left w:w="20" w:type="dxa"/>
              <w:right w:w="20" w:type="dxa"/>
            </w:tcMar>
            <w:vAlign w:val="bottom"/>
          </w:tcPr>
          <w:p w14:paraId="3693FE6E"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6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2"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75" w14:textId="77777777" w:rsidR="003734EC" w:rsidRDefault="003734EC">
            <w:pPr>
              <w:rPr>
                <w:rFonts w:ascii="宋体"/>
              </w:rPr>
            </w:pPr>
          </w:p>
        </w:tc>
      </w:tr>
    </w:tbl>
    <w:p w14:paraId="3693FE77" w14:textId="77777777" w:rsidR="003734EC" w:rsidRDefault="000E364E">
      <w:pPr>
        <w:spacing w:after="180"/>
        <w:jc w:val="center"/>
      </w:pPr>
      <w:r>
        <w:rPr>
          <w:rFonts w:ascii="sans-serif" w:eastAsia="sans-serif" w:hAnsi="sans-serif" w:cs="sans-serif"/>
          <w:color w:val="000000"/>
          <w:sz w:val="20"/>
          <w:szCs w:val="20"/>
        </w:rPr>
        <w:t>34</w:t>
      </w:r>
    </w:p>
    <w:p w14:paraId="3693FE78" w14:textId="77777777" w:rsidR="003734EC" w:rsidRDefault="000E364E">
      <w:r>
        <w:pict w14:anchorId="3693FF6B">
          <v:rect id="_x0000_i1057" style="width:415.3pt;height:1.5pt" o:hralign="center" o:hrstd="t" o:hr="t" fillcolor="#a0a0a0" stroked="f"/>
        </w:pict>
      </w:r>
    </w:p>
    <w:p w14:paraId="3693FE79" w14:textId="77777777" w:rsidR="003734EC" w:rsidRDefault="003734EC">
      <w:pPr>
        <w:spacing w:after="180"/>
        <w:jc w:val="both"/>
      </w:pPr>
    </w:p>
    <w:tbl>
      <w:tblPr>
        <w:tblW w:w="4985" w:type="pct"/>
        <w:jc w:val="center"/>
        <w:tblCellMar>
          <w:top w:w="15" w:type="dxa"/>
          <w:left w:w="15" w:type="dxa"/>
          <w:bottom w:w="15" w:type="dxa"/>
          <w:right w:w="15" w:type="dxa"/>
        </w:tblCellMar>
        <w:tblLook w:val="04A0" w:firstRow="1" w:lastRow="0" w:firstColumn="1" w:lastColumn="0" w:noHBand="0" w:noVBand="1"/>
      </w:tblPr>
      <w:tblGrid>
        <w:gridCol w:w="83"/>
        <w:gridCol w:w="642"/>
        <w:gridCol w:w="82"/>
        <w:gridCol w:w="36"/>
        <w:gridCol w:w="63"/>
        <w:gridCol w:w="36"/>
        <w:gridCol w:w="70"/>
        <w:gridCol w:w="2686"/>
        <w:gridCol w:w="70"/>
        <w:gridCol w:w="36"/>
        <w:gridCol w:w="67"/>
        <w:gridCol w:w="36"/>
        <w:gridCol w:w="70"/>
        <w:gridCol w:w="760"/>
        <w:gridCol w:w="70"/>
        <w:gridCol w:w="36"/>
        <w:gridCol w:w="79"/>
        <w:gridCol w:w="36"/>
        <w:gridCol w:w="71"/>
        <w:gridCol w:w="688"/>
        <w:gridCol w:w="71"/>
        <w:gridCol w:w="36"/>
        <w:gridCol w:w="79"/>
        <w:gridCol w:w="36"/>
        <w:gridCol w:w="71"/>
        <w:gridCol w:w="859"/>
        <w:gridCol w:w="71"/>
        <w:gridCol w:w="36"/>
        <w:gridCol w:w="79"/>
        <w:gridCol w:w="36"/>
        <w:gridCol w:w="71"/>
        <w:gridCol w:w="1078"/>
        <w:gridCol w:w="71"/>
      </w:tblGrid>
      <w:tr w:rsidR="003734EC" w14:paraId="3693FE9B" w14:textId="77777777">
        <w:trPr>
          <w:jc w:val="center"/>
        </w:trPr>
        <w:tc>
          <w:tcPr>
            <w:tcW w:w="50" w:type="pct"/>
            <w:shd w:val="clear" w:color="auto" w:fill="auto"/>
            <w:vAlign w:val="center"/>
          </w:tcPr>
          <w:p w14:paraId="3693FE7A" w14:textId="77777777" w:rsidR="003734EC" w:rsidRDefault="003734EC">
            <w:pPr>
              <w:rPr>
                <w:rFonts w:ascii="宋体"/>
              </w:rPr>
            </w:pPr>
          </w:p>
        </w:tc>
        <w:tc>
          <w:tcPr>
            <w:tcW w:w="391" w:type="pct"/>
            <w:shd w:val="clear" w:color="auto" w:fill="auto"/>
            <w:vAlign w:val="center"/>
          </w:tcPr>
          <w:p w14:paraId="3693FE7B" w14:textId="77777777" w:rsidR="003734EC" w:rsidRDefault="003734EC">
            <w:pPr>
              <w:rPr>
                <w:rFonts w:ascii="宋体"/>
              </w:rPr>
            </w:pPr>
          </w:p>
        </w:tc>
        <w:tc>
          <w:tcPr>
            <w:tcW w:w="50" w:type="pct"/>
            <w:shd w:val="clear" w:color="auto" w:fill="auto"/>
            <w:vAlign w:val="center"/>
          </w:tcPr>
          <w:p w14:paraId="3693FE7C" w14:textId="77777777" w:rsidR="003734EC" w:rsidRDefault="003734EC">
            <w:pPr>
              <w:rPr>
                <w:rFonts w:ascii="宋体"/>
              </w:rPr>
            </w:pPr>
          </w:p>
        </w:tc>
        <w:tc>
          <w:tcPr>
            <w:tcW w:w="5" w:type="pct"/>
            <w:shd w:val="clear" w:color="auto" w:fill="auto"/>
            <w:vAlign w:val="center"/>
          </w:tcPr>
          <w:p w14:paraId="3693FE7D" w14:textId="77777777" w:rsidR="003734EC" w:rsidRDefault="003734EC">
            <w:pPr>
              <w:rPr>
                <w:rFonts w:ascii="宋体"/>
              </w:rPr>
            </w:pPr>
          </w:p>
        </w:tc>
        <w:tc>
          <w:tcPr>
            <w:tcW w:w="55" w:type="pct"/>
            <w:shd w:val="clear" w:color="auto" w:fill="auto"/>
            <w:vAlign w:val="center"/>
          </w:tcPr>
          <w:p w14:paraId="3693FE7E" w14:textId="77777777" w:rsidR="003734EC" w:rsidRDefault="003734EC">
            <w:pPr>
              <w:rPr>
                <w:rFonts w:ascii="宋体"/>
              </w:rPr>
            </w:pPr>
          </w:p>
        </w:tc>
        <w:tc>
          <w:tcPr>
            <w:tcW w:w="5" w:type="pct"/>
            <w:shd w:val="clear" w:color="auto" w:fill="auto"/>
            <w:vAlign w:val="center"/>
          </w:tcPr>
          <w:p w14:paraId="3693FE7F" w14:textId="77777777" w:rsidR="003734EC" w:rsidRDefault="003734EC">
            <w:pPr>
              <w:rPr>
                <w:rFonts w:ascii="宋体"/>
              </w:rPr>
            </w:pPr>
          </w:p>
        </w:tc>
        <w:tc>
          <w:tcPr>
            <w:tcW w:w="50" w:type="pct"/>
            <w:shd w:val="clear" w:color="auto" w:fill="auto"/>
            <w:vAlign w:val="center"/>
          </w:tcPr>
          <w:p w14:paraId="3693FE80" w14:textId="77777777" w:rsidR="003734EC" w:rsidRDefault="003734EC">
            <w:pPr>
              <w:rPr>
                <w:rFonts w:ascii="宋体"/>
              </w:rPr>
            </w:pPr>
          </w:p>
        </w:tc>
        <w:tc>
          <w:tcPr>
            <w:tcW w:w="1622" w:type="pct"/>
            <w:shd w:val="clear" w:color="auto" w:fill="auto"/>
            <w:vAlign w:val="center"/>
          </w:tcPr>
          <w:p w14:paraId="3693FE81" w14:textId="77777777" w:rsidR="003734EC" w:rsidRDefault="003734EC">
            <w:pPr>
              <w:rPr>
                <w:rFonts w:ascii="宋体"/>
              </w:rPr>
            </w:pPr>
          </w:p>
        </w:tc>
        <w:tc>
          <w:tcPr>
            <w:tcW w:w="50" w:type="pct"/>
            <w:shd w:val="clear" w:color="auto" w:fill="auto"/>
            <w:vAlign w:val="center"/>
          </w:tcPr>
          <w:p w14:paraId="3693FE82" w14:textId="77777777" w:rsidR="003734EC" w:rsidRDefault="003734EC">
            <w:pPr>
              <w:rPr>
                <w:rFonts w:ascii="宋体"/>
              </w:rPr>
            </w:pPr>
          </w:p>
        </w:tc>
        <w:tc>
          <w:tcPr>
            <w:tcW w:w="5" w:type="pct"/>
            <w:shd w:val="clear" w:color="auto" w:fill="auto"/>
            <w:vAlign w:val="center"/>
          </w:tcPr>
          <w:p w14:paraId="3693FE83" w14:textId="77777777" w:rsidR="003734EC" w:rsidRDefault="003734EC">
            <w:pPr>
              <w:rPr>
                <w:rFonts w:ascii="宋体"/>
              </w:rPr>
            </w:pPr>
          </w:p>
        </w:tc>
        <w:tc>
          <w:tcPr>
            <w:tcW w:w="48" w:type="pct"/>
            <w:shd w:val="clear" w:color="auto" w:fill="auto"/>
            <w:vAlign w:val="center"/>
          </w:tcPr>
          <w:p w14:paraId="3693FE84" w14:textId="77777777" w:rsidR="003734EC" w:rsidRDefault="003734EC">
            <w:pPr>
              <w:rPr>
                <w:rFonts w:ascii="宋体"/>
              </w:rPr>
            </w:pPr>
          </w:p>
        </w:tc>
        <w:tc>
          <w:tcPr>
            <w:tcW w:w="5" w:type="pct"/>
            <w:shd w:val="clear" w:color="auto" w:fill="auto"/>
            <w:vAlign w:val="center"/>
          </w:tcPr>
          <w:p w14:paraId="3693FE85" w14:textId="77777777" w:rsidR="003734EC" w:rsidRDefault="003734EC">
            <w:pPr>
              <w:rPr>
                <w:rFonts w:ascii="宋体"/>
              </w:rPr>
            </w:pPr>
          </w:p>
        </w:tc>
        <w:tc>
          <w:tcPr>
            <w:tcW w:w="50" w:type="pct"/>
            <w:shd w:val="clear" w:color="auto" w:fill="auto"/>
            <w:vAlign w:val="center"/>
          </w:tcPr>
          <w:p w14:paraId="3693FE86" w14:textId="77777777" w:rsidR="003734EC" w:rsidRDefault="003734EC">
            <w:pPr>
              <w:rPr>
                <w:rFonts w:ascii="宋体"/>
              </w:rPr>
            </w:pPr>
          </w:p>
        </w:tc>
        <w:tc>
          <w:tcPr>
            <w:tcW w:w="464" w:type="pct"/>
            <w:shd w:val="clear" w:color="auto" w:fill="auto"/>
            <w:vAlign w:val="center"/>
          </w:tcPr>
          <w:p w14:paraId="3693FE87" w14:textId="77777777" w:rsidR="003734EC" w:rsidRDefault="003734EC">
            <w:pPr>
              <w:rPr>
                <w:rFonts w:ascii="宋体"/>
              </w:rPr>
            </w:pPr>
          </w:p>
        </w:tc>
        <w:tc>
          <w:tcPr>
            <w:tcW w:w="50" w:type="pct"/>
            <w:shd w:val="clear" w:color="auto" w:fill="auto"/>
            <w:vAlign w:val="center"/>
          </w:tcPr>
          <w:p w14:paraId="3693FE88" w14:textId="77777777" w:rsidR="003734EC" w:rsidRDefault="003734EC">
            <w:pPr>
              <w:rPr>
                <w:rFonts w:ascii="宋体"/>
              </w:rPr>
            </w:pPr>
          </w:p>
        </w:tc>
        <w:tc>
          <w:tcPr>
            <w:tcW w:w="5" w:type="pct"/>
            <w:shd w:val="clear" w:color="auto" w:fill="auto"/>
            <w:vAlign w:val="center"/>
          </w:tcPr>
          <w:p w14:paraId="3693FE89" w14:textId="77777777" w:rsidR="003734EC" w:rsidRDefault="003734EC">
            <w:pPr>
              <w:rPr>
                <w:rFonts w:ascii="宋体"/>
              </w:rPr>
            </w:pPr>
          </w:p>
        </w:tc>
        <w:tc>
          <w:tcPr>
            <w:tcW w:w="55" w:type="pct"/>
            <w:shd w:val="clear" w:color="auto" w:fill="auto"/>
            <w:vAlign w:val="center"/>
          </w:tcPr>
          <w:p w14:paraId="3693FE8A" w14:textId="77777777" w:rsidR="003734EC" w:rsidRDefault="003734EC">
            <w:pPr>
              <w:rPr>
                <w:rFonts w:ascii="宋体"/>
              </w:rPr>
            </w:pPr>
          </w:p>
        </w:tc>
        <w:tc>
          <w:tcPr>
            <w:tcW w:w="5" w:type="pct"/>
            <w:shd w:val="clear" w:color="auto" w:fill="auto"/>
            <w:vAlign w:val="center"/>
          </w:tcPr>
          <w:p w14:paraId="3693FE8B" w14:textId="77777777" w:rsidR="003734EC" w:rsidRDefault="003734EC">
            <w:pPr>
              <w:rPr>
                <w:rFonts w:ascii="宋体"/>
              </w:rPr>
            </w:pPr>
          </w:p>
        </w:tc>
        <w:tc>
          <w:tcPr>
            <w:tcW w:w="50" w:type="pct"/>
            <w:shd w:val="clear" w:color="auto" w:fill="auto"/>
            <w:vAlign w:val="center"/>
          </w:tcPr>
          <w:p w14:paraId="3693FE8C" w14:textId="77777777" w:rsidR="003734EC" w:rsidRDefault="003734EC">
            <w:pPr>
              <w:rPr>
                <w:rFonts w:ascii="宋体"/>
              </w:rPr>
            </w:pPr>
          </w:p>
        </w:tc>
        <w:tc>
          <w:tcPr>
            <w:tcW w:w="420" w:type="pct"/>
            <w:shd w:val="clear" w:color="auto" w:fill="auto"/>
            <w:vAlign w:val="center"/>
          </w:tcPr>
          <w:p w14:paraId="3693FE8D" w14:textId="77777777" w:rsidR="003734EC" w:rsidRDefault="003734EC">
            <w:pPr>
              <w:rPr>
                <w:rFonts w:ascii="宋体"/>
              </w:rPr>
            </w:pPr>
          </w:p>
        </w:tc>
        <w:tc>
          <w:tcPr>
            <w:tcW w:w="50" w:type="pct"/>
            <w:shd w:val="clear" w:color="auto" w:fill="auto"/>
            <w:vAlign w:val="center"/>
          </w:tcPr>
          <w:p w14:paraId="3693FE8E" w14:textId="77777777" w:rsidR="003734EC" w:rsidRDefault="003734EC">
            <w:pPr>
              <w:rPr>
                <w:rFonts w:ascii="宋体"/>
              </w:rPr>
            </w:pPr>
          </w:p>
        </w:tc>
        <w:tc>
          <w:tcPr>
            <w:tcW w:w="5" w:type="pct"/>
            <w:shd w:val="clear" w:color="auto" w:fill="auto"/>
            <w:vAlign w:val="center"/>
          </w:tcPr>
          <w:p w14:paraId="3693FE8F" w14:textId="77777777" w:rsidR="003734EC" w:rsidRDefault="003734EC">
            <w:pPr>
              <w:rPr>
                <w:rFonts w:ascii="宋体"/>
              </w:rPr>
            </w:pPr>
          </w:p>
        </w:tc>
        <w:tc>
          <w:tcPr>
            <w:tcW w:w="55" w:type="pct"/>
            <w:shd w:val="clear" w:color="auto" w:fill="auto"/>
            <w:vAlign w:val="center"/>
          </w:tcPr>
          <w:p w14:paraId="3693FE90" w14:textId="77777777" w:rsidR="003734EC" w:rsidRDefault="003734EC">
            <w:pPr>
              <w:rPr>
                <w:rFonts w:ascii="宋体"/>
              </w:rPr>
            </w:pPr>
          </w:p>
        </w:tc>
        <w:tc>
          <w:tcPr>
            <w:tcW w:w="5" w:type="pct"/>
            <w:shd w:val="clear" w:color="auto" w:fill="auto"/>
            <w:vAlign w:val="center"/>
          </w:tcPr>
          <w:p w14:paraId="3693FE91" w14:textId="77777777" w:rsidR="003734EC" w:rsidRDefault="003734EC">
            <w:pPr>
              <w:rPr>
                <w:rFonts w:ascii="宋体"/>
              </w:rPr>
            </w:pPr>
          </w:p>
        </w:tc>
        <w:tc>
          <w:tcPr>
            <w:tcW w:w="50" w:type="pct"/>
            <w:shd w:val="clear" w:color="auto" w:fill="auto"/>
            <w:vAlign w:val="center"/>
          </w:tcPr>
          <w:p w14:paraId="3693FE92" w14:textId="77777777" w:rsidR="003734EC" w:rsidRDefault="003734EC">
            <w:pPr>
              <w:rPr>
                <w:rFonts w:ascii="宋体"/>
              </w:rPr>
            </w:pPr>
          </w:p>
        </w:tc>
        <w:tc>
          <w:tcPr>
            <w:tcW w:w="523" w:type="pct"/>
            <w:shd w:val="clear" w:color="auto" w:fill="auto"/>
            <w:vAlign w:val="center"/>
          </w:tcPr>
          <w:p w14:paraId="3693FE93" w14:textId="77777777" w:rsidR="003734EC" w:rsidRDefault="003734EC">
            <w:pPr>
              <w:rPr>
                <w:rFonts w:ascii="宋体"/>
              </w:rPr>
            </w:pPr>
          </w:p>
        </w:tc>
        <w:tc>
          <w:tcPr>
            <w:tcW w:w="50" w:type="pct"/>
            <w:shd w:val="clear" w:color="auto" w:fill="auto"/>
            <w:vAlign w:val="center"/>
          </w:tcPr>
          <w:p w14:paraId="3693FE94" w14:textId="77777777" w:rsidR="003734EC" w:rsidRDefault="003734EC">
            <w:pPr>
              <w:rPr>
                <w:rFonts w:ascii="宋体"/>
              </w:rPr>
            </w:pPr>
          </w:p>
        </w:tc>
        <w:tc>
          <w:tcPr>
            <w:tcW w:w="5" w:type="pct"/>
            <w:shd w:val="clear" w:color="auto" w:fill="auto"/>
            <w:vAlign w:val="center"/>
          </w:tcPr>
          <w:p w14:paraId="3693FE95" w14:textId="77777777" w:rsidR="003734EC" w:rsidRDefault="003734EC">
            <w:pPr>
              <w:rPr>
                <w:rFonts w:ascii="宋体"/>
              </w:rPr>
            </w:pPr>
          </w:p>
        </w:tc>
        <w:tc>
          <w:tcPr>
            <w:tcW w:w="55" w:type="pct"/>
            <w:shd w:val="clear" w:color="auto" w:fill="auto"/>
            <w:vAlign w:val="center"/>
          </w:tcPr>
          <w:p w14:paraId="3693FE96" w14:textId="77777777" w:rsidR="003734EC" w:rsidRDefault="003734EC">
            <w:pPr>
              <w:rPr>
                <w:rFonts w:ascii="宋体"/>
              </w:rPr>
            </w:pPr>
          </w:p>
        </w:tc>
        <w:tc>
          <w:tcPr>
            <w:tcW w:w="5" w:type="pct"/>
            <w:shd w:val="clear" w:color="auto" w:fill="auto"/>
            <w:vAlign w:val="center"/>
          </w:tcPr>
          <w:p w14:paraId="3693FE97" w14:textId="77777777" w:rsidR="003734EC" w:rsidRDefault="003734EC">
            <w:pPr>
              <w:rPr>
                <w:rFonts w:ascii="宋体"/>
              </w:rPr>
            </w:pPr>
          </w:p>
        </w:tc>
        <w:tc>
          <w:tcPr>
            <w:tcW w:w="50" w:type="pct"/>
            <w:shd w:val="clear" w:color="auto" w:fill="auto"/>
            <w:vAlign w:val="center"/>
          </w:tcPr>
          <w:p w14:paraId="3693FE98" w14:textId="77777777" w:rsidR="003734EC" w:rsidRDefault="003734EC">
            <w:pPr>
              <w:rPr>
                <w:rFonts w:ascii="宋体"/>
              </w:rPr>
            </w:pPr>
          </w:p>
        </w:tc>
        <w:tc>
          <w:tcPr>
            <w:tcW w:w="655" w:type="pct"/>
            <w:shd w:val="clear" w:color="auto" w:fill="auto"/>
            <w:vAlign w:val="center"/>
          </w:tcPr>
          <w:p w14:paraId="3693FE99" w14:textId="77777777" w:rsidR="003734EC" w:rsidRDefault="003734EC">
            <w:pPr>
              <w:rPr>
                <w:rFonts w:ascii="宋体"/>
              </w:rPr>
            </w:pPr>
          </w:p>
        </w:tc>
        <w:tc>
          <w:tcPr>
            <w:tcW w:w="50" w:type="pct"/>
            <w:shd w:val="clear" w:color="auto" w:fill="auto"/>
            <w:vAlign w:val="center"/>
          </w:tcPr>
          <w:p w14:paraId="3693FE9A" w14:textId="77777777" w:rsidR="003734EC" w:rsidRDefault="003734EC">
            <w:pPr>
              <w:rPr>
                <w:rFonts w:ascii="宋体"/>
              </w:rPr>
            </w:pPr>
          </w:p>
        </w:tc>
      </w:tr>
      <w:tr w:rsidR="003734EC" w14:paraId="3693FEA7" w14:textId="77777777">
        <w:trPr>
          <w:jc w:val="center"/>
        </w:trPr>
        <w:tc>
          <w:tcPr>
            <w:tcW w:w="0" w:type="auto"/>
            <w:gridSpan w:val="3"/>
            <w:shd w:val="clear" w:color="auto" w:fill="auto"/>
            <w:tcMar>
              <w:top w:w="40" w:type="dxa"/>
              <w:left w:w="20" w:type="dxa"/>
              <w:bottom w:w="40" w:type="dxa"/>
              <w:right w:w="20" w:type="dxa"/>
            </w:tcMar>
          </w:tcPr>
          <w:p w14:paraId="3693FE9C" w14:textId="77777777" w:rsidR="003734EC" w:rsidRDefault="000E364E">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left w:w="20" w:type="dxa"/>
              <w:right w:w="20" w:type="dxa"/>
            </w:tcMar>
            <w:vAlign w:val="bottom"/>
          </w:tcPr>
          <w:p w14:paraId="3693FE9D"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9E" w14:textId="77777777" w:rsidR="003734EC" w:rsidRDefault="000E364E">
            <w:pPr>
              <w:textAlignment w:val="bottom"/>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left w:w="20" w:type="dxa"/>
              <w:right w:w="20" w:type="dxa"/>
            </w:tcMar>
            <w:vAlign w:val="bottom"/>
          </w:tcPr>
          <w:p w14:paraId="3693FE9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2"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6" w14:textId="77777777" w:rsidR="003734EC" w:rsidRDefault="003734EC">
            <w:pPr>
              <w:rPr>
                <w:rFonts w:ascii="宋体"/>
              </w:rPr>
            </w:pPr>
          </w:p>
        </w:tc>
      </w:tr>
      <w:tr w:rsidR="003734EC" w14:paraId="3693FEB3" w14:textId="77777777">
        <w:trPr>
          <w:jc w:val="center"/>
        </w:trPr>
        <w:tc>
          <w:tcPr>
            <w:tcW w:w="0" w:type="auto"/>
            <w:gridSpan w:val="3"/>
            <w:shd w:val="clear" w:color="auto" w:fill="auto"/>
            <w:tcMar>
              <w:top w:w="40" w:type="dxa"/>
              <w:left w:w="20" w:type="dxa"/>
              <w:bottom w:w="40" w:type="dxa"/>
              <w:right w:w="20" w:type="dxa"/>
            </w:tcMar>
          </w:tcPr>
          <w:p w14:paraId="3693FEA8" w14:textId="77777777" w:rsidR="003734EC" w:rsidRDefault="000E364E">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left w:w="20" w:type="dxa"/>
              <w:right w:w="20" w:type="dxa"/>
            </w:tcMar>
            <w:vAlign w:val="bottom"/>
          </w:tcPr>
          <w:p w14:paraId="3693FEA9"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AA" w14:textId="77777777" w:rsidR="003734EC" w:rsidRDefault="000E364E">
            <w:pPr>
              <w:textAlignment w:val="bottom"/>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left w:w="20" w:type="dxa"/>
              <w:right w:w="20" w:type="dxa"/>
            </w:tcMar>
            <w:vAlign w:val="bottom"/>
          </w:tcPr>
          <w:p w14:paraId="3693FEA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D"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E"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AF"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0"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1"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2" w14:textId="77777777" w:rsidR="003734EC" w:rsidRDefault="003734EC">
            <w:pPr>
              <w:rPr>
                <w:rFonts w:ascii="宋体"/>
              </w:rPr>
            </w:pPr>
          </w:p>
        </w:tc>
      </w:tr>
      <w:tr w:rsidR="003734EC" w14:paraId="3693FEBF" w14:textId="77777777">
        <w:trPr>
          <w:jc w:val="center"/>
        </w:trPr>
        <w:tc>
          <w:tcPr>
            <w:tcW w:w="0" w:type="auto"/>
            <w:gridSpan w:val="3"/>
            <w:shd w:val="clear" w:color="auto" w:fill="auto"/>
            <w:tcMar>
              <w:top w:w="40" w:type="dxa"/>
              <w:left w:w="20" w:type="dxa"/>
              <w:bottom w:w="40" w:type="dxa"/>
              <w:right w:w="20" w:type="dxa"/>
            </w:tcMar>
          </w:tcPr>
          <w:p w14:paraId="3693FEB4" w14:textId="77777777" w:rsidR="003734EC" w:rsidRDefault="000E364E">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left w:w="20" w:type="dxa"/>
              <w:right w:w="20" w:type="dxa"/>
            </w:tcMar>
            <w:vAlign w:val="bottom"/>
          </w:tcPr>
          <w:p w14:paraId="3693FEB5"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B6" w14:textId="77777777" w:rsidR="003734EC" w:rsidRDefault="000E364E">
            <w:pPr>
              <w:textAlignment w:val="bottom"/>
            </w:pPr>
            <w:r>
              <w:rPr>
                <w:rFonts w:ascii="sans-serif" w:eastAsia="sans-serif" w:hAnsi="sans-serif" w:cs="sans-serif"/>
                <w:color w:val="000000"/>
                <w:sz w:val="20"/>
                <w:szCs w:val="20"/>
              </w:rPr>
              <w:t>Inline XBRL Taxonomy Extension Presentation Linkbase Document</w:t>
            </w:r>
          </w:p>
        </w:tc>
        <w:tc>
          <w:tcPr>
            <w:tcW w:w="0" w:type="auto"/>
            <w:gridSpan w:val="3"/>
            <w:shd w:val="clear" w:color="auto" w:fill="auto"/>
            <w:tcMar>
              <w:left w:w="20" w:type="dxa"/>
              <w:right w:w="20" w:type="dxa"/>
            </w:tcMar>
            <w:vAlign w:val="bottom"/>
          </w:tcPr>
          <w:p w14:paraId="3693FEB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9"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A"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B"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C"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D"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BE" w14:textId="77777777" w:rsidR="003734EC" w:rsidRDefault="003734EC">
            <w:pPr>
              <w:rPr>
                <w:rFonts w:ascii="宋体"/>
              </w:rPr>
            </w:pPr>
          </w:p>
        </w:tc>
      </w:tr>
      <w:tr w:rsidR="003734EC" w14:paraId="3693FECB" w14:textId="77777777">
        <w:trPr>
          <w:jc w:val="center"/>
        </w:trPr>
        <w:tc>
          <w:tcPr>
            <w:tcW w:w="0" w:type="auto"/>
            <w:gridSpan w:val="3"/>
            <w:shd w:val="clear" w:color="auto" w:fill="auto"/>
            <w:tcMar>
              <w:top w:w="40" w:type="dxa"/>
              <w:left w:w="20" w:type="dxa"/>
              <w:bottom w:w="40" w:type="dxa"/>
              <w:right w:w="20" w:type="dxa"/>
            </w:tcMar>
          </w:tcPr>
          <w:p w14:paraId="3693FEC0" w14:textId="77777777" w:rsidR="003734EC" w:rsidRDefault="000E364E">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left w:w="20" w:type="dxa"/>
              <w:right w:w="20" w:type="dxa"/>
            </w:tcMar>
            <w:vAlign w:val="bottom"/>
          </w:tcPr>
          <w:p w14:paraId="3693FEC1" w14:textId="77777777" w:rsidR="003734EC" w:rsidRDefault="003734EC">
            <w:pPr>
              <w:rPr>
                <w:rFonts w:ascii="宋体"/>
              </w:rPr>
            </w:pPr>
          </w:p>
        </w:tc>
        <w:tc>
          <w:tcPr>
            <w:tcW w:w="0" w:type="auto"/>
            <w:gridSpan w:val="3"/>
            <w:shd w:val="clear" w:color="auto" w:fill="auto"/>
            <w:tcMar>
              <w:top w:w="40" w:type="dxa"/>
              <w:left w:w="20" w:type="dxa"/>
              <w:bottom w:w="40" w:type="dxa"/>
              <w:right w:w="20" w:type="dxa"/>
            </w:tcMar>
            <w:vAlign w:val="bottom"/>
          </w:tcPr>
          <w:p w14:paraId="3693FEC2" w14:textId="77777777" w:rsidR="003734EC" w:rsidRDefault="000E364E">
            <w:pPr>
              <w:textAlignment w:val="bottom"/>
            </w:pPr>
            <w:r>
              <w:rPr>
                <w:rFonts w:ascii="sans-serif" w:eastAsia="sans-serif" w:hAnsi="sans-serif" w:cs="sans-serif"/>
                <w:color w:val="000000"/>
                <w:sz w:val="20"/>
                <w:szCs w:val="20"/>
              </w:rPr>
              <w:t xml:space="preserve">Cover Page Interactive Data File - the cover page interactive data file does not appear in </w:t>
            </w:r>
            <w:r>
              <w:rPr>
                <w:rFonts w:ascii="sans-serif" w:eastAsia="sans-serif" w:hAnsi="sans-serif" w:cs="sans-serif"/>
                <w:color w:val="000000"/>
                <w:sz w:val="20"/>
                <w:szCs w:val="20"/>
              </w:rPr>
              <w:t>the Interactive Data File because its XBRL tags are embedded within the Inline XBRL document.</w:t>
            </w:r>
          </w:p>
        </w:tc>
        <w:tc>
          <w:tcPr>
            <w:tcW w:w="0" w:type="auto"/>
            <w:gridSpan w:val="3"/>
            <w:shd w:val="clear" w:color="auto" w:fill="auto"/>
            <w:tcMar>
              <w:left w:w="20" w:type="dxa"/>
              <w:right w:w="20" w:type="dxa"/>
            </w:tcMar>
            <w:vAlign w:val="bottom"/>
          </w:tcPr>
          <w:p w14:paraId="3693FEC3"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4"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5"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6"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7"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8"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9" w14:textId="77777777" w:rsidR="003734EC" w:rsidRDefault="003734EC">
            <w:pPr>
              <w:rPr>
                <w:rFonts w:ascii="宋体"/>
              </w:rPr>
            </w:pPr>
          </w:p>
        </w:tc>
        <w:tc>
          <w:tcPr>
            <w:tcW w:w="0" w:type="auto"/>
            <w:gridSpan w:val="3"/>
            <w:shd w:val="clear" w:color="auto" w:fill="auto"/>
            <w:tcMar>
              <w:left w:w="20" w:type="dxa"/>
              <w:right w:w="20" w:type="dxa"/>
            </w:tcMar>
            <w:vAlign w:val="bottom"/>
          </w:tcPr>
          <w:p w14:paraId="3693FECA" w14:textId="77777777" w:rsidR="003734EC" w:rsidRDefault="003734EC">
            <w:pPr>
              <w:rPr>
                <w:rFonts w:ascii="宋体"/>
              </w:rPr>
            </w:pPr>
          </w:p>
        </w:tc>
      </w:tr>
    </w:tbl>
    <w:p w14:paraId="3693FECC" w14:textId="77777777" w:rsidR="003734EC" w:rsidRDefault="000E364E">
      <w:pPr>
        <w:spacing w:after="180"/>
        <w:jc w:val="both"/>
      </w:pPr>
      <w:r>
        <w:rPr>
          <w:rFonts w:ascii="sans-serif" w:eastAsia="sans-serif" w:hAnsi="sans-serif" w:cs="sans-serif"/>
          <w:color w:val="000000"/>
          <w:sz w:val="20"/>
          <w:szCs w:val="20"/>
        </w:rPr>
        <w:t>* Filed herewith</w:t>
      </w:r>
    </w:p>
    <w:p w14:paraId="3693FECD" w14:textId="77777777" w:rsidR="003734EC" w:rsidRDefault="000E364E">
      <w:pPr>
        <w:spacing w:after="180"/>
        <w:jc w:val="both"/>
      </w:pPr>
      <w:r>
        <w:rPr>
          <w:rFonts w:ascii="sans-serif" w:eastAsia="sans-serif" w:hAnsi="sans-serif" w:cs="sans-serif"/>
          <w:color w:val="000000"/>
          <w:sz w:val="20"/>
          <w:szCs w:val="20"/>
        </w:rPr>
        <w:t xml:space="preserve">^ Certain exhibits and schedules have been omitted pursuant to Item 601(b)(2) of Regulation S-K, and the Company agrees to </w:t>
      </w:r>
      <w:r>
        <w:rPr>
          <w:rFonts w:ascii="sans-serif" w:eastAsia="sans-serif" w:hAnsi="sans-serif" w:cs="sans-serif"/>
          <w:color w:val="000000"/>
          <w:sz w:val="20"/>
          <w:szCs w:val="20"/>
        </w:rPr>
        <w:t>furnish supplementally to the Securities and Exchange Commission a copy of any omitted exhibits or schedules upon request; provided that the Company may request confidential treatment pursuant to Rule 24b-2 of the Securities Exchange Act of 1934.</w:t>
      </w:r>
    </w:p>
    <w:p w14:paraId="3693FECE" w14:textId="77777777" w:rsidR="003734EC" w:rsidRDefault="000E364E">
      <w:pPr>
        <w:spacing w:after="180"/>
        <w:jc w:val="both"/>
      </w:pPr>
      <w:r>
        <w:rPr>
          <w:rFonts w:ascii="sans-serif" w:eastAsia="sans-serif" w:hAnsi="sans-serif" w:cs="sans-serif"/>
          <w:color w:val="000000"/>
          <w:sz w:val="20"/>
          <w:szCs w:val="20"/>
        </w:rPr>
        <w:t xml:space="preserve">+ </w:t>
      </w:r>
      <w:r>
        <w:rPr>
          <w:rFonts w:ascii="sans-serif" w:eastAsia="sans-serif" w:hAnsi="sans-serif" w:cs="sans-serif"/>
          <w:color w:val="000000"/>
          <w:sz w:val="20"/>
          <w:szCs w:val="20"/>
        </w:rPr>
        <w:t>Management contract or compensatory plan or arrangement</w:t>
      </w:r>
    </w:p>
    <w:p w14:paraId="3693FECF" w14:textId="77777777" w:rsidR="003734EC" w:rsidRDefault="000E364E">
      <w:pPr>
        <w:spacing w:after="180"/>
        <w:jc w:val="both"/>
      </w:pPr>
      <w:r>
        <w:rPr>
          <w:rFonts w:ascii="sans-serif" w:eastAsia="sans-serif" w:hAnsi="sans-serif" w:cs="sans-serif"/>
          <w:color w:val="000000"/>
          <w:sz w:val="20"/>
          <w:szCs w:val="20"/>
        </w:rPr>
        <w:t># In accordance with Item 601(b)(32)(ii) of Regulation S-K and SEC Release Nos. 33-8238 and 34-47986, Final Rule: Management's Reports on Internal Control Over Financial Reporting and Certification of</w:t>
      </w:r>
      <w:r>
        <w:rPr>
          <w:rFonts w:ascii="sans-serif" w:eastAsia="sans-serif" w:hAnsi="sans-serif" w:cs="sans-serif"/>
          <w:color w:val="000000"/>
          <w:sz w:val="20"/>
          <w:szCs w:val="20"/>
        </w:rPr>
        <w:t xml:space="preserve"> Disclosure in Exchange Act Periodic Reports, the certifications furnished in Exhibits 32.1 and 32.2 hereto are deemed to accompany this Quarterly Report on Form 10-Q and will not be deemed “filed” for purpose of Section 18 of the Exchange Act. Such certif</w:t>
      </w:r>
      <w:r>
        <w:rPr>
          <w:rFonts w:ascii="sans-serif" w:eastAsia="sans-serif" w:hAnsi="sans-serif" w:cs="sans-serif"/>
          <w:color w:val="000000"/>
          <w:sz w:val="20"/>
          <w:szCs w:val="20"/>
        </w:rPr>
        <w:t>ications will not be deemed to be incorporated by reference into any filing under the Securities Act or the Exchange Act, except to the extent that the registrant specifically incorporates it by reference.</w:t>
      </w:r>
    </w:p>
    <w:p w14:paraId="3693FED0" w14:textId="77777777" w:rsidR="003734EC" w:rsidRDefault="000E364E">
      <w:pPr>
        <w:spacing w:after="180"/>
        <w:jc w:val="both"/>
      </w:pPr>
      <w:r>
        <w:rPr>
          <w:rFonts w:ascii="sans-serif" w:eastAsia="sans-serif" w:hAnsi="sans-serif" w:cs="sans-serif"/>
          <w:color w:val="000000"/>
          <w:sz w:val="20"/>
          <w:szCs w:val="20"/>
        </w:rPr>
        <w:t xml:space="preserve">Copies of above exhibits not contained herein are </w:t>
      </w:r>
      <w:r>
        <w:rPr>
          <w:rFonts w:ascii="sans-serif" w:eastAsia="sans-serif" w:hAnsi="sans-serif" w:cs="sans-serif"/>
          <w:color w:val="000000"/>
          <w:sz w:val="20"/>
          <w:szCs w:val="20"/>
        </w:rPr>
        <w:t>available to any shareholder upon written request to:</w:t>
      </w:r>
    </w:p>
    <w:p w14:paraId="3693FED1" w14:textId="77777777" w:rsidR="003734EC" w:rsidRDefault="000E364E">
      <w:pPr>
        <w:spacing w:after="180"/>
        <w:jc w:val="both"/>
      </w:pPr>
      <w:r>
        <w:rPr>
          <w:rFonts w:ascii="sans-serif" w:eastAsia="sans-serif" w:hAnsi="sans-serif" w:cs="sans-serif"/>
          <w:color w:val="000000"/>
          <w:sz w:val="20"/>
          <w:szCs w:val="20"/>
        </w:rPr>
        <w:t>Investor Relations: NVIDIA Corporation, 2788 San Tomas Expressway, Santa Clara, CA 95051.</w:t>
      </w:r>
    </w:p>
    <w:p w14:paraId="3693FED2" w14:textId="77777777" w:rsidR="003734EC" w:rsidRDefault="000E364E">
      <w:pPr>
        <w:spacing w:after="180"/>
        <w:jc w:val="center"/>
      </w:pPr>
      <w:r>
        <w:rPr>
          <w:rFonts w:ascii="sans-serif" w:eastAsia="sans-serif" w:hAnsi="sans-serif" w:cs="sans-serif"/>
          <w:color w:val="000000"/>
          <w:sz w:val="20"/>
          <w:szCs w:val="20"/>
        </w:rPr>
        <w:t>35</w:t>
      </w:r>
    </w:p>
    <w:p w14:paraId="3693FED3" w14:textId="77777777" w:rsidR="003734EC" w:rsidRDefault="000E364E">
      <w:r>
        <w:pict w14:anchorId="3693FF6C">
          <v:rect id="_x0000_i1058" style="width:415.3pt;height:1.5pt" o:hralign="center" o:hrstd="t" o:hr="t" fillcolor="#a0a0a0" stroked="f"/>
        </w:pict>
      </w:r>
    </w:p>
    <w:p w14:paraId="3693FED4" w14:textId="77777777" w:rsidR="003734EC" w:rsidRDefault="003734EC">
      <w:pPr>
        <w:spacing w:after="180"/>
        <w:jc w:val="both"/>
      </w:pPr>
    </w:p>
    <w:p w14:paraId="3693FED5" w14:textId="77777777" w:rsidR="003734EC" w:rsidRDefault="000E364E">
      <w:pPr>
        <w:spacing w:after="180"/>
        <w:jc w:val="center"/>
      </w:pPr>
      <w:r>
        <w:rPr>
          <w:rFonts w:ascii="sans-serif" w:eastAsia="sans-serif" w:hAnsi="sans-serif" w:cs="sans-serif"/>
          <w:b/>
          <w:bCs/>
          <w:color w:val="000000"/>
          <w:sz w:val="20"/>
          <w:szCs w:val="20"/>
        </w:rPr>
        <w:t>SIGNATURE</w:t>
      </w:r>
    </w:p>
    <w:p w14:paraId="3693FED6" w14:textId="77777777" w:rsidR="003734EC" w:rsidRDefault="000E364E">
      <w:pPr>
        <w:spacing w:after="180"/>
        <w:jc w:val="both"/>
      </w:pPr>
      <w:r>
        <w:rPr>
          <w:rFonts w:ascii="sans-serif" w:eastAsia="sans-serif" w:hAnsi="sans-serif" w:cs="sans-serif"/>
          <w:color w:val="000000"/>
          <w:sz w:val="20"/>
          <w:szCs w:val="20"/>
        </w:rPr>
        <w:t>Pursuant to the requirements of the Securities Exchange Act of 1934, the registrant has duly cau</w:t>
      </w:r>
      <w:r>
        <w:rPr>
          <w:rFonts w:ascii="sans-serif" w:eastAsia="sans-serif" w:hAnsi="sans-serif" w:cs="sans-serif"/>
          <w:color w:val="000000"/>
          <w:sz w:val="20"/>
          <w:szCs w:val="20"/>
        </w:rPr>
        <w:t>sed this report to be signed on its behalf by the undersigned, thereunto duly authorized.</w:t>
      </w:r>
    </w:p>
    <w:p w14:paraId="3693FED7" w14:textId="77777777" w:rsidR="003734EC" w:rsidRDefault="000E364E">
      <w:pPr>
        <w:spacing w:after="180"/>
        <w:jc w:val="both"/>
      </w:pPr>
      <w:r>
        <w:rPr>
          <w:rFonts w:ascii="sans-serif" w:eastAsia="sans-serif" w:hAnsi="sans-serif" w:cs="sans-serif"/>
          <w:color w:val="000000"/>
          <w:sz w:val="20"/>
          <w:szCs w:val="20"/>
        </w:rPr>
        <w:t xml:space="preserve">Date: May 21, 2020 </w:t>
      </w:r>
    </w:p>
    <w:tbl>
      <w:tblPr>
        <w:tblW w:w="5000" w:type="pct"/>
        <w:tblCellMar>
          <w:top w:w="15" w:type="dxa"/>
          <w:left w:w="15" w:type="dxa"/>
          <w:bottom w:w="15" w:type="dxa"/>
          <w:right w:w="15" w:type="dxa"/>
        </w:tblCellMar>
        <w:tblLook w:val="04A0" w:firstRow="1" w:lastRow="0" w:firstColumn="1" w:lastColumn="0" w:noHBand="0" w:noVBand="1"/>
      </w:tblPr>
      <w:tblGrid>
        <w:gridCol w:w="81"/>
        <w:gridCol w:w="3352"/>
        <w:gridCol w:w="82"/>
        <w:gridCol w:w="82"/>
        <w:gridCol w:w="1395"/>
        <w:gridCol w:w="82"/>
        <w:gridCol w:w="82"/>
        <w:gridCol w:w="1395"/>
        <w:gridCol w:w="82"/>
        <w:gridCol w:w="82"/>
        <w:gridCol w:w="1395"/>
        <w:gridCol w:w="82"/>
        <w:gridCol w:w="36"/>
        <w:gridCol w:w="36"/>
        <w:gridCol w:w="36"/>
        <w:gridCol w:w="36"/>
      </w:tblGrid>
      <w:tr w:rsidR="003734EC" w14:paraId="3693FEE4" w14:textId="77777777">
        <w:trPr>
          <w:gridAfter w:val="4"/>
        </w:trPr>
        <w:tc>
          <w:tcPr>
            <w:tcW w:w="50" w:type="pct"/>
            <w:shd w:val="clear" w:color="auto" w:fill="auto"/>
            <w:vAlign w:val="center"/>
          </w:tcPr>
          <w:p w14:paraId="3693FED8" w14:textId="77777777" w:rsidR="003734EC" w:rsidRDefault="003734EC">
            <w:pPr>
              <w:rPr>
                <w:rFonts w:ascii="宋体"/>
              </w:rPr>
            </w:pPr>
          </w:p>
        </w:tc>
        <w:tc>
          <w:tcPr>
            <w:tcW w:w="2045" w:type="pct"/>
            <w:shd w:val="clear" w:color="auto" w:fill="auto"/>
            <w:vAlign w:val="center"/>
          </w:tcPr>
          <w:p w14:paraId="3693FED9" w14:textId="77777777" w:rsidR="003734EC" w:rsidRDefault="003734EC">
            <w:pPr>
              <w:rPr>
                <w:rFonts w:ascii="宋体"/>
              </w:rPr>
            </w:pPr>
          </w:p>
        </w:tc>
        <w:tc>
          <w:tcPr>
            <w:tcW w:w="50" w:type="pct"/>
            <w:shd w:val="clear" w:color="auto" w:fill="auto"/>
            <w:vAlign w:val="center"/>
          </w:tcPr>
          <w:p w14:paraId="3693FEDA" w14:textId="77777777" w:rsidR="003734EC" w:rsidRDefault="003734EC">
            <w:pPr>
              <w:rPr>
                <w:rFonts w:ascii="宋体"/>
              </w:rPr>
            </w:pPr>
          </w:p>
        </w:tc>
        <w:tc>
          <w:tcPr>
            <w:tcW w:w="50" w:type="pct"/>
            <w:shd w:val="clear" w:color="auto" w:fill="auto"/>
            <w:vAlign w:val="center"/>
          </w:tcPr>
          <w:p w14:paraId="3693FEDB" w14:textId="77777777" w:rsidR="003734EC" w:rsidRDefault="003734EC">
            <w:pPr>
              <w:rPr>
                <w:rFonts w:ascii="宋体"/>
              </w:rPr>
            </w:pPr>
          </w:p>
        </w:tc>
        <w:tc>
          <w:tcPr>
            <w:tcW w:w="851" w:type="pct"/>
            <w:shd w:val="clear" w:color="auto" w:fill="auto"/>
            <w:vAlign w:val="center"/>
          </w:tcPr>
          <w:p w14:paraId="3693FEDC" w14:textId="77777777" w:rsidR="003734EC" w:rsidRDefault="003734EC">
            <w:pPr>
              <w:rPr>
                <w:rFonts w:ascii="宋体"/>
              </w:rPr>
            </w:pPr>
          </w:p>
        </w:tc>
        <w:tc>
          <w:tcPr>
            <w:tcW w:w="50" w:type="pct"/>
            <w:shd w:val="clear" w:color="auto" w:fill="auto"/>
            <w:vAlign w:val="center"/>
          </w:tcPr>
          <w:p w14:paraId="3693FEDD" w14:textId="77777777" w:rsidR="003734EC" w:rsidRDefault="003734EC">
            <w:pPr>
              <w:rPr>
                <w:rFonts w:ascii="宋体"/>
              </w:rPr>
            </w:pPr>
          </w:p>
        </w:tc>
        <w:tc>
          <w:tcPr>
            <w:tcW w:w="50" w:type="pct"/>
            <w:shd w:val="clear" w:color="auto" w:fill="auto"/>
            <w:vAlign w:val="center"/>
          </w:tcPr>
          <w:p w14:paraId="3693FEDE" w14:textId="77777777" w:rsidR="003734EC" w:rsidRDefault="003734EC">
            <w:pPr>
              <w:rPr>
                <w:rFonts w:ascii="宋体"/>
              </w:rPr>
            </w:pPr>
          </w:p>
        </w:tc>
        <w:tc>
          <w:tcPr>
            <w:tcW w:w="851" w:type="pct"/>
            <w:shd w:val="clear" w:color="auto" w:fill="auto"/>
            <w:vAlign w:val="center"/>
          </w:tcPr>
          <w:p w14:paraId="3693FEDF" w14:textId="77777777" w:rsidR="003734EC" w:rsidRDefault="003734EC">
            <w:pPr>
              <w:rPr>
                <w:rFonts w:ascii="宋体"/>
              </w:rPr>
            </w:pPr>
          </w:p>
        </w:tc>
        <w:tc>
          <w:tcPr>
            <w:tcW w:w="50" w:type="pct"/>
            <w:shd w:val="clear" w:color="auto" w:fill="auto"/>
            <w:vAlign w:val="center"/>
          </w:tcPr>
          <w:p w14:paraId="3693FEE0" w14:textId="77777777" w:rsidR="003734EC" w:rsidRDefault="003734EC">
            <w:pPr>
              <w:rPr>
                <w:rFonts w:ascii="宋体"/>
              </w:rPr>
            </w:pPr>
          </w:p>
        </w:tc>
        <w:tc>
          <w:tcPr>
            <w:tcW w:w="50" w:type="pct"/>
            <w:shd w:val="clear" w:color="auto" w:fill="auto"/>
            <w:vAlign w:val="center"/>
          </w:tcPr>
          <w:p w14:paraId="3693FEE1" w14:textId="77777777" w:rsidR="003734EC" w:rsidRDefault="003734EC">
            <w:pPr>
              <w:rPr>
                <w:rFonts w:ascii="宋体"/>
              </w:rPr>
            </w:pPr>
          </w:p>
        </w:tc>
        <w:tc>
          <w:tcPr>
            <w:tcW w:w="851" w:type="pct"/>
            <w:shd w:val="clear" w:color="auto" w:fill="auto"/>
            <w:vAlign w:val="center"/>
          </w:tcPr>
          <w:p w14:paraId="3693FEE2" w14:textId="77777777" w:rsidR="003734EC" w:rsidRDefault="003734EC">
            <w:pPr>
              <w:rPr>
                <w:rFonts w:ascii="宋体"/>
              </w:rPr>
            </w:pPr>
          </w:p>
        </w:tc>
        <w:tc>
          <w:tcPr>
            <w:tcW w:w="50" w:type="pct"/>
            <w:shd w:val="clear" w:color="auto" w:fill="auto"/>
            <w:vAlign w:val="center"/>
          </w:tcPr>
          <w:p w14:paraId="3693FEE3" w14:textId="77777777" w:rsidR="003734EC" w:rsidRDefault="003734EC">
            <w:pPr>
              <w:rPr>
                <w:rFonts w:ascii="宋体"/>
              </w:rPr>
            </w:pPr>
          </w:p>
        </w:tc>
      </w:tr>
      <w:tr w:rsidR="003734EC" w14:paraId="3693FEE9" w14:textId="77777777">
        <w:tc>
          <w:tcPr>
            <w:tcW w:w="0" w:type="auto"/>
            <w:gridSpan w:val="3"/>
            <w:shd w:val="clear" w:color="auto" w:fill="auto"/>
            <w:tcMar>
              <w:top w:w="40" w:type="dxa"/>
              <w:left w:w="20" w:type="dxa"/>
              <w:bottom w:w="40" w:type="dxa"/>
              <w:right w:w="20" w:type="dxa"/>
            </w:tcMar>
          </w:tcPr>
          <w:p w14:paraId="3693FEE5" w14:textId="77777777" w:rsidR="003734EC" w:rsidRDefault="000E364E">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EE6" w14:textId="77777777" w:rsidR="003734EC" w:rsidRDefault="000E364E">
            <w:pPr>
              <w:textAlignment w:val="bottom"/>
            </w:pPr>
            <w:r>
              <w:rPr>
                <w:rFonts w:ascii="sans-serif" w:eastAsia="sans-serif" w:hAnsi="sans-serif" w:cs="sans-serif"/>
                <w:color w:val="000000"/>
                <w:sz w:val="20"/>
                <w:szCs w:val="20"/>
              </w:rPr>
              <w:t>NVIDIA Corporation </w:t>
            </w:r>
          </w:p>
        </w:tc>
        <w:tc>
          <w:tcPr>
            <w:tcW w:w="0" w:type="auto"/>
            <w:shd w:val="clear" w:color="auto" w:fill="auto"/>
            <w:vAlign w:val="center"/>
          </w:tcPr>
          <w:p w14:paraId="3693FEE7" w14:textId="77777777" w:rsidR="003734EC" w:rsidRDefault="003734EC">
            <w:pPr>
              <w:rPr>
                <w:rFonts w:ascii="宋体"/>
                <w:vanish/>
              </w:rPr>
            </w:pPr>
          </w:p>
        </w:tc>
        <w:tc>
          <w:tcPr>
            <w:tcW w:w="0" w:type="auto"/>
            <w:gridSpan w:val="3"/>
            <w:shd w:val="clear" w:color="auto" w:fill="auto"/>
            <w:vAlign w:val="center"/>
          </w:tcPr>
          <w:p w14:paraId="3693FEE8" w14:textId="77777777" w:rsidR="003734EC" w:rsidRDefault="003734EC">
            <w:pPr>
              <w:rPr>
                <w:rFonts w:ascii="宋体"/>
                <w:vanish/>
              </w:rPr>
            </w:pPr>
          </w:p>
        </w:tc>
      </w:tr>
      <w:tr w:rsidR="003734EC" w14:paraId="3693FEF1" w14:textId="77777777">
        <w:tc>
          <w:tcPr>
            <w:tcW w:w="0" w:type="auto"/>
            <w:gridSpan w:val="3"/>
            <w:shd w:val="clear" w:color="auto" w:fill="auto"/>
            <w:tcMar>
              <w:top w:w="40" w:type="dxa"/>
              <w:left w:w="20" w:type="dxa"/>
              <w:bottom w:w="40" w:type="dxa"/>
              <w:right w:w="20" w:type="dxa"/>
            </w:tcMar>
            <w:vAlign w:val="bottom"/>
          </w:tcPr>
          <w:p w14:paraId="3693FEEA" w14:textId="77777777" w:rsidR="003734EC" w:rsidRDefault="000E364E">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3693FEEB" w14:textId="77777777" w:rsidR="003734EC" w:rsidRDefault="000E364E">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left w:w="20" w:type="dxa"/>
              <w:right w:w="20" w:type="dxa"/>
            </w:tcMar>
            <w:vAlign w:val="bottom"/>
          </w:tcPr>
          <w:p w14:paraId="3693FEEC" w14:textId="77777777" w:rsidR="003734EC" w:rsidRDefault="003734EC">
            <w:pPr>
              <w:rPr>
                <w:rFonts w:ascii="宋体"/>
              </w:rPr>
            </w:pPr>
          </w:p>
        </w:tc>
        <w:tc>
          <w:tcPr>
            <w:tcW w:w="0" w:type="auto"/>
            <w:shd w:val="clear" w:color="auto" w:fill="auto"/>
            <w:vAlign w:val="center"/>
          </w:tcPr>
          <w:p w14:paraId="3693FEED" w14:textId="77777777" w:rsidR="003734EC" w:rsidRDefault="003734EC">
            <w:pPr>
              <w:rPr>
                <w:rFonts w:ascii="宋体"/>
                <w:vanish/>
              </w:rPr>
            </w:pPr>
          </w:p>
        </w:tc>
        <w:tc>
          <w:tcPr>
            <w:tcW w:w="0" w:type="auto"/>
            <w:shd w:val="clear" w:color="auto" w:fill="auto"/>
            <w:vAlign w:val="center"/>
          </w:tcPr>
          <w:p w14:paraId="3693FEEE" w14:textId="77777777" w:rsidR="003734EC" w:rsidRDefault="003734EC">
            <w:pPr>
              <w:rPr>
                <w:rFonts w:ascii="宋体"/>
              </w:rPr>
            </w:pPr>
          </w:p>
        </w:tc>
        <w:tc>
          <w:tcPr>
            <w:tcW w:w="0" w:type="auto"/>
            <w:shd w:val="clear" w:color="auto" w:fill="auto"/>
            <w:vAlign w:val="center"/>
          </w:tcPr>
          <w:p w14:paraId="3693FEEF" w14:textId="77777777" w:rsidR="003734EC" w:rsidRDefault="003734EC">
            <w:pPr>
              <w:rPr>
                <w:rFonts w:ascii="宋体"/>
              </w:rPr>
            </w:pPr>
          </w:p>
        </w:tc>
        <w:tc>
          <w:tcPr>
            <w:tcW w:w="0" w:type="auto"/>
            <w:shd w:val="clear" w:color="auto" w:fill="auto"/>
            <w:vAlign w:val="center"/>
          </w:tcPr>
          <w:p w14:paraId="3693FEF0" w14:textId="77777777" w:rsidR="003734EC" w:rsidRDefault="003734EC">
            <w:pPr>
              <w:rPr>
                <w:rFonts w:ascii="宋体"/>
              </w:rPr>
            </w:pPr>
          </w:p>
        </w:tc>
      </w:tr>
      <w:tr w:rsidR="003734EC" w14:paraId="3693FEF9" w14:textId="77777777">
        <w:trPr>
          <w:trHeight w:val="60"/>
        </w:trPr>
        <w:tc>
          <w:tcPr>
            <w:tcW w:w="0" w:type="auto"/>
            <w:gridSpan w:val="3"/>
            <w:shd w:val="clear" w:color="auto" w:fill="auto"/>
            <w:tcMar>
              <w:left w:w="20" w:type="dxa"/>
              <w:right w:w="20" w:type="dxa"/>
            </w:tcMar>
            <w:vAlign w:val="bottom"/>
          </w:tcPr>
          <w:p w14:paraId="3693FEF2" w14:textId="77777777" w:rsidR="003734EC" w:rsidRDefault="003734EC">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693FEF3" w14:textId="77777777" w:rsidR="003734EC" w:rsidRDefault="003734EC">
            <w:pPr>
              <w:rPr>
                <w:rFonts w:ascii="宋体"/>
              </w:rPr>
            </w:pPr>
          </w:p>
        </w:tc>
        <w:tc>
          <w:tcPr>
            <w:tcW w:w="0" w:type="auto"/>
            <w:gridSpan w:val="6"/>
            <w:shd w:val="clear" w:color="auto" w:fill="auto"/>
            <w:tcMar>
              <w:left w:w="20" w:type="dxa"/>
              <w:right w:w="20" w:type="dxa"/>
            </w:tcMar>
            <w:vAlign w:val="bottom"/>
          </w:tcPr>
          <w:p w14:paraId="3693FEF4" w14:textId="77777777" w:rsidR="003734EC" w:rsidRDefault="003734EC">
            <w:pPr>
              <w:rPr>
                <w:rFonts w:ascii="宋体"/>
              </w:rPr>
            </w:pPr>
          </w:p>
        </w:tc>
        <w:tc>
          <w:tcPr>
            <w:tcW w:w="0" w:type="auto"/>
            <w:shd w:val="clear" w:color="auto" w:fill="auto"/>
            <w:vAlign w:val="center"/>
          </w:tcPr>
          <w:p w14:paraId="3693FEF5" w14:textId="77777777" w:rsidR="003734EC" w:rsidRDefault="003734EC">
            <w:pPr>
              <w:rPr>
                <w:rFonts w:ascii="宋体"/>
                <w:vanish/>
              </w:rPr>
            </w:pPr>
          </w:p>
        </w:tc>
        <w:tc>
          <w:tcPr>
            <w:tcW w:w="0" w:type="auto"/>
            <w:shd w:val="clear" w:color="auto" w:fill="auto"/>
            <w:vAlign w:val="center"/>
          </w:tcPr>
          <w:p w14:paraId="3693FEF6" w14:textId="77777777" w:rsidR="003734EC" w:rsidRDefault="003734EC">
            <w:pPr>
              <w:rPr>
                <w:rFonts w:ascii="宋体"/>
              </w:rPr>
            </w:pPr>
          </w:p>
        </w:tc>
        <w:tc>
          <w:tcPr>
            <w:tcW w:w="0" w:type="auto"/>
            <w:shd w:val="clear" w:color="auto" w:fill="auto"/>
            <w:vAlign w:val="center"/>
          </w:tcPr>
          <w:p w14:paraId="3693FEF7" w14:textId="77777777" w:rsidR="003734EC" w:rsidRDefault="003734EC">
            <w:pPr>
              <w:rPr>
                <w:rFonts w:ascii="宋体"/>
              </w:rPr>
            </w:pPr>
          </w:p>
        </w:tc>
        <w:tc>
          <w:tcPr>
            <w:tcW w:w="0" w:type="auto"/>
            <w:shd w:val="clear" w:color="auto" w:fill="auto"/>
            <w:vAlign w:val="center"/>
          </w:tcPr>
          <w:p w14:paraId="3693FEF8" w14:textId="77777777" w:rsidR="003734EC" w:rsidRDefault="003734EC">
            <w:pPr>
              <w:rPr>
                <w:rFonts w:ascii="宋体"/>
              </w:rPr>
            </w:pPr>
          </w:p>
        </w:tc>
      </w:tr>
      <w:tr w:rsidR="003734EC" w14:paraId="3693FEFE" w14:textId="77777777">
        <w:tc>
          <w:tcPr>
            <w:tcW w:w="0" w:type="auto"/>
            <w:gridSpan w:val="3"/>
            <w:shd w:val="clear" w:color="auto" w:fill="auto"/>
            <w:tcMar>
              <w:top w:w="40" w:type="dxa"/>
              <w:left w:w="20" w:type="dxa"/>
              <w:bottom w:w="40" w:type="dxa"/>
              <w:right w:w="20" w:type="dxa"/>
            </w:tcMar>
          </w:tcPr>
          <w:p w14:paraId="3693FEFA" w14:textId="77777777" w:rsidR="003734EC" w:rsidRDefault="000E364E">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EFB" w14:textId="77777777" w:rsidR="003734EC" w:rsidRDefault="000E364E">
            <w:pPr>
              <w:textAlignment w:val="bottom"/>
            </w:pPr>
            <w:r>
              <w:rPr>
                <w:rFonts w:ascii="sans-serif" w:eastAsia="sans-serif" w:hAnsi="sans-serif" w:cs="sans-serif"/>
                <w:color w:val="000000"/>
                <w:sz w:val="20"/>
                <w:szCs w:val="20"/>
              </w:rPr>
              <w:t>Colette M. Kress</w:t>
            </w:r>
          </w:p>
        </w:tc>
        <w:tc>
          <w:tcPr>
            <w:tcW w:w="0" w:type="auto"/>
            <w:shd w:val="clear" w:color="auto" w:fill="auto"/>
            <w:vAlign w:val="center"/>
          </w:tcPr>
          <w:p w14:paraId="3693FEFC" w14:textId="77777777" w:rsidR="003734EC" w:rsidRDefault="003734EC">
            <w:pPr>
              <w:rPr>
                <w:rFonts w:ascii="宋体"/>
                <w:vanish/>
              </w:rPr>
            </w:pPr>
          </w:p>
        </w:tc>
        <w:tc>
          <w:tcPr>
            <w:tcW w:w="0" w:type="auto"/>
            <w:gridSpan w:val="3"/>
            <w:shd w:val="clear" w:color="auto" w:fill="auto"/>
            <w:vAlign w:val="center"/>
          </w:tcPr>
          <w:p w14:paraId="3693FEFD" w14:textId="77777777" w:rsidR="003734EC" w:rsidRDefault="003734EC">
            <w:pPr>
              <w:rPr>
                <w:rFonts w:ascii="宋体"/>
                <w:vanish/>
              </w:rPr>
            </w:pPr>
          </w:p>
        </w:tc>
      </w:tr>
      <w:tr w:rsidR="003734EC" w14:paraId="3693FF03" w14:textId="77777777">
        <w:tc>
          <w:tcPr>
            <w:tcW w:w="0" w:type="auto"/>
            <w:gridSpan w:val="3"/>
            <w:shd w:val="clear" w:color="auto" w:fill="auto"/>
            <w:tcMar>
              <w:top w:w="40" w:type="dxa"/>
              <w:left w:w="20" w:type="dxa"/>
              <w:bottom w:w="40" w:type="dxa"/>
              <w:right w:w="20" w:type="dxa"/>
            </w:tcMar>
          </w:tcPr>
          <w:p w14:paraId="3693FEFF" w14:textId="77777777" w:rsidR="003734EC" w:rsidRDefault="000E364E">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3693FF00" w14:textId="77777777" w:rsidR="003734EC" w:rsidRDefault="000E364E">
            <w:pPr>
              <w:textAlignment w:val="bottom"/>
            </w:pPr>
            <w:r>
              <w:rPr>
                <w:rFonts w:ascii="sans-serif" w:eastAsia="sans-serif" w:hAnsi="sans-serif" w:cs="sans-serif"/>
                <w:color w:val="000000"/>
                <w:sz w:val="20"/>
                <w:szCs w:val="20"/>
              </w:rPr>
              <w:t xml:space="preserve">Executive Vice President and Chief </w:t>
            </w:r>
            <w:r>
              <w:rPr>
                <w:rFonts w:ascii="sans-serif" w:eastAsia="sans-serif" w:hAnsi="sans-serif" w:cs="sans-serif"/>
                <w:color w:val="000000"/>
                <w:sz w:val="20"/>
                <w:szCs w:val="20"/>
              </w:rPr>
              <w:t>Financial Officer (Duly Authorized Officer and Principal Financial Officer)</w:t>
            </w:r>
          </w:p>
        </w:tc>
        <w:tc>
          <w:tcPr>
            <w:tcW w:w="0" w:type="auto"/>
            <w:shd w:val="clear" w:color="auto" w:fill="auto"/>
            <w:vAlign w:val="center"/>
          </w:tcPr>
          <w:p w14:paraId="3693FF01" w14:textId="77777777" w:rsidR="003734EC" w:rsidRDefault="003734EC">
            <w:pPr>
              <w:rPr>
                <w:rFonts w:ascii="宋体"/>
                <w:vanish/>
              </w:rPr>
            </w:pPr>
          </w:p>
        </w:tc>
        <w:tc>
          <w:tcPr>
            <w:tcW w:w="0" w:type="auto"/>
            <w:gridSpan w:val="3"/>
            <w:shd w:val="clear" w:color="auto" w:fill="auto"/>
            <w:vAlign w:val="center"/>
          </w:tcPr>
          <w:p w14:paraId="3693FF02" w14:textId="77777777" w:rsidR="003734EC" w:rsidRDefault="003734EC">
            <w:pPr>
              <w:rPr>
                <w:rFonts w:ascii="宋体"/>
                <w:vanish/>
              </w:rPr>
            </w:pPr>
          </w:p>
        </w:tc>
      </w:tr>
    </w:tbl>
    <w:p w14:paraId="3693FF04" w14:textId="77777777" w:rsidR="003734EC" w:rsidRDefault="003734EC">
      <w:pPr>
        <w:spacing w:after="180"/>
        <w:jc w:val="both"/>
      </w:pPr>
    </w:p>
    <w:p w14:paraId="3693FF05" w14:textId="77777777" w:rsidR="003734EC" w:rsidRDefault="000E364E">
      <w:pPr>
        <w:spacing w:after="180"/>
        <w:jc w:val="center"/>
      </w:pPr>
      <w:r>
        <w:rPr>
          <w:rFonts w:ascii="sans-serif" w:eastAsia="sans-serif" w:hAnsi="sans-serif" w:cs="sans-serif"/>
          <w:color w:val="000000"/>
          <w:sz w:val="20"/>
          <w:szCs w:val="20"/>
        </w:rPr>
        <w:t>36</w:t>
      </w:r>
    </w:p>
    <w:p w14:paraId="3693FF06" w14:textId="77777777" w:rsidR="003734EC" w:rsidRDefault="000E36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93FF6D" wp14:editId="3693FF6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08" w14:textId="77777777">
        <w:trPr>
          <w:tblCellSpacing w:w="15" w:type="dxa"/>
        </w:trPr>
        <w:tc>
          <w:tcPr>
            <w:tcW w:w="0" w:type="auto"/>
            <w:shd w:val="clear" w:color="auto" w:fill="auto"/>
            <w:vAlign w:val="center"/>
          </w:tcPr>
          <w:p w14:paraId="3693FF07" w14:textId="77777777" w:rsidR="003734EC" w:rsidRDefault="003734EC">
            <w:pPr>
              <w:rPr>
                <w:rFonts w:ascii="宋体"/>
              </w:rPr>
            </w:pPr>
          </w:p>
        </w:tc>
      </w:tr>
    </w:tbl>
    <w:p w14:paraId="3693FF09"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0B" w14:textId="77777777">
        <w:trPr>
          <w:tblCellSpacing w:w="15" w:type="dxa"/>
        </w:trPr>
        <w:tc>
          <w:tcPr>
            <w:tcW w:w="0" w:type="auto"/>
            <w:shd w:val="clear" w:color="auto" w:fill="auto"/>
            <w:vAlign w:val="center"/>
          </w:tcPr>
          <w:p w14:paraId="3693FF0A" w14:textId="77777777" w:rsidR="003734EC" w:rsidRDefault="003734EC">
            <w:pPr>
              <w:rPr>
                <w:rFonts w:ascii="宋体"/>
              </w:rPr>
            </w:pPr>
          </w:p>
        </w:tc>
      </w:tr>
    </w:tbl>
    <w:p w14:paraId="3693FF0C"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0E" w14:textId="77777777">
        <w:trPr>
          <w:tblCellSpacing w:w="15" w:type="dxa"/>
        </w:trPr>
        <w:tc>
          <w:tcPr>
            <w:tcW w:w="0" w:type="auto"/>
            <w:shd w:val="clear" w:color="auto" w:fill="auto"/>
            <w:vAlign w:val="center"/>
          </w:tcPr>
          <w:p w14:paraId="3693FF0D" w14:textId="77777777" w:rsidR="003734EC" w:rsidRDefault="003734EC">
            <w:pPr>
              <w:rPr>
                <w:rFonts w:ascii="宋体"/>
              </w:rPr>
            </w:pPr>
          </w:p>
        </w:tc>
      </w:tr>
    </w:tbl>
    <w:p w14:paraId="3693FF0F"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11" w14:textId="77777777">
        <w:trPr>
          <w:tblCellSpacing w:w="15" w:type="dxa"/>
        </w:trPr>
        <w:tc>
          <w:tcPr>
            <w:tcW w:w="0" w:type="auto"/>
            <w:shd w:val="clear" w:color="auto" w:fill="auto"/>
            <w:vAlign w:val="center"/>
          </w:tcPr>
          <w:p w14:paraId="3693FF10" w14:textId="77777777" w:rsidR="003734EC" w:rsidRDefault="003734EC">
            <w:pPr>
              <w:rPr>
                <w:rFonts w:ascii="宋体"/>
              </w:rPr>
            </w:pPr>
          </w:p>
        </w:tc>
      </w:tr>
    </w:tbl>
    <w:p w14:paraId="3693FF12" w14:textId="77777777" w:rsidR="003734EC" w:rsidRDefault="000E364E">
      <w:r>
        <w:rPr>
          <w:rFonts w:ascii="宋体" w:eastAsia="宋体" w:hAnsi="宋体" w:cs="宋体"/>
        </w:rPr>
        <w:t xml:space="preserve">Previous Next </w:t>
      </w:r>
    </w:p>
    <w:p w14:paraId="3693FF13" w14:textId="77777777" w:rsidR="003734EC" w:rsidRDefault="000E364E">
      <w:pPr>
        <w:pStyle w:val="a3"/>
      </w:pPr>
      <w:r>
        <w:t>Settings</w:t>
      </w:r>
    </w:p>
    <w:p w14:paraId="3693FF14" w14:textId="77777777" w:rsidR="003734EC" w:rsidRDefault="000E364E">
      <w:pPr>
        <w:pStyle w:val="Style4"/>
      </w:pPr>
      <w:r>
        <w:t>窗体顶端</w:t>
      </w:r>
    </w:p>
    <w:p w14:paraId="3693FF15" w14:textId="77777777" w:rsidR="003734EC" w:rsidRDefault="000E364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693FF6F" wp14:editId="3693FF7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693FF16" w14:textId="77777777" w:rsidR="003734EC" w:rsidRDefault="000E364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693FF71" wp14:editId="3693FF72">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693FF17" w14:textId="77777777" w:rsidR="003734EC" w:rsidRDefault="000E364E">
      <w:r>
        <w:pict w14:anchorId="3693FF73">
          <v:rect id="_x0000_i1059" style="width:415.3pt;height:1.5pt" o:hralign="center" o:hrstd="t" o:hr="t" fillcolor="#a0a0a0" stroked="f"/>
        </w:pict>
      </w:r>
    </w:p>
    <w:p w14:paraId="3693FF18" w14:textId="77777777" w:rsidR="003734EC" w:rsidRDefault="000E364E">
      <w:r>
        <w:rPr>
          <w:rFonts w:ascii="宋体" w:eastAsia="宋体" w:hAnsi="宋体" w:cs="宋体"/>
        </w:rPr>
        <w:t xml:space="preserve">Tagged Data </w:t>
      </w:r>
    </w:p>
    <w:p w14:paraId="3693FF19" w14:textId="77777777" w:rsidR="003734EC" w:rsidRDefault="000E364E">
      <w:r>
        <w:rPr>
          <w:rFonts w:ascii="monospace" w:eastAsia="monospace" w:hAnsi="monospace" w:cs="monospace"/>
          <w:noProof/>
        </w:rPr>
        <mc:AlternateContent>
          <mc:Choice Requires="wps">
            <w:drawing>
              <wp:inline distT="0" distB="0" distL="114300" distR="114300" wp14:anchorId="3693FF74" wp14:editId="3693FF75">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93FF1A" w14:textId="77777777" w:rsidR="003734EC" w:rsidRDefault="000E364E">
      <w:r>
        <w:rPr>
          <w:rFonts w:ascii="宋体" w:eastAsia="宋体" w:hAnsi="宋体" w:cs="宋体"/>
        </w:rPr>
        <w:t>Save</w:t>
      </w:r>
    </w:p>
    <w:p w14:paraId="3693FF1B" w14:textId="77777777" w:rsidR="003734EC" w:rsidRDefault="000E364E">
      <w:r>
        <w:rPr>
          <w:rFonts w:ascii="宋体" w:eastAsia="宋体" w:hAnsi="宋体" w:cs="宋体"/>
        </w:rPr>
        <w:t>Reset</w:t>
      </w:r>
    </w:p>
    <w:p w14:paraId="3693FF1C" w14:textId="77777777" w:rsidR="003734EC" w:rsidRDefault="000E364E">
      <w:r>
        <w:pict w14:anchorId="3693FF76">
          <v:rect id="_x0000_i1060" style="width:415.3pt;height:1.5pt" o:hralign="center" o:hrstd="t" o:hr="t" fillcolor="#a0a0a0" stroked="f"/>
        </w:pict>
      </w:r>
    </w:p>
    <w:p w14:paraId="3693FF1D" w14:textId="77777777" w:rsidR="003734EC" w:rsidRDefault="000E364E">
      <w:r>
        <w:rPr>
          <w:rFonts w:ascii="宋体" w:eastAsia="宋体" w:hAnsi="宋体" w:cs="宋体"/>
        </w:rPr>
        <w:t xml:space="preserve">Search Results </w:t>
      </w:r>
    </w:p>
    <w:p w14:paraId="3693FF1E" w14:textId="77777777" w:rsidR="003734EC" w:rsidRDefault="000E364E">
      <w:r>
        <w:rPr>
          <w:rFonts w:ascii="monospace" w:eastAsia="monospace" w:hAnsi="monospace" w:cs="monospace"/>
          <w:noProof/>
        </w:rPr>
        <mc:AlternateContent>
          <mc:Choice Requires="wps">
            <w:drawing>
              <wp:inline distT="0" distB="0" distL="114300" distR="114300" wp14:anchorId="3693FF77" wp14:editId="3693FF78">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93FF1F" w14:textId="77777777" w:rsidR="003734EC" w:rsidRDefault="000E364E">
      <w:r>
        <w:rPr>
          <w:rFonts w:ascii="宋体" w:eastAsia="宋体" w:hAnsi="宋体" w:cs="宋体"/>
        </w:rPr>
        <w:t>Save</w:t>
      </w:r>
    </w:p>
    <w:p w14:paraId="3693FF20" w14:textId="77777777" w:rsidR="003734EC" w:rsidRDefault="000E364E">
      <w:r>
        <w:rPr>
          <w:rFonts w:ascii="宋体" w:eastAsia="宋体" w:hAnsi="宋体" w:cs="宋体"/>
        </w:rPr>
        <w:t>Reset</w:t>
      </w:r>
    </w:p>
    <w:p w14:paraId="3693FF21" w14:textId="77777777" w:rsidR="003734EC" w:rsidRDefault="000E364E">
      <w:r>
        <w:pict w14:anchorId="3693FF79">
          <v:rect id="_x0000_i1061" style="width:415.3pt;height:1.5pt" o:hralign="center" o:hrstd="t" o:hr="t" fillcolor="#a0a0a0" stroked="f"/>
        </w:pict>
      </w:r>
    </w:p>
    <w:p w14:paraId="3693FF22" w14:textId="77777777" w:rsidR="003734EC" w:rsidRDefault="000E364E">
      <w:r>
        <w:rPr>
          <w:rFonts w:ascii="宋体" w:eastAsia="宋体" w:hAnsi="宋体" w:cs="宋体"/>
        </w:rPr>
        <w:t xml:space="preserve">Selected Fact </w:t>
      </w:r>
    </w:p>
    <w:p w14:paraId="3693FF23" w14:textId="77777777" w:rsidR="003734EC" w:rsidRDefault="000E364E">
      <w:r>
        <w:rPr>
          <w:rFonts w:ascii="monospace" w:eastAsia="monospace" w:hAnsi="monospace" w:cs="monospace"/>
          <w:noProof/>
        </w:rPr>
        <mc:AlternateContent>
          <mc:Choice Requires="wps">
            <w:drawing>
              <wp:inline distT="0" distB="0" distL="114300" distR="114300" wp14:anchorId="3693FF7A" wp14:editId="3693FF7B">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3693FF24" w14:textId="77777777" w:rsidR="003734EC" w:rsidRDefault="000E364E">
      <w:r>
        <w:rPr>
          <w:rFonts w:ascii="宋体" w:eastAsia="宋体" w:hAnsi="宋体" w:cs="宋体"/>
        </w:rPr>
        <w:t>Save</w:t>
      </w:r>
    </w:p>
    <w:p w14:paraId="3693FF25" w14:textId="77777777" w:rsidR="003734EC" w:rsidRDefault="000E364E">
      <w:r>
        <w:rPr>
          <w:rFonts w:ascii="宋体" w:eastAsia="宋体" w:hAnsi="宋体" w:cs="宋体"/>
        </w:rPr>
        <w:t>Reset</w:t>
      </w:r>
    </w:p>
    <w:p w14:paraId="3693FF26" w14:textId="77777777" w:rsidR="003734EC" w:rsidRDefault="000E364E">
      <w:r>
        <w:pict w14:anchorId="3693FF7C">
          <v:rect id="_x0000_i1062" style="width:415.3pt;height:1.5pt" o:hralign="center" o:hrstd="t" o:hr="t" fillcolor="#a0a0a0" stroked="f"/>
        </w:pict>
      </w:r>
    </w:p>
    <w:p w14:paraId="3693FF27" w14:textId="77777777" w:rsidR="003734EC" w:rsidRDefault="000E364E">
      <w:r>
        <w:rPr>
          <w:rFonts w:ascii="宋体" w:eastAsia="宋体" w:hAnsi="宋体" w:cs="宋体"/>
        </w:rPr>
        <w:t xml:space="preserve">Tag Shading (hover) </w:t>
      </w:r>
    </w:p>
    <w:p w14:paraId="3693FF28" w14:textId="77777777" w:rsidR="003734EC" w:rsidRDefault="000E364E">
      <w:r>
        <w:rPr>
          <w:rFonts w:ascii="monospace" w:eastAsia="monospace" w:hAnsi="monospace" w:cs="monospace"/>
          <w:noProof/>
        </w:rPr>
        <mc:AlternateContent>
          <mc:Choice Requires="wps">
            <w:drawing>
              <wp:inline distT="0" distB="0" distL="114300" distR="114300" wp14:anchorId="3693FF7D" wp14:editId="3693FF7E">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93FF29" w14:textId="77777777" w:rsidR="003734EC" w:rsidRDefault="000E364E">
      <w:r>
        <w:rPr>
          <w:rFonts w:ascii="宋体" w:eastAsia="宋体" w:hAnsi="宋体" w:cs="宋体"/>
        </w:rPr>
        <w:t>Save</w:t>
      </w:r>
    </w:p>
    <w:p w14:paraId="3693FF2A" w14:textId="77777777" w:rsidR="003734EC" w:rsidRDefault="000E364E">
      <w:r>
        <w:rPr>
          <w:rFonts w:ascii="宋体" w:eastAsia="宋体" w:hAnsi="宋体" w:cs="宋体"/>
        </w:rPr>
        <w:t>Reset</w:t>
      </w:r>
    </w:p>
    <w:p w14:paraId="3693FF2B" w14:textId="77777777" w:rsidR="003734EC" w:rsidRDefault="000E364E">
      <w:pPr>
        <w:pStyle w:val="Style5"/>
      </w:pPr>
      <w:r>
        <w:t>窗体底端</w:t>
      </w:r>
    </w:p>
    <w:p w14:paraId="3693FF2C" w14:textId="77777777" w:rsidR="003734EC" w:rsidRDefault="000E36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93FF7F" wp14:editId="3693FF8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2E" w14:textId="77777777">
        <w:trPr>
          <w:tblCellSpacing w:w="15" w:type="dxa"/>
        </w:trPr>
        <w:tc>
          <w:tcPr>
            <w:tcW w:w="0" w:type="auto"/>
            <w:shd w:val="clear" w:color="auto" w:fill="auto"/>
            <w:vAlign w:val="center"/>
          </w:tcPr>
          <w:p w14:paraId="3693FF2D" w14:textId="77777777" w:rsidR="003734EC" w:rsidRDefault="003734EC">
            <w:pPr>
              <w:rPr>
                <w:rFonts w:ascii="宋体"/>
              </w:rPr>
            </w:pPr>
          </w:p>
        </w:tc>
      </w:tr>
    </w:tbl>
    <w:p w14:paraId="3693FF2F"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31" w14:textId="77777777">
        <w:trPr>
          <w:tblCellSpacing w:w="15" w:type="dxa"/>
        </w:trPr>
        <w:tc>
          <w:tcPr>
            <w:tcW w:w="0" w:type="auto"/>
            <w:shd w:val="clear" w:color="auto" w:fill="auto"/>
            <w:vAlign w:val="center"/>
          </w:tcPr>
          <w:p w14:paraId="3693FF30" w14:textId="77777777" w:rsidR="003734EC" w:rsidRDefault="003734EC">
            <w:pPr>
              <w:rPr>
                <w:rFonts w:ascii="宋体"/>
              </w:rPr>
            </w:pPr>
          </w:p>
        </w:tc>
      </w:tr>
    </w:tbl>
    <w:p w14:paraId="3693FF32"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34" w14:textId="77777777">
        <w:trPr>
          <w:tblCellSpacing w:w="15" w:type="dxa"/>
        </w:trPr>
        <w:tc>
          <w:tcPr>
            <w:tcW w:w="0" w:type="auto"/>
            <w:shd w:val="clear" w:color="auto" w:fill="auto"/>
            <w:vAlign w:val="center"/>
          </w:tcPr>
          <w:p w14:paraId="3693FF33" w14:textId="77777777" w:rsidR="003734EC" w:rsidRDefault="003734EC">
            <w:pPr>
              <w:rPr>
                <w:rFonts w:ascii="宋体"/>
              </w:rPr>
            </w:pPr>
          </w:p>
        </w:tc>
      </w:tr>
    </w:tbl>
    <w:p w14:paraId="3693FF35"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37" w14:textId="77777777">
        <w:trPr>
          <w:tblCellSpacing w:w="15" w:type="dxa"/>
        </w:trPr>
        <w:tc>
          <w:tcPr>
            <w:tcW w:w="0" w:type="auto"/>
            <w:shd w:val="clear" w:color="auto" w:fill="auto"/>
            <w:vAlign w:val="center"/>
          </w:tcPr>
          <w:p w14:paraId="3693FF36" w14:textId="77777777" w:rsidR="003734EC" w:rsidRDefault="003734EC">
            <w:pPr>
              <w:rPr>
                <w:rFonts w:ascii="宋体"/>
              </w:rPr>
            </w:pPr>
          </w:p>
        </w:tc>
      </w:tr>
    </w:tbl>
    <w:p w14:paraId="3693FF38" w14:textId="77777777" w:rsidR="003734EC" w:rsidRDefault="000E364E">
      <w:r>
        <w:rPr>
          <w:rFonts w:ascii="宋体" w:eastAsia="宋体" w:hAnsi="宋体" w:cs="宋体"/>
        </w:rPr>
        <w:t xml:space="preserve">Previous Next </w:t>
      </w:r>
    </w:p>
    <w:p w14:paraId="3693FF39" w14:textId="77777777" w:rsidR="003734EC" w:rsidRDefault="000E364E">
      <w:pPr>
        <w:pStyle w:val="a3"/>
      </w:pPr>
      <w:r>
        <w:t xml:space="preserve">Nested Facts / </w:t>
      </w:r>
    </w:p>
    <w:p w14:paraId="3693FF3A" w14:textId="77777777" w:rsidR="003734EC" w:rsidRDefault="000E364E">
      <w:r>
        <w:rPr>
          <w:rFonts w:ascii="宋体" w:eastAsia="宋体" w:hAnsi="宋体" w:cs="宋体"/>
        </w:rPr>
        <w:t xml:space="preserve">Previous Next </w:t>
      </w:r>
    </w:p>
    <w:p w14:paraId="3693FF3B" w14:textId="77777777" w:rsidR="003734EC" w:rsidRDefault="000E36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93FF81" wp14:editId="3693FF8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3D" w14:textId="77777777">
        <w:trPr>
          <w:tblCellSpacing w:w="15" w:type="dxa"/>
        </w:trPr>
        <w:tc>
          <w:tcPr>
            <w:tcW w:w="0" w:type="auto"/>
            <w:shd w:val="clear" w:color="auto" w:fill="auto"/>
            <w:vAlign w:val="center"/>
          </w:tcPr>
          <w:p w14:paraId="3693FF3C" w14:textId="77777777" w:rsidR="003734EC" w:rsidRDefault="003734EC">
            <w:pPr>
              <w:rPr>
                <w:rFonts w:ascii="宋体"/>
              </w:rPr>
            </w:pPr>
          </w:p>
        </w:tc>
      </w:tr>
    </w:tbl>
    <w:p w14:paraId="3693FF3E"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40" w14:textId="77777777">
        <w:trPr>
          <w:tblCellSpacing w:w="15" w:type="dxa"/>
        </w:trPr>
        <w:tc>
          <w:tcPr>
            <w:tcW w:w="0" w:type="auto"/>
            <w:shd w:val="clear" w:color="auto" w:fill="auto"/>
            <w:vAlign w:val="center"/>
          </w:tcPr>
          <w:p w14:paraId="3693FF3F" w14:textId="77777777" w:rsidR="003734EC" w:rsidRDefault="003734EC">
            <w:pPr>
              <w:rPr>
                <w:rFonts w:ascii="宋体"/>
              </w:rPr>
            </w:pPr>
          </w:p>
        </w:tc>
      </w:tr>
    </w:tbl>
    <w:p w14:paraId="3693FF41"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43" w14:textId="77777777">
        <w:trPr>
          <w:tblCellSpacing w:w="15" w:type="dxa"/>
        </w:trPr>
        <w:tc>
          <w:tcPr>
            <w:tcW w:w="0" w:type="auto"/>
            <w:shd w:val="clear" w:color="auto" w:fill="auto"/>
            <w:vAlign w:val="center"/>
          </w:tcPr>
          <w:p w14:paraId="3693FF42" w14:textId="77777777" w:rsidR="003734EC" w:rsidRDefault="003734EC">
            <w:pPr>
              <w:rPr>
                <w:rFonts w:ascii="宋体"/>
              </w:rPr>
            </w:pPr>
          </w:p>
        </w:tc>
      </w:tr>
    </w:tbl>
    <w:p w14:paraId="3693FF44" w14:textId="77777777" w:rsidR="003734EC" w:rsidRDefault="00373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34EC" w14:paraId="3693FF46" w14:textId="77777777">
        <w:trPr>
          <w:tblCellSpacing w:w="15" w:type="dxa"/>
        </w:trPr>
        <w:tc>
          <w:tcPr>
            <w:tcW w:w="0" w:type="auto"/>
            <w:shd w:val="clear" w:color="auto" w:fill="auto"/>
            <w:vAlign w:val="center"/>
          </w:tcPr>
          <w:p w14:paraId="3693FF45" w14:textId="77777777" w:rsidR="003734EC" w:rsidRDefault="003734EC">
            <w:pPr>
              <w:rPr>
                <w:rFonts w:ascii="宋体"/>
              </w:rPr>
            </w:pPr>
          </w:p>
        </w:tc>
      </w:tr>
    </w:tbl>
    <w:p w14:paraId="3693FF47" w14:textId="77777777" w:rsidR="003734EC" w:rsidRDefault="000E364E">
      <w:r>
        <w:rPr>
          <w:rFonts w:ascii="宋体" w:eastAsia="宋体" w:hAnsi="宋体" w:cs="宋体"/>
        </w:rPr>
        <w:t xml:space="preserve">Previous Next </w:t>
      </w:r>
    </w:p>
    <w:p w14:paraId="3693FF48" w14:textId="77777777" w:rsidR="003734EC" w:rsidRDefault="003734EC"/>
    <w:sectPr w:rsidR="003734E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2C59" w14:textId="77777777" w:rsidR="000E364E" w:rsidRDefault="000E364E" w:rsidP="000E364E">
      <w:r>
        <w:separator/>
      </w:r>
    </w:p>
  </w:endnote>
  <w:endnote w:type="continuationSeparator" w:id="0">
    <w:p w14:paraId="6C0D9CD3" w14:textId="77777777" w:rsidR="000E364E" w:rsidRDefault="000E364E" w:rsidP="000E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E592" w14:textId="77777777" w:rsidR="000E364E" w:rsidRDefault="000E364E" w:rsidP="000E364E">
      <w:r>
        <w:separator/>
      </w:r>
    </w:p>
  </w:footnote>
  <w:footnote w:type="continuationSeparator" w:id="0">
    <w:p w14:paraId="6D3FCA06" w14:textId="77777777" w:rsidR="000E364E" w:rsidRDefault="000E364E" w:rsidP="000E3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6F1D03"/>
    <w:rsid w:val="FF6F1D03"/>
    <w:rsid w:val="000E364E"/>
    <w:rsid w:val="0037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3DAA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E36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E364E"/>
    <w:rPr>
      <w:rFonts w:asciiTheme="minorEastAsia" w:hAnsiTheme="minorEastAsia" w:cs="Times New Roman"/>
      <w:sz w:val="18"/>
      <w:szCs w:val="18"/>
    </w:rPr>
  </w:style>
  <w:style w:type="paragraph" w:styleId="a8">
    <w:name w:val="footer"/>
    <w:basedOn w:val="a"/>
    <w:link w:val="a9"/>
    <w:rsid w:val="000E364E"/>
    <w:pPr>
      <w:tabs>
        <w:tab w:val="center" w:pos="4153"/>
        <w:tab w:val="right" w:pos="8306"/>
      </w:tabs>
      <w:snapToGrid w:val="0"/>
    </w:pPr>
    <w:rPr>
      <w:sz w:val="18"/>
      <w:szCs w:val="18"/>
    </w:rPr>
  </w:style>
  <w:style w:type="character" w:customStyle="1" w:styleId="a9">
    <w:name w:val="页脚 字符"/>
    <w:basedOn w:val="a0"/>
    <w:link w:val="a8"/>
    <w:rsid w:val="000E364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0000065/nvda-20200426.htm" TargetMode="External"/><Relationship Id="rId18" Type="http://schemas.openxmlformats.org/officeDocument/2006/relationships/hyperlink" Target="https://www.sec.gov/ix?doc=/Archives/edgar/data/0001045810/000104581020000065/nvda-20200426.htm" TargetMode="External"/><Relationship Id="rId26" Type="http://schemas.openxmlformats.org/officeDocument/2006/relationships/hyperlink" Target="https://www.sec.gov/ix?doc=/Archives/edgar/data/0001045810/000104581020000065/nvda-20200426.htm" TargetMode="External"/><Relationship Id="rId39" Type="http://schemas.openxmlformats.org/officeDocument/2006/relationships/hyperlink" Target="http://www.sec.gov/Archives/edgar/data/1045810/000104581020000033/exhibit101fy2021variab.htm" TargetMode="External"/><Relationship Id="rId21" Type="http://schemas.openxmlformats.org/officeDocument/2006/relationships/hyperlink" Target="https://www.sec.gov/ix?doc=/Archives/edgar/data/0001045810/000104581020000065/nvda-20200426.htm" TargetMode="External"/><Relationship Id="rId34" Type="http://schemas.openxmlformats.org/officeDocument/2006/relationships/hyperlink" Target="http://www.sec.gov/Archives/edgar/data/1045810/000119312520092939/d904626dex42.htm" TargetMode="External"/><Relationship Id="rId42" Type="http://schemas.openxmlformats.org/officeDocument/2006/relationships/hyperlink" Target="https://www.sec.gov/Archives/edgar/data/0001045810/000104581020000065/nvda2021q1ex311.htm" TargetMode="External"/><Relationship Id="rId47" Type="http://schemas.openxmlformats.org/officeDocument/2006/relationships/theme" Target="theme/theme1.xml"/><Relationship Id="rId7" Type="http://schemas.openxmlformats.org/officeDocument/2006/relationships/hyperlink" Target="https://www.sec.gov/ix?doc=/Archives/edgar/data/0001045810/000104581020000065/nvda-20200426.htm" TargetMode="External"/><Relationship Id="rId2" Type="http://schemas.openxmlformats.org/officeDocument/2006/relationships/settings" Target="settings.xml"/><Relationship Id="rId16" Type="http://schemas.openxmlformats.org/officeDocument/2006/relationships/hyperlink" Target="https://www.sec.gov/ix?doc=/Archives/edgar/data/0001045810/000104581020000065/nvda-20200426.htm" TargetMode="External"/><Relationship Id="rId29" Type="http://schemas.openxmlformats.org/officeDocument/2006/relationships/hyperlink" Target="https://www.sec.gov/ix?doc=/Archives/edgar/data/0001045810/000104581020000065/nvda-20200426.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0000065/nvda-20200426.htm" TargetMode="External"/><Relationship Id="rId24" Type="http://schemas.openxmlformats.org/officeDocument/2006/relationships/hyperlink" Target="https://www.sec.gov/ix?doc=/Archives/edgar/data/0001045810/000104581020000065/nvda-20200426.htm" TargetMode="External"/><Relationship Id="rId32" Type="http://schemas.openxmlformats.org/officeDocument/2006/relationships/hyperlink" Target="http://www.sec.gov/Archives/edgar/data/1045810/000104581019000031/ex21mergeragreement.htm" TargetMode="External"/><Relationship Id="rId37" Type="http://schemas.openxmlformats.org/officeDocument/2006/relationships/hyperlink" Target="http://www.sec.gov/Archives/edgar/data/1045810/000119312520092939/d904626dex42.htm" TargetMode="External"/><Relationship Id="rId40" Type="http://schemas.openxmlformats.org/officeDocument/2006/relationships/hyperlink" Target="https://www.sec.gov/Archives/edgar/data/0001045810/000104581020000065/amendedandrestated2007.htm" TargetMode="External"/><Relationship Id="rId45" Type="http://schemas.openxmlformats.org/officeDocument/2006/relationships/hyperlink" Target="https://www.sec.gov/Archives/edgar/data/0001045810/000104581020000065/nvda2021q1ex322.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0000065/nvda-20200426.htm" TargetMode="External"/><Relationship Id="rId23" Type="http://schemas.openxmlformats.org/officeDocument/2006/relationships/hyperlink" Target="https://www.sec.gov/ix?doc=/Archives/edgar/data/0001045810/000104581020000065/nvda-20200426.htm" TargetMode="External"/><Relationship Id="rId28" Type="http://schemas.openxmlformats.org/officeDocument/2006/relationships/hyperlink" Target="https://www.sec.gov/ix?doc=/Archives/edgar/data/0001045810/000104581020000065/nvda-20200426.htm" TargetMode="External"/><Relationship Id="rId36" Type="http://schemas.openxmlformats.org/officeDocument/2006/relationships/hyperlink" Target="http://www.sec.gov/Archives/edgar/data/1045810/000119312520092939/d904626dex42.htm" TargetMode="External"/><Relationship Id="rId10" Type="http://schemas.openxmlformats.org/officeDocument/2006/relationships/hyperlink" Target="https://www.sec.gov/ix?doc=/Archives/edgar/data/0001045810/000104581020000065/nvda-20200426.htm" TargetMode="External"/><Relationship Id="rId19" Type="http://schemas.openxmlformats.org/officeDocument/2006/relationships/hyperlink" Target="https://www.sec.gov/ix?doc=/Archives/edgar/data/0001045810/000104581020000065/nvda-20200426.htm" TargetMode="External"/><Relationship Id="rId31" Type="http://schemas.openxmlformats.org/officeDocument/2006/relationships/hyperlink" Target="https://www.sec.gov/ix?doc=/Archives/edgar/data/0001045810/000104581020000065/nvda-20200426.htm" TargetMode="External"/><Relationship Id="rId44" Type="http://schemas.openxmlformats.org/officeDocument/2006/relationships/hyperlink" Target="https://www.sec.gov/Archives/edgar/data/0001045810/000104581020000065/nvda2021q1ex321.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0000065/nvda-20200426.htm" TargetMode="External"/><Relationship Id="rId14" Type="http://schemas.openxmlformats.org/officeDocument/2006/relationships/hyperlink" Target="https://www.sec.gov/ix?doc=/Archives/edgar/data/0001045810/000104581020000065/nvda-20200426.htm" TargetMode="External"/><Relationship Id="rId22" Type="http://schemas.openxmlformats.org/officeDocument/2006/relationships/hyperlink" Target="https://www.sec.gov/ix?doc=/Archives/edgar/data/0001045810/000104581020000065/nvda-20200426.htm" TargetMode="External"/><Relationship Id="rId27" Type="http://schemas.openxmlformats.org/officeDocument/2006/relationships/hyperlink" Target="https://www.sec.gov/ix?doc=/Archives/edgar/data/0001045810/000104581020000065/nvda-20200426.htm" TargetMode="External"/><Relationship Id="rId30" Type="http://schemas.openxmlformats.org/officeDocument/2006/relationships/hyperlink" Target="https://www.sec.gov/ix?doc=/Archives/edgar/data/0001045810/000104581020000065/nvda-20200426.htm" TargetMode="External"/><Relationship Id="rId35" Type="http://schemas.openxmlformats.org/officeDocument/2006/relationships/hyperlink" Target="http://www.sec.gov/Archives/edgar/data/1045810/000119312520092939/d904626dex42.htm" TargetMode="External"/><Relationship Id="rId43" Type="http://schemas.openxmlformats.org/officeDocument/2006/relationships/hyperlink" Target="https://www.sec.gov/Archives/edgar/data/0001045810/000104581020000065/nvda2021q1ex312.htm" TargetMode="External"/><Relationship Id="rId8" Type="http://schemas.openxmlformats.org/officeDocument/2006/relationships/hyperlink" Target="https://www.sec.gov/ix?doc=/Archives/edgar/data/0001045810/000104581020000065/nvda-20200426.htm" TargetMode="External"/><Relationship Id="rId3" Type="http://schemas.openxmlformats.org/officeDocument/2006/relationships/webSettings" Target="webSettings.xml"/><Relationship Id="rId12" Type="http://schemas.openxmlformats.org/officeDocument/2006/relationships/hyperlink" Target="https://www.sec.gov/ix?doc=/Archives/edgar/data/0001045810/000104581020000065/nvda-20200426.htm" TargetMode="External"/><Relationship Id="rId17" Type="http://schemas.openxmlformats.org/officeDocument/2006/relationships/hyperlink" Target="https://www.sec.gov/ix?doc=/Archives/edgar/data/0001045810/000104581020000065/nvda-20200426.htm" TargetMode="External"/><Relationship Id="rId25" Type="http://schemas.openxmlformats.org/officeDocument/2006/relationships/hyperlink" Target="https://www.sec.gov/ix?doc=/Archives/edgar/data/0001045810/000104581020000065/nvda-20200426.htm" TargetMode="External"/><Relationship Id="rId33" Type="http://schemas.openxmlformats.org/officeDocument/2006/relationships/hyperlink" Target="http://www.sec.gov/Archives/edgar/data/1045810/000119312516711700/d260668dex41.htm" TargetMode="External"/><Relationship Id="rId38" Type="http://schemas.openxmlformats.org/officeDocument/2006/relationships/hyperlink" Target="http://www.sec.gov/Archives/edgar/data/1045810/000119312520092939/d904626dex42.htm" TargetMode="External"/><Relationship Id="rId46" Type="http://schemas.openxmlformats.org/officeDocument/2006/relationships/fontTable" Target="fontTable.xml"/><Relationship Id="rId20" Type="http://schemas.openxmlformats.org/officeDocument/2006/relationships/hyperlink" Target="https://www.sec.gov/ix?doc=/Archives/edgar/data/0001045810/000104581020000065/nvda-20200426.htm" TargetMode="External"/><Relationship Id="rId41" Type="http://schemas.openxmlformats.org/officeDocument/2006/relationships/hyperlink" Target="https://www.sec.gov/Archives/edgar/data/0001045810/000104581020000065/amendedandrestated20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18218</Words>
  <Characters>103846</Characters>
  <Application>Microsoft Office Word</Application>
  <DocSecurity>0</DocSecurity>
  <Lines>865</Lines>
  <Paragraphs>243</Paragraphs>
  <ScaleCrop>false</ScaleCrop>
  <Company/>
  <LinksUpToDate>false</LinksUpToDate>
  <CharactersWithSpaces>121821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97D4B85508D2B650E2A5E763EC40F48E</vt:lpwstr>
  </property>
</Properties>
</file>